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FCE" w:rsidRPr="00614D5F" w:rsidRDefault="004A742B" w:rsidP="002A60A6">
      <w:pPr>
        <w:bidi/>
        <w:jc w:val="center"/>
        <w:rPr>
          <w:rFonts w:ascii="David" w:hAnsi="David" w:cs="David"/>
          <w:b/>
          <w:bCs w:val="0"/>
          <w:szCs w:val="24"/>
          <w:rtl/>
        </w:rPr>
      </w:pPr>
      <w:bookmarkStart w:id="0" w:name="_GoBack"/>
      <w:bookmarkEnd w:id="0"/>
      <w:r w:rsidRPr="00614D5F">
        <w:rPr>
          <w:rFonts w:ascii="David" w:hAnsi="David" w:cs="David"/>
          <w:b/>
          <w:bCs w:val="0"/>
          <w:szCs w:val="24"/>
          <w:rtl/>
        </w:rPr>
        <w:t>האוניברסיטה העברית ב</w:t>
      </w:r>
      <w:r w:rsidR="009D2472" w:rsidRPr="00614D5F">
        <w:rPr>
          <w:rFonts w:ascii="David" w:hAnsi="David" w:cs="David"/>
          <w:b/>
          <w:bCs w:val="0"/>
          <w:szCs w:val="24"/>
          <w:rtl/>
        </w:rPr>
        <w:t>ירושלים</w:t>
      </w:r>
    </w:p>
    <w:p w:rsidR="009D2472" w:rsidRPr="00614D5F" w:rsidRDefault="009D2472" w:rsidP="004358B0">
      <w:pPr>
        <w:bidi/>
        <w:jc w:val="center"/>
        <w:rPr>
          <w:rFonts w:ascii="David" w:hAnsi="David" w:cs="David"/>
          <w:b/>
          <w:bCs w:val="0"/>
          <w:szCs w:val="24"/>
          <w:rtl/>
        </w:rPr>
      </w:pPr>
      <w:r w:rsidRPr="00614D5F">
        <w:rPr>
          <w:rFonts w:ascii="David" w:hAnsi="David" w:cs="David"/>
          <w:b/>
          <w:bCs w:val="0"/>
          <w:szCs w:val="24"/>
          <w:rtl/>
        </w:rPr>
        <w:t xml:space="preserve">הפקולטה לחקלאות, מזון </w:t>
      </w:r>
      <w:r w:rsidR="004358B0">
        <w:rPr>
          <w:rFonts w:ascii="David" w:hAnsi="David" w:cs="David" w:hint="cs"/>
          <w:b/>
          <w:bCs w:val="0"/>
          <w:szCs w:val="24"/>
          <w:rtl/>
        </w:rPr>
        <w:t>ו</w:t>
      </w:r>
      <w:r w:rsidRPr="00614D5F">
        <w:rPr>
          <w:rFonts w:ascii="David" w:hAnsi="David" w:cs="David"/>
          <w:b/>
          <w:bCs w:val="0"/>
          <w:szCs w:val="24"/>
          <w:rtl/>
        </w:rPr>
        <w:t>סביבה</w:t>
      </w:r>
    </w:p>
    <w:p w:rsidR="009D2472" w:rsidRPr="00614D5F" w:rsidRDefault="009D2472" w:rsidP="002A60A6">
      <w:pPr>
        <w:bidi/>
        <w:jc w:val="center"/>
        <w:rPr>
          <w:rFonts w:ascii="David" w:hAnsi="David" w:cs="David"/>
          <w:b/>
          <w:bCs w:val="0"/>
          <w:szCs w:val="24"/>
          <w:rtl/>
        </w:rPr>
      </w:pPr>
      <w:r w:rsidRPr="00614D5F">
        <w:rPr>
          <w:rFonts w:ascii="David" w:hAnsi="David" w:cs="David"/>
          <w:b/>
          <w:bCs w:val="0"/>
          <w:szCs w:val="24"/>
          <w:rtl/>
        </w:rPr>
        <w:t>החוג למדעי הקרקע והמים</w:t>
      </w:r>
    </w:p>
    <w:p w:rsidR="004A742B" w:rsidRPr="00614D5F" w:rsidRDefault="004A742B" w:rsidP="00534892">
      <w:pPr>
        <w:bidi/>
        <w:rPr>
          <w:rFonts w:ascii="David" w:hAnsi="David" w:cs="David"/>
          <w:b/>
          <w:bCs w:val="0"/>
          <w:szCs w:val="24"/>
          <w:rtl/>
        </w:rPr>
      </w:pPr>
    </w:p>
    <w:p w:rsidR="009D2472" w:rsidRPr="00614D5F" w:rsidRDefault="004A742B" w:rsidP="002A60A6">
      <w:pPr>
        <w:bidi/>
        <w:jc w:val="center"/>
        <w:rPr>
          <w:rFonts w:ascii="David" w:hAnsi="David" w:cs="David"/>
          <w:b/>
          <w:bCs w:val="0"/>
          <w:szCs w:val="24"/>
          <w:rtl/>
        </w:rPr>
      </w:pPr>
      <w:r w:rsidRPr="00614D5F">
        <w:rPr>
          <w:rFonts w:ascii="David" w:hAnsi="David" w:cs="David"/>
          <w:b/>
          <w:bCs w:val="0"/>
          <w:szCs w:val="24"/>
          <w:rtl/>
        </w:rPr>
        <w:t>תוכנית עבודת ג</w:t>
      </w:r>
      <w:r w:rsidR="009D2472" w:rsidRPr="00614D5F">
        <w:rPr>
          <w:rFonts w:ascii="David" w:hAnsi="David" w:cs="David"/>
          <w:b/>
          <w:bCs w:val="0"/>
          <w:szCs w:val="24"/>
          <w:rtl/>
        </w:rPr>
        <w:t>מר מוגשת לאישור</w:t>
      </w:r>
    </w:p>
    <w:p w:rsidR="002A60A6" w:rsidRPr="00614D5F" w:rsidRDefault="002A60A6" w:rsidP="00614D5F">
      <w:pPr>
        <w:bidi/>
        <w:rPr>
          <w:szCs w:val="24"/>
        </w:rPr>
      </w:pPr>
    </w:p>
    <w:p w:rsidR="009D2472" w:rsidRPr="00614D5F" w:rsidRDefault="00614D5F" w:rsidP="004358B0">
      <w:pPr>
        <w:bidi/>
        <w:rPr>
          <w:rFonts w:ascii="David" w:hAnsi="David" w:cs="David"/>
          <w:b/>
          <w:bCs w:val="0"/>
          <w:szCs w:val="24"/>
          <w:rtl/>
        </w:rPr>
      </w:pPr>
      <w:r w:rsidRPr="00614D5F">
        <w:rPr>
          <w:rFonts w:ascii="David" w:hAnsi="David" w:cs="David"/>
          <w:b/>
          <w:bCs w:val="0"/>
          <w:szCs w:val="24"/>
          <w:u w:val="single"/>
          <w:rtl/>
        </w:rPr>
        <w:t>תאריך הג</w:t>
      </w:r>
      <w:r w:rsidRPr="00614D5F">
        <w:rPr>
          <w:rFonts w:ascii="David" w:hAnsi="David" w:cs="David" w:hint="cs"/>
          <w:b/>
          <w:bCs w:val="0"/>
          <w:szCs w:val="24"/>
          <w:u w:val="single"/>
          <w:rtl/>
        </w:rPr>
        <w:t>שה</w:t>
      </w:r>
      <w:r w:rsidR="00CB23B6" w:rsidRPr="00614D5F">
        <w:rPr>
          <w:rFonts w:ascii="David" w:hAnsi="David" w:cs="David"/>
          <w:b/>
          <w:bCs w:val="0"/>
          <w:szCs w:val="24"/>
          <w:rtl/>
        </w:rPr>
        <w:t>:</w:t>
      </w:r>
      <w:r w:rsidR="004A742B" w:rsidRPr="00614D5F">
        <w:rPr>
          <w:rFonts w:ascii="David" w:hAnsi="David" w:cs="David"/>
          <w:b/>
          <w:bCs w:val="0"/>
          <w:szCs w:val="24"/>
          <w:rtl/>
        </w:rPr>
        <w:t xml:space="preserve"> </w:t>
      </w:r>
      <w:r w:rsidR="004358B0">
        <w:rPr>
          <w:rFonts w:ascii="David" w:hAnsi="David" w:cs="David" w:hint="cs"/>
          <w:b/>
          <w:bCs w:val="0"/>
          <w:szCs w:val="24"/>
          <w:rtl/>
        </w:rPr>
        <w:t>28</w:t>
      </w:r>
      <w:r w:rsidRPr="00614D5F">
        <w:rPr>
          <w:rFonts w:ascii="David" w:hAnsi="David" w:cs="David"/>
          <w:b/>
          <w:bCs w:val="0"/>
          <w:szCs w:val="24"/>
          <w:rtl/>
        </w:rPr>
        <w:t>.6.15</w:t>
      </w:r>
    </w:p>
    <w:p w:rsidR="009D2472" w:rsidRPr="00614D5F" w:rsidRDefault="009D2472" w:rsidP="00614D5F">
      <w:pPr>
        <w:bidi/>
        <w:rPr>
          <w:rFonts w:ascii="David" w:hAnsi="David" w:cs="David"/>
          <w:b/>
          <w:bCs w:val="0"/>
          <w:szCs w:val="24"/>
          <w:u w:val="single"/>
        </w:rPr>
      </w:pPr>
      <w:r w:rsidRPr="00614D5F">
        <w:rPr>
          <w:rFonts w:ascii="David" w:hAnsi="David" w:cs="David"/>
          <w:b/>
          <w:bCs w:val="0"/>
          <w:szCs w:val="24"/>
          <w:u w:val="single"/>
          <w:rtl/>
        </w:rPr>
        <w:t>שם הסטודנט:</w:t>
      </w:r>
      <w:r w:rsidRPr="00614D5F">
        <w:rPr>
          <w:rFonts w:ascii="David" w:hAnsi="David" w:cs="David"/>
          <w:b/>
          <w:bCs w:val="0"/>
          <w:szCs w:val="24"/>
          <w:rtl/>
        </w:rPr>
        <w:t xml:space="preserve"> </w:t>
      </w:r>
      <w:r w:rsidR="004A742B" w:rsidRPr="00614D5F">
        <w:rPr>
          <w:rFonts w:ascii="David" w:hAnsi="David" w:cs="David"/>
          <w:b/>
          <w:bCs w:val="0"/>
          <w:szCs w:val="24"/>
          <w:rtl/>
        </w:rPr>
        <w:t>אביתר בן מרדכי</w:t>
      </w:r>
      <w:r w:rsidR="004A742B" w:rsidRPr="00614D5F">
        <w:rPr>
          <w:rFonts w:ascii="David" w:hAnsi="David" w:cs="David"/>
          <w:b/>
          <w:bCs w:val="0"/>
          <w:szCs w:val="24"/>
        </w:rPr>
        <w:t>;</w:t>
      </w:r>
      <w:r w:rsidR="004A742B" w:rsidRPr="00614D5F">
        <w:rPr>
          <w:rFonts w:ascii="David" w:hAnsi="David" w:cs="David"/>
          <w:b/>
          <w:bCs w:val="0"/>
          <w:szCs w:val="24"/>
          <w:rtl/>
        </w:rPr>
        <w:t xml:space="preserve"> </w:t>
      </w:r>
      <w:r w:rsidR="004A742B" w:rsidRPr="00614D5F">
        <w:rPr>
          <w:rFonts w:ascii="David" w:hAnsi="David" w:cs="David"/>
          <w:szCs w:val="24"/>
        </w:rPr>
        <w:t>Evyatar Ben Mordechay</w:t>
      </w:r>
    </w:p>
    <w:p w:rsidR="009D2472" w:rsidRPr="00614D5F" w:rsidRDefault="009D2472" w:rsidP="00614D5F">
      <w:pPr>
        <w:bidi/>
        <w:rPr>
          <w:rFonts w:ascii="David" w:hAnsi="David" w:cs="David"/>
          <w:b/>
          <w:bCs w:val="0"/>
          <w:szCs w:val="24"/>
          <w:rtl/>
        </w:rPr>
      </w:pPr>
      <w:r w:rsidRPr="00614D5F">
        <w:rPr>
          <w:rFonts w:ascii="David" w:hAnsi="David" w:cs="David"/>
          <w:b/>
          <w:bCs w:val="0"/>
          <w:szCs w:val="24"/>
          <w:u w:val="single"/>
          <w:rtl/>
        </w:rPr>
        <w:t>ת.ז:</w:t>
      </w:r>
      <w:r w:rsidRPr="00614D5F">
        <w:rPr>
          <w:rFonts w:ascii="David" w:hAnsi="David" w:cs="David"/>
          <w:b/>
          <w:bCs w:val="0"/>
          <w:szCs w:val="24"/>
          <w:rtl/>
        </w:rPr>
        <w:t xml:space="preserve"> 300972478</w:t>
      </w:r>
    </w:p>
    <w:p w:rsidR="009D2472" w:rsidRPr="00614D5F" w:rsidRDefault="009D2472" w:rsidP="00E40452">
      <w:pPr>
        <w:bidi/>
        <w:rPr>
          <w:rFonts w:ascii="David" w:hAnsi="David" w:cs="David"/>
          <w:b/>
          <w:bCs w:val="0"/>
          <w:szCs w:val="24"/>
        </w:rPr>
      </w:pPr>
      <w:r w:rsidRPr="00614D5F">
        <w:rPr>
          <w:rFonts w:ascii="David" w:hAnsi="David" w:cs="David"/>
          <w:b/>
          <w:bCs w:val="0"/>
          <w:szCs w:val="24"/>
          <w:u w:val="single"/>
          <w:rtl/>
        </w:rPr>
        <w:t>שמות המנחים</w:t>
      </w:r>
      <w:r w:rsidRPr="00614D5F">
        <w:rPr>
          <w:rFonts w:ascii="David" w:hAnsi="David" w:cs="David"/>
          <w:b/>
          <w:bCs w:val="0"/>
          <w:szCs w:val="24"/>
          <w:rtl/>
        </w:rPr>
        <w:t>:</w:t>
      </w:r>
      <w:r w:rsidR="004A742B" w:rsidRPr="00614D5F">
        <w:rPr>
          <w:rFonts w:ascii="David" w:hAnsi="David" w:cs="David"/>
          <w:b/>
          <w:bCs w:val="0"/>
          <w:szCs w:val="24"/>
          <w:rtl/>
        </w:rPr>
        <w:t xml:space="preserve"> פרופ' בני חפץ ודר' חורחה </w:t>
      </w:r>
      <w:r w:rsidR="00E40452" w:rsidRPr="00614D5F">
        <w:rPr>
          <w:rFonts w:ascii="David" w:hAnsi="David" w:cs="David"/>
          <w:b/>
          <w:bCs w:val="0"/>
          <w:szCs w:val="24"/>
          <w:rtl/>
        </w:rPr>
        <w:t>ט</w:t>
      </w:r>
      <w:r w:rsidR="00E40452">
        <w:rPr>
          <w:rFonts w:ascii="David" w:hAnsi="David" w:cs="David" w:hint="cs"/>
          <w:b/>
          <w:bCs w:val="0"/>
          <w:szCs w:val="24"/>
          <w:rtl/>
        </w:rPr>
        <w:t>רצ'</w:t>
      </w:r>
      <w:r w:rsidR="00E40452" w:rsidRPr="00614D5F">
        <w:rPr>
          <w:rFonts w:ascii="David" w:hAnsi="David" w:cs="David"/>
          <w:b/>
          <w:bCs w:val="0"/>
          <w:szCs w:val="24"/>
          <w:rtl/>
        </w:rPr>
        <w:t>יצקי</w:t>
      </w:r>
    </w:p>
    <w:p w:rsidR="00D86E69" w:rsidRDefault="00D86E69" w:rsidP="00D86E69">
      <w:pPr>
        <w:bidi/>
      </w:pPr>
    </w:p>
    <w:p w:rsidR="002A60A6" w:rsidRPr="009D2472" w:rsidRDefault="002A60A6" w:rsidP="002A60A6">
      <w:pPr>
        <w:bidi/>
        <w:rPr>
          <w:u w:val="single"/>
          <w:rtl/>
        </w:rPr>
      </w:pPr>
    </w:p>
    <w:p w:rsidR="009D2472" w:rsidRPr="002A60A6" w:rsidRDefault="008D1AA9" w:rsidP="002A60A6">
      <w:pPr>
        <w:bidi/>
        <w:jc w:val="center"/>
      </w:pPr>
      <w:r w:rsidRPr="002A60A6">
        <w:rPr>
          <w:rFonts w:hint="cs"/>
          <w:sz w:val="32"/>
          <w:szCs w:val="32"/>
          <w:rtl/>
        </w:rPr>
        <w:t>קליטה וטרנסלוקציה של חומרים רפואיים על ידי צמחי</w:t>
      </w:r>
      <w:r w:rsidR="008D4596" w:rsidRPr="002A60A6">
        <w:rPr>
          <w:rFonts w:hint="cs"/>
          <w:sz w:val="32"/>
          <w:szCs w:val="32"/>
          <w:rtl/>
        </w:rPr>
        <w:t xml:space="preserve">ם: השפעת </w:t>
      </w:r>
      <w:r w:rsidRPr="002A60A6">
        <w:rPr>
          <w:rFonts w:hint="cs"/>
          <w:sz w:val="32"/>
          <w:szCs w:val="32"/>
          <w:rtl/>
        </w:rPr>
        <w:t>תוספת בוצה והשקיה בקולחים</w:t>
      </w:r>
    </w:p>
    <w:p w:rsidR="009B4D21" w:rsidRDefault="009B4D21" w:rsidP="00534892"/>
    <w:p w:rsidR="009D2472" w:rsidRPr="002A60A6" w:rsidRDefault="00B904E2" w:rsidP="002A60A6">
      <w:pPr>
        <w:jc w:val="center"/>
        <w:rPr>
          <w:b/>
          <w:bCs w:val="0"/>
          <w:sz w:val="32"/>
          <w:szCs w:val="32"/>
        </w:rPr>
      </w:pPr>
      <w:r w:rsidRPr="002A60A6">
        <w:rPr>
          <w:b/>
          <w:bCs w:val="0"/>
          <w:sz w:val="32"/>
          <w:szCs w:val="32"/>
        </w:rPr>
        <w:t xml:space="preserve">Uptake </w:t>
      </w:r>
      <w:r w:rsidR="008D1AA9" w:rsidRPr="002A60A6">
        <w:rPr>
          <w:b/>
          <w:bCs w:val="0"/>
          <w:sz w:val="32"/>
          <w:szCs w:val="32"/>
        </w:rPr>
        <w:t xml:space="preserve">and translocation </w:t>
      </w:r>
      <w:r w:rsidRPr="002A60A6">
        <w:rPr>
          <w:b/>
          <w:bCs w:val="0"/>
          <w:sz w:val="32"/>
          <w:szCs w:val="32"/>
        </w:rPr>
        <w:t xml:space="preserve">of </w:t>
      </w:r>
      <w:r w:rsidR="00112A36" w:rsidRPr="002A60A6">
        <w:rPr>
          <w:b/>
          <w:bCs w:val="0"/>
          <w:sz w:val="32"/>
          <w:szCs w:val="32"/>
        </w:rPr>
        <w:t xml:space="preserve">pharmaceuticals </w:t>
      </w:r>
      <w:r w:rsidRPr="002A60A6">
        <w:rPr>
          <w:b/>
          <w:bCs w:val="0"/>
          <w:sz w:val="32"/>
          <w:szCs w:val="32"/>
        </w:rPr>
        <w:t xml:space="preserve">by </w:t>
      </w:r>
      <w:r w:rsidR="008D1AA9" w:rsidRPr="002A60A6">
        <w:rPr>
          <w:b/>
          <w:bCs w:val="0"/>
          <w:sz w:val="32"/>
          <w:szCs w:val="32"/>
        </w:rPr>
        <w:t>plants</w:t>
      </w:r>
      <w:r w:rsidR="008D4596" w:rsidRPr="002A60A6">
        <w:rPr>
          <w:b/>
          <w:bCs w:val="0"/>
          <w:sz w:val="32"/>
          <w:szCs w:val="32"/>
        </w:rPr>
        <w:t xml:space="preserve">: Effects of </w:t>
      </w:r>
      <w:r w:rsidR="00112A36" w:rsidRPr="002A60A6">
        <w:rPr>
          <w:b/>
          <w:bCs w:val="0"/>
          <w:sz w:val="32"/>
          <w:szCs w:val="32"/>
        </w:rPr>
        <w:t>b</w:t>
      </w:r>
      <w:r w:rsidRPr="002A60A6">
        <w:rPr>
          <w:b/>
          <w:bCs w:val="0"/>
          <w:sz w:val="32"/>
          <w:szCs w:val="32"/>
        </w:rPr>
        <w:t xml:space="preserve">iosolids </w:t>
      </w:r>
      <w:r w:rsidR="008D4596" w:rsidRPr="002A60A6">
        <w:rPr>
          <w:b/>
          <w:bCs w:val="0"/>
          <w:sz w:val="32"/>
          <w:szCs w:val="32"/>
        </w:rPr>
        <w:t xml:space="preserve">application </w:t>
      </w:r>
      <w:r w:rsidRPr="002A60A6">
        <w:rPr>
          <w:b/>
          <w:bCs w:val="0"/>
          <w:sz w:val="32"/>
          <w:szCs w:val="32"/>
        </w:rPr>
        <w:t xml:space="preserve">and </w:t>
      </w:r>
      <w:r w:rsidR="00112A36" w:rsidRPr="002A60A6">
        <w:rPr>
          <w:b/>
          <w:bCs w:val="0"/>
          <w:sz w:val="32"/>
          <w:szCs w:val="32"/>
        </w:rPr>
        <w:t xml:space="preserve">irrigation </w:t>
      </w:r>
      <w:r w:rsidRPr="002A60A6">
        <w:rPr>
          <w:b/>
          <w:bCs w:val="0"/>
          <w:sz w:val="32"/>
          <w:szCs w:val="32"/>
        </w:rPr>
        <w:t xml:space="preserve">with </w:t>
      </w:r>
      <w:r w:rsidR="00112A36" w:rsidRPr="002A60A6">
        <w:rPr>
          <w:b/>
          <w:bCs w:val="0"/>
          <w:sz w:val="32"/>
          <w:szCs w:val="32"/>
        </w:rPr>
        <w:t>treated w</w:t>
      </w:r>
      <w:r w:rsidRPr="002A60A6">
        <w:rPr>
          <w:b/>
          <w:bCs w:val="0"/>
          <w:sz w:val="32"/>
          <w:szCs w:val="32"/>
        </w:rPr>
        <w:t>a</w:t>
      </w:r>
      <w:r w:rsidR="008D1AA9" w:rsidRPr="002A60A6">
        <w:rPr>
          <w:b/>
          <w:bCs w:val="0"/>
          <w:sz w:val="32"/>
          <w:szCs w:val="32"/>
        </w:rPr>
        <w:t>s</w:t>
      </w:r>
      <w:r w:rsidRPr="002A60A6">
        <w:rPr>
          <w:b/>
          <w:bCs w:val="0"/>
          <w:sz w:val="32"/>
          <w:szCs w:val="32"/>
        </w:rPr>
        <w:t>te</w:t>
      </w:r>
      <w:r w:rsidR="008D1AA9" w:rsidRPr="002A60A6">
        <w:rPr>
          <w:b/>
          <w:bCs w:val="0"/>
          <w:sz w:val="32"/>
          <w:szCs w:val="32"/>
        </w:rPr>
        <w:t>water</w:t>
      </w:r>
    </w:p>
    <w:p w:rsidR="009D2472" w:rsidRDefault="009D2472" w:rsidP="00534892">
      <w:pPr>
        <w:bidi/>
      </w:pPr>
    </w:p>
    <w:p w:rsidR="009B4D21" w:rsidRDefault="009B4D21" w:rsidP="00534892">
      <w:pPr>
        <w:bidi/>
      </w:pPr>
    </w:p>
    <w:p w:rsidR="002A60A6" w:rsidRDefault="002A60A6" w:rsidP="002A60A6">
      <w:pPr>
        <w:bidi/>
      </w:pPr>
    </w:p>
    <w:p w:rsidR="009D2472" w:rsidRDefault="009D2472" w:rsidP="006A3C11">
      <w:pPr>
        <w:bidi/>
        <w:spacing w:line="480" w:lineRule="auto"/>
        <w:rPr>
          <w:rFonts w:ascii="David" w:hAnsi="David" w:cs="David"/>
          <w:b/>
          <w:bCs w:val="0"/>
          <w:sz w:val="22"/>
          <w:szCs w:val="24"/>
        </w:rPr>
      </w:pPr>
      <w:r w:rsidRPr="00614D5F">
        <w:rPr>
          <w:rFonts w:ascii="David" w:hAnsi="David" w:cs="David"/>
          <w:b/>
          <w:bCs w:val="0"/>
          <w:sz w:val="22"/>
          <w:szCs w:val="24"/>
          <w:rtl/>
        </w:rPr>
        <w:t>אישור התוכנית:</w:t>
      </w:r>
    </w:p>
    <w:p w:rsidR="006A3C11" w:rsidRPr="00614D5F" w:rsidRDefault="006A3C11" w:rsidP="006A3C11">
      <w:pPr>
        <w:bidi/>
        <w:spacing w:line="480" w:lineRule="auto"/>
        <w:rPr>
          <w:rFonts w:ascii="David" w:hAnsi="David" w:cs="David"/>
          <w:b/>
          <w:bCs w:val="0"/>
          <w:sz w:val="22"/>
          <w:szCs w:val="24"/>
          <w:rtl/>
        </w:rPr>
      </w:pPr>
    </w:p>
    <w:p w:rsidR="009D2472" w:rsidRDefault="009D2472" w:rsidP="006A3C11">
      <w:pPr>
        <w:bidi/>
        <w:spacing w:line="480" w:lineRule="auto"/>
        <w:rPr>
          <w:rFonts w:ascii="David" w:hAnsi="David" w:cs="David"/>
          <w:b/>
          <w:bCs w:val="0"/>
          <w:sz w:val="22"/>
          <w:szCs w:val="24"/>
        </w:rPr>
      </w:pPr>
      <w:r w:rsidRPr="00614D5F">
        <w:rPr>
          <w:rFonts w:ascii="David" w:hAnsi="David" w:cs="David"/>
          <w:b/>
          <w:bCs w:val="0"/>
          <w:sz w:val="22"/>
          <w:szCs w:val="24"/>
          <w:rtl/>
        </w:rPr>
        <w:t xml:space="preserve">תאריך: </w:t>
      </w:r>
    </w:p>
    <w:p w:rsidR="006A3C11" w:rsidRPr="00614D5F" w:rsidRDefault="006A3C11" w:rsidP="006A3C11">
      <w:pPr>
        <w:bidi/>
        <w:spacing w:line="480" w:lineRule="auto"/>
        <w:rPr>
          <w:rFonts w:ascii="David" w:hAnsi="David" w:cs="David"/>
          <w:b/>
          <w:bCs w:val="0"/>
          <w:sz w:val="22"/>
          <w:szCs w:val="24"/>
          <w:rtl/>
        </w:rPr>
      </w:pPr>
    </w:p>
    <w:p w:rsidR="009D2472" w:rsidRPr="00614D5F" w:rsidRDefault="009D2472" w:rsidP="006A3C11">
      <w:pPr>
        <w:bidi/>
        <w:spacing w:line="480" w:lineRule="auto"/>
        <w:rPr>
          <w:rFonts w:ascii="David" w:hAnsi="David" w:cs="David"/>
          <w:b/>
          <w:bCs w:val="0"/>
          <w:sz w:val="22"/>
          <w:szCs w:val="24"/>
          <w:rtl/>
        </w:rPr>
      </w:pPr>
      <w:r w:rsidRPr="00614D5F">
        <w:rPr>
          <w:rFonts w:ascii="David" w:hAnsi="David" w:cs="David"/>
          <w:b/>
          <w:bCs w:val="0"/>
          <w:sz w:val="22"/>
          <w:szCs w:val="24"/>
          <w:rtl/>
        </w:rPr>
        <w:t>חתימת הסטודנט:</w:t>
      </w:r>
    </w:p>
    <w:p w:rsidR="004358B0" w:rsidRDefault="004358B0" w:rsidP="006A3C11">
      <w:pPr>
        <w:bidi/>
        <w:spacing w:line="480" w:lineRule="auto"/>
        <w:rPr>
          <w:rFonts w:ascii="David" w:hAnsi="David" w:cs="David"/>
          <w:b/>
          <w:bCs w:val="0"/>
          <w:sz w:val="22"/>
          <w:szCs w:val="24"/>
          <w:rtl/>
        </w:rPr>
      </w:pPr>
    </w:p>
    <w:p w:rsidR="009D2472" w:rsidRPr="00614D5F" w:rsidRDefault="009D2472" w:rsidP="006A3C11">
      <w:pPr>
        <w:bidi/>
        <w:spacing w:line="480" w:lineRule="auto"/>
        <w:rPr>
          <w:rFonts w:ascii="David" w:hAnsi="David" w:cs="David"/>
          <w:b/>
          <w:bCs w:val="0"/>
          <w:sz w:val="22"/>
          <w:szCs w:val="24"/>
          <w:rtl/>
        </w:rPr>
      </w:pPr>
      <w:r w:rsidRPr="00614D5F">
        <w:rPr>
          <w:rFonts w:ascii="David" w:hAnsi="David" w:cs="David"/>
          <w:b/>
          <w:bCs w:val="0"/>
          <w:sz w:val="22"/>
          <w:szCs w:val="24"/>
          <w:rtl/>
        </w:rPr>
        <w:t>חתימת המנחה:</w:t>
      </w:r>
    </w:p>
    <w:p w:rsidR="004358B0" w:rsidRDefault="004358B0" w:rsidP="006A3C11">
      <w:pPr>
        <w:bidi/>
        <w:spacing w:line="480" w:lineRule="auto"/>
        <w:rPr>
          <w:rFonts w:ascii="David" w:hAnsi="David" w:cs="David"/>
          <w:b/>
          <w:bCs w:val="0"/>
          <w:sz w:val="22"/>
          <w:szCs w:val="24"/>
          <w:rtl/>
        </w:rPr>
      </w:pPr>
    </w:p>
    <w:p w:rsidR="009D2472" w:rsidRPr="00614D5F" w:rsidRDefault="009D2472" w:rsidP="006A3C11">
      <w:pPr>
        <w:bidi/>
        <w:spacing w:line="480" w:lineRule="auto"/>
        <w:rPr>
          <w:rFonts w:ascii="David" w:hAnsi="David" w:cs="David"/>
          <w:b/>
          <w:bCs w:val="0"/>
          <w:sz w:val="22"/>
          <w:szCs w:val="24"/>
        </w:rPr>
      </w:pPr>
      <w:r w:rsidRPr="00614D5F">
        <w:rPr>
          <w:rFonts w:ascii="David" w:hAnsi="David" w:cs="David"/>
          <w:b/>
          <w:bCs w:val="0"/>
          <w:sz w:val="22"/>
          <w:szCs w:val="24"/>
          <w:rtl/>
        </w:rPr>
        <w:t>חתימת ראש החוג:</w:t>
      </w:r>
    </w:p>
    <w:p w:rsidR="009B5EE5" w:rsidRPr="00614D5F" w:rsidRDefault="009B5EE5" w:rsidP="009B5EE5">
      <w:pPr>
        <w:bidi/>
        <w:rPr>
          <w:rFonts w:ascii="David" w:hAnsi="David" w:cs="David"/>
          <w:b/>
          <w:bCs w:val="0"/>
          <w:sz w:val="22"/>
          <w:szCs w:val="24"/>
        </w:rPr>
      </w:pPr>
    </w:p>
    <w:p w:rsidR="009D2472" w:rsidRPr="006A3C11" w:rsidRDefault="009D2472" w:rsidP="00534892">
      <w:pPr>
        <w:pStyle w:val="Heading1"/>
        <w:rPr>
          <w:b/>
          <w:bCs/>
        </w:rPr>
      </w:pPr>
      <w:r w:rsidRPr="006A3C11">
        <w:rPr>
          <w:b/>
          <w:bCs/>
        </w:rPr>
        <w:t>Introduction</w:t>
      </w:r>
    </w:p>
    <w:p w:rsidR="00ED168F" w:rsidRPr="00410839" w:rsidRDefault="00ED168F" w:rsidP="001554D3">
      <w:r>
        <w:t>P</w:t>
      </w:r>
      <w:r w:rsidR="00410839" w:rsidRPr="00410839">
        <w:t>harmaceuticals</w:t>
      </w:r>
      <w:r>
        <w:t xml:space="preserve"> and personal care products</w:t>
      </w:r>
      <w:r w:rsidR="00410839" w:rsidRPr="00410839">
        <w:t xml:space="preserve"> </w:t>
      </w:r>
      <w:r>
        <w:t>(PPCPs)</w:t>
      </w:r>
      <w:r w:rsidR="00410839" w:rsidRPr="00410839">
        <w:t xml:space="preserve"> </w:t>
      </w:r>
      <w:r>
        <w:t>are</w:t>
      </w:r>
      <w:r w:rsidR="001B5527">
        <w:t xml:space="preserve"> contaminants of</w:t>
      </w:r>
      <w:r>
        <w:t xml:space="preserve"> </w:t>
      </w:r>
      <w:r w:rsidRPr="00ED168F">
        <w:t xml:space="preserve">emerging concern (CECs) </w:t>
      </w:r>
      <w:r>
        <w:t xml:space="preserve">that </w:t>
      </w:r>
      <w:r w:rsidR="00410839" w:rsidRPr="00410839">
        <w:t>are commonly found in biosolids and effluents from wastewater treatment plants</w:t>
      </w:r>
      <w:r>
        <w:t xml:space="preserve"> (WWTPs)</w:t>
      </w:r>
      <w:r w:rsidR="00410839" w:rsidRPr="00410839">
        <w:t>.</w:t>
      </w:r>
      <w:r w:rsidR="001554D3">
        <w:t xml:space="preserve"> In this study the focus will be on the pharmaceuticals (PCs) only.</w:t>
      </w:r>
      <w:r>
        <w:t xml:space="preserve"> </w:t>
      </w:r>
      <w:r w:rsidRPr="00ED168F">
        <w:t>Land applica</w:t>
      </w:r>
      <w:r>
        <w:t xml:space="preserve">tion of these biosolids and </w:t>
      </w:r>
      <w:r w:rsidRPr="00ED168F">
        <w:t>treated wastewater</w:t>
      </w:r>
      <w:r>
        <w:t xml:space="preserve"> (TWW) </w:t>
      </w:r>
      <w:r w:rsidR="004B6822">
        <w:t xml:space="preserve">use </w:t>
      </w:r>
      <w:r w:rsidRPr="00ED168F">
        <w:t>can</w:t>
      </w:r>
      <w:r>
        <w:t xml:space="preserve"> transfer </w:t>
      </w:r>
      <w:r w:rsidR="004B6822">
        <w:t>them</w:t>
      </w:r>
      <w:r>
        <w:t xml:space="preserve"> </w:t>
      </w:r>
      <w:r w:rsidRPr="00ED168F">
        <w:t>into terrestrial and aquatic environments, giving rise to pot</w:t>
      </w:r>
      <w:r>
        <w:t>ential accumulation in plants.</w:t>
      </w:r>
      <w:r w:rsidR="007A4A89">
        <w:t xml:space="preserve"> </w:t>
      </w:r>
      <w:r>
        <w:t xml:space="preserve">The increasing use of </w:t>
      </w:r>
      <w:r w:rsidR="00F064D1">
        <w:t xml:space="preserve">biosolids </w:t>
      </w:r>
      <w:r w:rsidR="00E40452">
        <w:t xml:space="preserve">as manure </w:t>
      </w:r>
      <w:r w:rsidR="00F064D1">
        <w:t xml:space="preserve">and </w:t>
      </w:r>
      <w:r>
        <w:t xml:space="preserve">TWW </w:t>
      </w:r>
      <w:r w:rsidR="00F064D1">
        <w:t xml:space="preserve">for irrigation </w:t>
      </w:r>
      <w:r>
        <w:t xml:space="preserve">and the increasing concern for human health has led to numerous studies investigating the fate of </w:t>
      </w:r>
      <w:r w:rsidR="001554D3">
        <w:t>P</w:t>
      </w:r>
      <w:r>
        <w:t xml:space="preserve">Cs in the environment. </w:t>
      </w:r>
      <w:r w:rsidR="00F064D1">
        <w:t>R</w:t>
      </w:r>
      <w:r w:rsidR="007400D2">
        <w:t>ecent publication</w:t>
      </w:r>
      <w:r w:rsidR="00AF561A">
        <w:t>s</w:t>
      </w:r>
      <w:r w:rsidR="007400D2">
        <w:t xml:space="preserve"> show uptake and accumulation of different </w:t>
      </w:r>
      <w:r w:rsidR="001554D3">
        <w:t xml:space="preserve">PCs </w:t>
      </w:r>
      <w:r w:rsidR="007400D2">
        <w:t>in</w:t>
      </w:r>
      <w:r w:rsidR="00F064D1">
        <w:t xml:space="preserve"> soils, water sources and plants organs</w:t>
      </w:r>
      <w:r w:rsidR="007400D2">
        <w:t xml:space="preserve">. </w:t>
      </w:r>
      <w:r w:rsidR="00F064D1">
        <w:t>Today o</w:t>
      </w:r>
      <w:r w:rsidR="007400D2">
        <w:t xml:space="preserve">nly </w:t>
      </w:r>
      <w:r w:rsidR="00E40452">
        <w:t>few</w:t>
      </w:r>
      <w:r w:rsidR="007400D2">
        <w:t xml:space="preserve"> </w:t>
      </w:r>
      <w:r w:rsidR="00F064D1">
        <w:t xml:space="preserve">articles </w:t>
      </w:r>
      <w:r w:rsidR="00AF561A">
        <w:t xml:space="preserve">are </w:t>
      </w:r>
      <w:r w:rsidR="00F064D1">
        <w:t>dealing with uptake focuses</w:t>
      </w:r>
      <w:r w:rsidR="007400D2">
        <w:t xml:space="preserve"> </w:t>
      </w:r>
      <w:r w:rsidR="00F064D1">
        <w:t>on</w:t>
      </w:r>
      <w:r w:rsidR="007400D2">
        <w:t xml:space="preserve"> field conditions under real environmental concentrations. Only th</w:t>
      </w:r>
      <w:r w:rsidR="002A60A6">
        <w:t>e</w:t>
      </w:r>
      <w:r w:rsidR="007400D2">
        <w:t xml:space="preserve">se </w:t>
      </w:r>
      <w:r w:rsidR="004358B0">
        <w:t>kinds</w:t>
      </w:r>
      <w:r w:rsidR="007400D2">
        <w:t xml:space="preserve"> of studies can indicate</w:t>
      </w:r>
      <w:r w:rsidR="003B6037">
        <w:t xml:space="preserve"> a</w:t>
      </w:r>
      <w:r w:rsidR="007400D2">
        <w:t xml:space="preserve"> real risk.  </w:t>
      </w:r>
      <w:r w:rsidR="00323829">
        <w:t xml:space="preserve">In </w:t>
      </w:r>
      <w:r w:rsidR="00E40452">
        <w:t xml:space="preserve">the present research </w:t>
      </w:r>
      <w:r w:rsidR="00323829">
        <w:t>we</w:t>
      </w:r>
      <w:r w:rsidR="004B6822">
        <w:t xml:space="preserve"> </w:t>
      </w:r>
      <w:r w:rsidR="00323829">
        <w:t xml:space="preserve">plan </w:t>
      </w:r>
      <w:r w:rsidR="00E40452">
        <w:t>to expose</w:t>
      </w:r>
      <w:r w:rsidR="00323829">
        <w:t xml:space="preserve"> different plants to biosolids and TWW under field-like conditions. Hopefully the </w:t>
      </w:r>
      <w:r w:rsidR="007A4A89">
        <w:t xml:space="preserve">generated </w:t>
      </w:r>
      <w:r w:rsidR="00323829">
        <w:t xml:space="preserve">results will </w:t>
      </w:r>
      <w:r w:rsidR="007A4A89">
        <w:t xml:space="preserve">assist to better understand uptake and actual </w:t>
      </w:r>
      <w:r w:rsidR="00F916C0">
        <w:t>exposure</w:t>
      </w:r>
      <w:r w:rsidR="007A4A89">
        <w:t>.</w:t>
      </w:r>
    </w:p>
    <w:p w:rsidR="009D2472" w:rsidRPr="006A3C11" w:rsidRDefault="009D2472" w:rsidP="00534892">
      <w:pPr>
        <w:pStyle w:val="Heading1"/>
        <w:rPr>
          <w:b/>
          <w:bCs/>
        </w:rPr>
      </w:pPr>
      <w:r w:rsidRPr="006A3C11">
        <w:rPr>
          <w:b/>
          <w:bCs/>
        </w:rPr>
        <w:t xml:space="preserve">Literature </w:t>
      </w:r>
      <w:r w:rsidR="006A3C11">
        <w:rPr>
          <w:b/>
          <w:bCs/>
        </w:rPr>
        <w:t>r</w:t>
      </w:r>
      <w:r w:rsidRPr="006A3C11">
        <w:rPr>
          <w:b/>
          <w:bCs/>
        </w:rPr>
        <w:t>eview</w:t>
      </w:r>
    </w:p>
    <w:p w:rsidR="0057418B" w:rsidRDefault="007A4A89" w:rsidP="007B7AB9">
      <w:pPr>
        <w:pStyle w:val="Heading2"/>
      </w:pPr>
      <w:r w:rsidRPr="00534892">
        <w:t>Pharmaceutical</w:t>
      </w:r>
      <w:r w:rsidR="006F7978">
        <w:t xml:space="preserve"> compounds </w:t>
      </w:r>
      <w:r w:rsidR="00684419">
        <w:t xml:space="preserve"> </w:t>
      </w:r>
    </w:p>
    <w:p w:rsidR="004059B4" w:rsidRDefault="00F067C7" w:rsidP="00AF561A">
      <w:r w:rsidRPr="00F067C7">
        <w:t>Pharmaceutically active compounds are complex molecules with different functionalities, physicochemical and biological properties.</w:t>
      </w:r>
      <w:r>
        <w:t xml:space="preserve"> Their molecular weight range typically between 300-1000 g mol</w:t>
      </w:r>
      <w:r w:rsidRPr="00F067C7">
        <w:rPr>
          <w:vertAlign w:val="superscript"/>
        </w:rPr>
        <w:t>-1</w:t>
      </w:r>
      <w:r>
        <w:t>. Each molecule has its own ionic nature</w:t>
      </w:r>
      <w:r w:rsidR="00757CF3">
        <w:t xml:space="preserve">, and under environmental conditions </w:t>
      </w:r>
      <w:r w:rsidR="00AF561A">
        <w:t xml:space="preserve">a molecule </w:t>
      </w:r>
      <w:r w:rsidR="00757CF3">
        <w:t>can be neutral, cationic, anionic or zwitterion</w:t>
      </w:r>
      <w:r w:rsidR="00D32356">
        <w:t xml:space="preserve"> according to </w:t>
      </w:r>
      <w:r w:rsidR="00AA4BCE">
        <w:t>the</w:t>
      </w:r>
      <w:r w:rsidR="00310204">
        <w:t>ir p</w:t>
      </w:r>
      <w:r w:rsidR="00310204" w:rsidRPr="00DC369A">
        <w:rPr>
          <w:i/>
          <w:iCs/>
        </w:rPr>
        <w:t>K</w:t>
      </w:r>
      <w:r w:rsidR="00310204">
        <w:t>a and the pH of the surroundings</w:t>
      </w:r>
      <w:r w:rsidR="00757CF3">
        <w:t xml:space="preserve">. </w:t>
      </w:r>
      <w:r w:rsidR="00310204">
        <w:t>One way to classify PC</w:t>
      </w:r>
      <w:r w:rsidR="00757CF3">
        <w:t xml:space="preserve">s </w:t>
      </w:r>
      <w:r w:rsidR="00310204">
        <w:t>is</w:t>
      </w:r>
      <w:r w:rsidR="00757CF3">
        <w:t xml:space="preserve"> according to their therapeutical purpose (e.g. antibiotics, anti-</w:t>
      </w:r>
      <w:r w:rsidR="00D32356">
        <w:t>inflammatory</w:t>
      </w:r>
      <w:r w:rsidR="00757CF3">
        <w:t>, anti-epileptic, etc</w:t>
      </w:r>
      <w:r w:rsidR="00D32356">
        <w:t>.</w:t>
      </w:r>
      <w:r w:rsidR="00757CF3">
        <w:t>)</w:t>
      </w:r>
      <w:r w:rsidR="00D32356">
        <w:t xml:space="preserve">. </w:t>
      </w:r>
      <w:r w:rsidR="004059B4">
        <w:t xml:space="preserve">It is estimated that worldwide </w:t>
      </w:r>
      <w:r w:rsidR="007A4A89">
        <w:t>sale</w:t>
      </w:r>
      <w:r w:rsidR="00E54BBE">
        <w:t>s</w:t>
      </w:r>
      <w:r w:rsidR="007A4A89">
        <w:t xml:space="preserve"> </w:t>
      </w:r>
      <w:r w:rsidR="004059B4">
        <w:t xml:space="preserve">of pharmaceuticals </w:t>
      </w:r>
      <w:r w:rsidR="00F927AF">
        <w:t>in 2014 was</w:t>
      </w:r>
      <w:r w:rsidR="004059B4">
        <w:t xml:space="preserve"> higher than</w:t>
      </w:r>
      <w:r w:rsidR="00FE2495">
        <w:t xml:space="preserve"> </w:t>
      </w:r>
      <w:r w:rsidR="00F927AF">
        <w:t>900</w:t>
      </w:r>
      <w:r w:rsidR="004059B4">
        <w:t xml:space="preserve"> </w:t>
      </w:r>
      <w:r w:rsidR="00F927AF">
        <w:t>billion U.S dollars</w:t>
      </w:r>
      <w:r w:rsidR="00FE2495">
        <w:t xml:space="preserve">. </w:t>
      </w:r>
      <w:r w:rsidR="00C11112">
        <w:t>In 2010</w:t>
      </w:r>
      <w:r w:rsidR="006A38E8">
        <w:t>,</w:t>
      </w:r>
      <w:r w:rsidR="00C11112">
        <w:t xml:space="preserve"> the </w:t>
      </w:r>
      <w:r w:rsidR="00C11112" w:rsidRPr="00C11112">
        <w:t>consumption of antibiotic drugs was more than 7</w:t>
      </w:r>
      <w:r w:rsidR="00405190">
        <w:rPr>
          <w:rFonts w:cs="Times New Roman"/>
        </w:rPr>
        <w:t>×</w:t>
      </w:r>
      <w:r w:rsidR="00C11112" w:rsidRPr="00C11112">
        <w:t>10</w:t>
      </w:r>
      <w:r w:rsidR="00626076">
        <w:rPr>
          <w:vertAlign w:val="superscript"/>
        </w:rPr>
        <w:t>10</w:t>
      </w:r>
      <w:r w:rsidR="00C11112" w:rsidRPr="00C11112">
        <w:t xml:space="preserve"> standard units (defined as a single dose unit</w:t>
      </w:r>
      <w:r w:rsidR="008C001B">
        <w:t>:</w:t>
      </w:r>
      <w:r w:rsidR="00C11112" w:rsidRPr="00C11112">
        <w:t xml:space="preserve"> i</w:t>
      </w:r>
      <w:r w:rsidR="008C001B">
        <w:t>.</w:t>
      </w:r>
      <w:r w:rsidR="00C11112" w:rsidRPr="00C11112">
        <w:t>e</w:t>
      </w:r>
      <w:r w:rsidR="008C001B">
        <w:t>.</w:t>
      </w:r>
      <w:r w:rsidR="00C11112" w:rsidRPr="00C11112">
        <w:t>, pill, capsule, or ampoule)</w:t>
      </w:r>
      <w:r w:rsidR="00C11112">
        <w:t xml:space="preserve"> </w:t>
      </w:r>
      <w:r w:rsidR="00F36F4D" w:rsidRPr="000E28AA">
        <w:fldChar w:fldCharType="begin" w:fldLock="1"/>
      </w:r>
      <w:r w:rsidR="00233E06">
        <w:instrText>ADDIN CSL_CITATION { "citationItems" : [ { "id" : "ITEM-1", "itemData" : { "DOI" : "10.1016/S1473-3099(14)70780-7", "ISBN" : "1474-4457 (Electronic) 1473-3099 (Linking)", "ISSN" : "14744457", "PMID" : "25022435", "abstract" : "Background: Antibiotic drug consumption is a major driver of antibiotic resistance. Variations in antibiotic resistance across countries are attributable, in part, to different volumes and patterns for antibiotic consumption. We aimed to assess variations in consumption to assist monitoring of the rise of resistance and development of rational-use policies and to provide a baseline for future assessment. Methods: With use of sales data for retail and hospital pharmacies from the IMS Health MIDAS database, we reviewed trends for consumption of standard units of antibiotics between 2000 and 2010 for 71 countries. We used compound annual growth rates to assess temporal differences in consumption for each country and Fourier series and regression methods to assess seasonal differences in consumption in 63 of the countries. Findings: Between 2000 and 2010, consumption of antibiotic drugs increased by 36% (from 54 083 964 813 standard units to 73 620 748 816 standard units). Brazil, Russia, India, China, and South Africa accounted for 76% of this increase. In most countries, antibiotic consumption varied significantly with season. There was increased consumption of carbapenems (45%) and polymixins (13%), two last-resort classes of antibiotic drugs. Interpretation: The rise of antibiotic consumption and the increase in use of last-resort antibiotic drugs raises serious concerns for public health. Appropriate use of antibiotics in developing countries should be encouraged. However, to prevent a striking rise in resistance in low-income and middle-income countries with large populations and to preserve antibiotic efficacy worldwide, programmes that promote rational use through coordinated efforts by the international community should be a priority. Funding: US Department of Homeland Security, Bill &amp; Melinda Gates Foundation, US National Institutes of Health, Princeton Grand Challenges Program. \u00a9 2014 Elsevier Ltd.", "author" : [ { "dropping-particle" : "", "family" : "Boeckel", "given" : "Van Thomas P.", "non-dropping-particle" : "", "parse-names" : false, "suffix" : "" }, { "dropping-particle" : "", "family" : "Gandra", "given" : "Sumanth", "non-dropping-particle" : "", "parse-names" : false, "suffix" : "" }, { "dropping-particle" : "", "family" : "Ashok", "given" : "Ashvin", "non-dropping-particle" : "", "parse-names" : false, "suffix" : "" }, { "dropping-particle" : "", "family" : "Caudron", "given" : "Quentin", "non-dropping-particle" : "", "parse-names" : false, "suffix" : "" }, { "dropping-particle" : "", "family" : "Grenfell", "given" : "Bryan T.", "non-dropping-particle" : "", "parse-names" : false, "suffix" : "" }, { "dropping-particle" : "", "family" : "Levin", "given" : "Simon a.", "non-dropping-particle" : "", "parse-names" : false, "suffix" : "" }, { "dropping-particle" : "", "family" : "Laxminarayan", "given" : "Ramanan", "non-dropping-particle" : "", "parse-names" : false, "suffix" : "" } ], "container-title" : "The Lancet Infectious Diseases", "id" : "ITEM-1", "issue" : "8", "issued" : { "date-parts" : [ [ "2014" ] ] }, "page" : "742-750", "publisher" : "Elsevier Ltd", "title" : "Global antibiotic consumption 2000 to 2010: An analysis of national pharmaceutical sales data", "type" : "article-journal", "volume" : "14" }, "uris" : [ "http://www.mendeley.com/documents/?uuid=d88c394d-167b-4792-a5d9-78f9ed54a194" ] } ], "mendeley" : { "formattedCitation" : "(Boeckel et al., 2014)", "manualFormatting" : "(Boeckel et al., 2014; Kummerer, 2004)", "plainTextFormattedCitation" : "(Boeckel et al., 2014)", "previouslyFormattedCitation" : "(Boeckel et al., 2014)" }, "properties" : { "noteIndex" : 0 }, "schema" : "https://github.com/citation-style-language/schema/raw/master/csl-citation.json" }</w:instrText>
      </w:r>
      <w:r w:rsidR="00F36F4D" w:rsidRPr="000E28AA">
        <w:fldChar w:fldCharType="separate"/>
      </w:r>
      <w:r w:rsidR="003B7A23" w:rsidRPr="000E28AA">
        <w:rPr>
          <w:noProof/>
        </w:rPr>
        <w:t>(Boeckel et al., 2014; Kummerer</w:t>
      </w:r>
      <w:r w:rsidR="00883BD2" w:rsidRPr="000E28AA">
        <w:rPr>
          <w:noProof/>
        </w:rPr>
        <w:t>,</w:t>
      </w:r>
      <w:r w:rsidR="003B7A23" w:rsidRPr="000E28AA">
        <w:rPr>
          <w:noProof/>
        </w:rPr>
        <w:t xml:space="preserve"> 2004)</w:t>
      </w:r>
      <w:r w:rsidR="00F36F4D" w:rsidRPr="000E28AA">
        <w:fldChar w:fldCharType="end"/>
      </w:r>
      <w:r w:rsidR="00C11112" w:rsidRPr="000E28AA">
        <w:t>.</w:t>
      </w:r>
    </w:p>
    <w:p w:rsidR="0057418B" w:rsidRDefault="006F7978" w:rsidP="007B7AB9">
      <w:pPr>
        <w:pStyle w:val="Heading2"/>
      </w:pPr>
      <w:r>
        <w:t xml:space="preserve"> </w:t>
      </w:r>
      <w:r w:rsidR="007A4A89">
        <w:t>P</w:t>
      </w:r>
      <w:r w:rsidR="007A4A89" w:rsidRPr="00410839">
        <w:t>harmaceutical</w:t>
      </w:r>
      <w:r w:rsidR="007A4A89">
        <w:t xml:space="preserve"> compounds</w:t>
      </w:r>
      <w:r w:rsidR="0057418B">
        <w:t xml:space="preserve"> in the </w:t>
      </w:r>
      <w:r w:rsidR="007A4A89">
        <w:t>environment</w:t>
      </w:r>
      <w:r w:rsidR="0057418B">
        <w:t>.</w:t>
      </w:r>
    </w:p>
    <w:p w:rsidR="00CB23B6" w:rsidRDefault="00CB23B6" w:rsidP="007B7AB9">
      <w:pPr>
        <w:pStyle w:val="Heading3"/>
      </w:pPr>
      <w:r>
        <w:t xml:space="preserve">Removal in </w:t>
      </w:r>
      <w:r w:rsidR="007A4A89">
        <w:t>wastewater treatment plants</w:t>
      </w:r>
    </w:p>
    <w:p w:rsidR="009549AC" w:rsidRPr="009A47DA" w:rsidRDefault="00D366CD" w:rsidP="001554D3">
      <w:r w:rsidRPr="009A47DA">
        <w:t xml:space="preserve">Pharmaceuticals enter sewage </w:t>
      </w:r>
      <w:r w:rsidR="009A47DA" w:rsidRPr="009A47DA">
        <w:t xml:space="preserve">effluents </w:t>
      </w:r>
      <w:r w:rsidRPr="009A47DA">
        <w:t>via urine, faeces or by improper disposal</w:t>
      </w:r>
      <w:r w:rsidR="002429AC" w:rsidRPr="009A47DA">
        <w:t>. T</w:t>
      </w:r>
      <w:r w:rsidRPr="009A47DA">
        <w:t>he main source</w:t>
      </w:r>
      <w:r w:rsidR="009B5EE5">
        <w:t>s</w:t>
      </w:r>
      <w:r w:rsidRPr="009A47DA">
        <w:t xml:space="preserve"> of discharge are households and hospitals. Almost all </w:t>
      </w:r>
      <w:r w:rsidR="009A47DA" w:rsidRPr="009A47DA">
        <w:t xml:space="preserve">sewage effluents </w:t>
      </w:r>
      <w:r w:rsidRPr="009A47DA">
        <w:t xml:space="preserve">are being treated in </w:t>
      </w:r>
      <w:r w:rsidR="00AF79A0">
        <w:t>WWTPs</w:t>
      </w:r>
      <w:r w:rsidR="00E46C5A" w:rsidRPr="009A47DA">
        <w:t xml:space="preserve"> and released to rivers or field</w:t>
      </w:r>
      <w:r w:rsidR="002429AC" w:rsidRPr="009A47DA">
        <w:t>s</w:t>
      </w:r>
      <w:r w:rsidR="00E46C5A" w:rsidRPr="009A47DA">
        <w:t xml:space="preserve"> as irrigation water. As new compounds are continually being manufactured and released to the environment, a major concern regarding their fate</w:t>
      </w:r>
      <w:r w:rsidR="009A47DA" w:rsidRPr="009A47DA">
        <w:t xml:space="preserve"> has</w:t>
      </w:r>
      <w:r w:rsidR="00E46C5A" w:rsidRPr="009A47DA">
        <w:t xml:space="preserve"> </w:t>
      </w:r>
      <w:r w:rsidR="00E46C5A" w:rsidRPr="009A47DA">
        <w:lastRenderedPageBreak/>
        <w:t xml:space="preserve">emerged. </w:t>
      </w:r>
      <w:r w:rsidR="006F7978">
        <w:t>Pharmaceutical compounds</w:t>
      </w:r>
      <w:r w:rsidR="009A47DA" w:rsidRPr="009A47DA">
        <w:t xml:space="preserve"> </w:t>
      </w:r>
      <w:r w:rsidR="002429AC" w:rsidRPr="009A47DA">
        <w:t>are be</w:t>
      </w:r>
      <w:r w:rsidR="00AF79A0">
        <w:t>ing partly removed in the WWTPs. T</w:t>
      </w:r>
      <w:r w:rsidR="009A47DA" w:rsidRPr="009A47DA">
        <w:t>heir fate</w:t>
      </w:r>
      <w:r w:rsidR="00C36CC5" w:rsidRPr="009A47DA">
        <w:t xml:space="preserve"> depends on several factors</w:t>
      </w:r>
      <w:r w:rsidR="00317145">
        <w:t xml:space="preserve"> such as </w:t>
      </w:r>
      <w:r w:rsidR="00C36CC5" w:rsidRPr="009A47DA">
        <w:t>physicochemical properties of pollutants, the type of treatment technology and climatic conditions (e.g.</w:t>
      </w:r>
      <w:r w:rsidR="00AF79A0">
        <w:t>,</w:t>
      </w:r>
      <w:r w:rsidR="00C36CC5" w:rsidRPr="009A47DA">
        <w:t xml:space="preserve"> dilution of </w:t>
      </w:r>
      <w:r w:rsidR="00F22EC2">
        <w:t>TWW</w:t>
      </w:r>
      <w:r w:rsidR="00C36CC5" w:rsidRPr="009A47DA">
        <w:t>, rainfall, temperature and level of sunlight)</w:t>
      </w:r>
      <w:r w:rsidR="00883BD2">
        <w:t xml:space="preserve"> </w:t>
      </w:r>
      <w:r w:rsidR="00F36F4D">
        <w:fldChar w:fldCharType="begin" w:fldLock="1"/>
      </w:r>
      <w:r w:rsidR="00883BD2">
        <w:instrText>ADDIN CSL_CITATION { "citationItems" : [ { "id" : "ITEM-1", "itemData" : { "DOI" : "10.1016/j.watres.2008.10.047", "ISBN" : "0043-1354", "ISSN" : "00431354", "PMID" : "19022470", "abstract" : "A 5-month monitoring program was undertaken in South Wales in the UK to determine the fate of 55 pharmaceuticals, personal care products, endocrine disruptors and illicit drugs (PPCPs) in two contrasting wastewater plants utilising two different wastewater treatment technologies: activated sludge and trickling filter beds. The impact of treated wastewater effluent on the quality of receiving waters was also assessed. PPCPs were found to be present at high loads reaching 10 kg day-1 in the raw sewage. Concentrations of PPCPs in raw sewage were found to correlate with their usage/consumption patterns in Wales and their metabolism. The efficiency of the removal of PPCPs was found to be strongly dependent on the technology implemented in the wastewater treatment plant (WWTP). In general, the WWTP utilising trickling filter beds resulted in, on average, less than 70% removal of all 55 PPCPs studied, while the WWTP utilising activated sludge treatment gave a much higher removal efficiency of over 85%. The monitoring programme revealed that treated wastewater effluents were the main contributors to PPCPs concentrations (up to 3 kg of PPCPs day-1) in the rivers studied. Bearing in mind that in the cases examined here the WWTP effluents were also major contributors to rivers' flows (dilution factor for the studied rivers did not exceed 23 times) the effect of WWTP effluent on the quality of river water is significant and cannot be underestimated. ?? 2008 Elsevier Ltd. All rights reserved.", "author" : [ { "dropping-particle" : "", "family" : "Kasprzyk-Hordern", "given" : "Barbara", "non-dropping-particle" : "", "parse-names" : false, "suffix" : "" }, { "dropping-particle" : "", "family" : "Dinsdale", "given" : "Richard M.", "non-dropping-particle" : "", "parse-names" : false, "suffix" : "" }, { "dropping-particle" : "", "family" : "Guwy", "given" : "Alan J.", "non-dropping-particle" : "", "parse-names" : false, "suffix" : "" } ], "container-title" : "Water Research", "id" : "ITEM-1", "issue" : "2", "issued" : { "date-parts" : [ [ "2009" ] ] }, "page" : "363-380", "publisher" : "Elsevier Ltd", "title" : "The removal of pharmaceuticals, personal care products, endocrine disruptors and illicit drugs during wastewater treatment and its impact on the quality of receiving waters", "type" : "article-journal", "volume" : "43" }, "uris" : [ "http://www.mendeley.com/documents/?uuid=e505a407-dfe4-45ae-9f75-f3a87147918b" ] } ], "mendeley" : { "formattedCitation" : "(Kasprzyk-Hordern et al., 2009)", "plainTextFormattedCitation" : "(Kasprzyk-Hordern et al., 2009)", "previouslyFormattedCitation" : "(Kasprzyk-Hordern et al., 2009)" }, "properties" : { "noteIndex" : 0 }, "schema" : "https://github.com/citation-style-language/schema/raw/master/csl-citation.json" }</w:instrText>
      </w:r>
      <w:r w:rsidR="00F36F4D">
        <w:fldChar w:fldCharType="separate"/>
      </w:r>
      <w:r w:rsidR="00883BD2" w:rsidRPr="00883BD2">
        <w:rPr>
          <w:noProof/>
        </w:rPr>
        <w:t>(Kasprzyk-Hordern et al., 2009)</w:t>
      </w:r>
      <w:r w:rsidR="00F36F4D">
        <w:fldChar w:fldCharType="end"/>
      </w:r>
      <w:r w:rsidR="00883BD2">
        <w:t xml:space="preserve">. </w:t>
      </w:r>
      <w:r w:rsidR="00F36F4D" w:rsidRPr="00883BD2">
        <w:fldChar w:fldCharType="begin" w:fldLock="1"/>
      </w:r>
      <w:r w:rsidR="00883BD2">
        <w:instrText>ADDIN CSL_CITATION { "citationItems" : [ { "id" : "ITEM-1", "itemData" : { "author" : [ { "dropping-particle" : "", "family" : "Miege", "given" : "C.", "non-dropping-particle" : "", "parse-names" : false, "suffix" : "" }, { "dropping-particle" : "", "family" : "Choubert", "given" : "J. M.", "non-dropping-particle" : "", "parse-names" : false, "suffix" : "" }, { "dropping-particle" : "", "family" : "Ribeiro", "given" : "L.", "non-dropping-particle" : "", "parse-names" : false, "suffix" : "" }, { "dropping-particle" : "", "family" : "Eusebe", "given" : "M.", "non-dropping-particle" : "", "parse-names" : false, "suffix" : "" }, { "dropping-particle" : "", "family" : "Coquery", "given" : "M.", "non-dropping-particle" : "", "parse-names" : false, "suffix" : "" } ], "container-title" : "Environmental Pollution", "id" : "ITEM-1", "issue" : "5", "issued" : { "date-parts" : [ [ "2009" ] ] }, "page" : "1721-1726", "title" : "Fate of pharmaceuticals and personal care products in wastewater treatment plants \u2013 Conception of a database and first results", "type" : "article-journal", "volume" : "157" }, "uris" : [ "http://www.mendeley.com/documents/?uuid=d7fe3715-9a4d-4592-a74c-dc5b712c2b7c" ] } ], "mendeley" : { "formattedCitation" : "(Miege et al., 2009)", "manualFormatting" : "Miege et al., 2009", "plainTextFormattedCitation" : "(Miege et al., 2009)", "previouslyFormattedCitation" : "(Miege et al., 2009)" }, "properties" : { "noteIndex" : 0 }, "schema" : "https://github.com/citation-style-language/schema/raw/master/csl-citation.json" }</w:instrText>
      </w:r>
      <w:r w:rsidR="00F36F4D" w:rsidRPr="00883BD2">
        <w:fldChar w:fldCharType="separate"/>
      </w:r>
      <w:r w:rsidR="00883BD2" w:rsidRPr="00883BD2">
        <w:rPr>
          <w:noProof/>
        </w:rPr>
        <w:t>Miege et al.</w:t>
      </w:r>
      <w:r w:rsidR="00317145">
        <w:rPr>
          <w:noProof/>
        </w:rPr>
        <w:t xml:space="preserve"> (</w:t>
      </w:r>
      <w:r w:rsidR="00883BD2" w:rsidRPr="00883BD2">
        <w:rPr>
          <w:noProof/>
        </w:rPr>
        <w:t>2009</w:t>
      </w:r>
      <w:r w:rsidR="00F36F4D" w:rsidRPr="00883BD2">
        <w:fldChar w:fldCharType="end"/>
      </w:r>
      <w:r w:rsidR="00317145">
        <w:t xml:space="preserve">) </w:t>
      </w:r>
      <w:r w:rsidR="009549AC">
        <w:t xml:space="preserve">collected data from 117 </w:t>
      </w:r>
      <w:r w:rsidR="009549AC" w:rsidRPr="009549AC">
        <w:t xml:space="preserve">scientific </w:t>
      </w:r>
      <w:r w:rsidR="009549AC">
        <w:t xml:space="preserve">publications </w:t>
      </w:r>
      <w:r w:rsidR="0048374B">
        <w:t xml:space="preserve">that checked the influents and effluents of WWTPs </w:t>
      </w:r>
      <w:r w:rsidR="009549AC">
        <w:t>covering 184 PPCPs. T</w:t>
      </w:r>
      <w:r w:rsidR="0048374B">
        <w:t xml:space="preserve">heir </w:t>
      </w:r>
      <w:r w:rsidR="009B5EE5">
        <w:t>study focused on 33 molecules represents</w:t>
      </w:r>
      <w:r w:rsidR="0048374B" w:rsidRPr="0048374B">
        <w:t xml:space="preserve"> 80% of the recorded data</w:t>
      </w:r>
      <w:r w:rsidR="0048374B">
        <w:t xml:space="preserve">. According to their data, </w:t>
      </w:r>
      <w:r w:rsidR="00AF79A0">
        <w:t>many</w:t>
      </w:r>
      <w:r w:rsidR="0048374B">
        <w:t xml:space="preserve"> of </w:t>
      </w:r>
      <w:r w:rsidR="001554D3">
        <w:t>compounds</w:t>
      </w:r>
      <w:r w:rsidR="0048374B">
        <w:t xml:space="preserve"> are not completely removed</w:t>
      </w:r>
      <w:r w:rsidR="00317145">
        <w:t xml:space="preserve"> in WWTPs. C</w:t>
      </w:r>
      <w:r w:rsidR="0048374B">
        <w:t>arbamazepine and metoprolol</w:t>
      </w:r>
      <w:r w:rsidR="00317145">
        <w:t xml:space="preserve"> show </w:t>
      </w:r>
      <w:r w:rsidR="0048374B">
        <w:t xml:space="preserve">less than </w:t>
      </w:r>
      <w:r w:rsidR="00EA57BD">
        <w:t xml:space="preserve">20% removal, clofibric acid and </w:t>
      </w:r>
      <w:r w:rsidR="0048374B">
        <w:t>diclofenac</w:t>
      </w:r>
      <w:r w:rsidR="00317145">
        <w:t xml:space="preserve"> exhibited </w:t>
      </w:r>
      <w:r w:rsidR="0048374B">
        <w:t xml:space="preserve">less than 60% removal. </w:t>
      </w:r>
      <w:r w:rsidR="00547A4F">
        <w:rPr>
          <w:rFonts w:hint="cs"/>
        </w:rPr>
        <w:t>M</w:t>
      </w:r>
      <w:r w:rsidR="00547A4F">
        <w:t>ore recent articles still deal with this concern</w:t>
      </w:r>
      <w:r w:rsidR="001554D3">
        <w:t xml:space="preserve"> and show small removals</w:t>
      </w:r>
      <w:r w:rsidR="00883BD2">
        <w:t xml:space="preserve"> </w:t>
      </w:r>
      <w:r w:rsidR="00F36F4D">
        <w:fldChar w:fldCharType="begin" w:fldLock="1"/>
      </w:r>
      <w:r w:rsidR="00883BD2">
        <w:instrText>ADDIN CSL_CITATION { "citationItems" : [ { "id" : "ITEM-1", "itemData" : { "DOI" : "10.1007/s00244-013-9979-0", "ISSN" : "14320703", "PMID" : "24357097", "abstract" : "Residues of pharmaceuticals and personal care products (PPCPs) have been detected in surface waters. Incomplete removal of these compounds by wastewater-treatment plants (WWTPs) results in their presence in effluents and finally in surface waters. The occurrence and removal of four PPCPs was investigated in three WWTPs in Mississippi, USA, during a period of 1 year. Influent and effluent were sampled from the three WWTPs. Upstream and downstream samples of the WWTPs were also collected. All four PPCPs were detected in all influents where sulfamethoxazole showed the highest concentration levels with a median concentration of 1,640 ng/L, and carbamazepine was detected at the lowest level with a median concentration of 132 ng/L. Different PPCPs were removed to different extents varying from 99 to 100 %. Gemfibrozil showed the highest removal rates (73-100 %), whereas carbamazepine showed the lowest (-99 to -30 %). Secondary activated sludge in oxidation-ditch process showed remarkable PPCP-specific removal rates. Galaxolide was removed more than the other PPCPs, and sulfamethoxazole showed the least removal. Galaxolide was found to be a predominant PPCP in effluent among the PPCPs studied, and it was detected in all downstream (14.1-428.2 ng/L) and upstream (4.1-60.0 ng/L) samples. Sulfamethoxazole was removed more during the summer than the winter season. A clear increase of PPCP concentrations was observed in most downstream samples compared with upstream samples suggesting that discharges from WWTPs are the major source of PPCPs in surface waters.", "author" : [ { "dropping-particle" : "", "family" : "Kwon", "given" : "Jeong Wook", "non-dropping-particle" : "", "parse-names" : false, "suffix" : "" }, { "dropping-particle" : "", "family" : "Rodriguez", "given" : "Jose M.", "non-dropping-particle" : "", "parse-names" : false, "suffix" : "" } ], "container-title" : "Archives of Environmental Contamination and Toxicology", "id" : "ITEM-1", "issue" : "4", "issued" : { "date-parts" : [ [ "2014" ] ] }, "page" : "538-548", "title" : "Occurrence and removal of selected pharmaceuticals and personal care products in three wastewater-treatment plants", "type" : "article-journal", "volume" : "66" }, "uris" : [ "http://www.mendeley.com/documents/?uuid=44d9a4b0-0df6-453e-b07b-69b723f88a5f" ] }, { "id" : "ITEM-2", "itemData" : { "DOI" : "10.1007/s11270-010-0532-8", "ISBN" : "1127001005328", "ISSN" : "0049-6979", "author" : [ { "dropping-particle" : "", "family" : "Karnjanapiboonwong", "given" : "Adcharee", "non-dropping-particle" : "", "parse-names" : false, "suffix" : "" }, { "dropping-particle" : "", "family" : "Suski", "given" : "Jamie G.", "non-dropping-particle" : "", "parse-names" : false, "suffix" : "" }, { "dropping-particle" : "", "family" : "Shah", "given" : "Ankit a.", "non-dropping-particle" : "", "parse-names" : false, "suffix" : "" }, { "dropping-particle" : "", "family" : "Cai", "given" : "Qingsong", "non-dropping-particle" : "", "parse-names" : false, "suffix" : "" }, { "dropping-particle" : "", "family" : "Morse", "given" : "Audra N.", "non-dropping-particle" : "", "parse-names" : false, "suffix" : "" }, { "dropping-particle" : "", "family" : "Anderson", "given" : "Todd a.", "non-dropping-particle" : "", "parse-names" : false, "suffix" : "" } ], "container-title" : "Water, Air, &amp; Soil Pollution", "id" : "ITEM-2", "issue" : "1-4", "issued" : { "date-parts" : [ [ "2011" ] ] }, "page" : "257-273", "title" : "Occurrence of PPCPs at a wastewater treatment plant and in soil and groundwater at a land application site", "type" : "article-journal", "volume" : "216" }, "uris" : [ "http://www.mendeley.com/documents/?uuid=d2d724f1-dcfb-4dcf-8b4c-97a116dc0962" ] }, { "id" : "ITEM-3", "itemData" : { "DOI" : "10.1016/j.chemosphere.2014.03.132", "ISSN" : "18791298", "PMID" : "24997947", "abstract" : "Seasonal changes in the concentration of 21 pharmaceuticals in a wastewater treatment plant (WWTP) in \u010cesk\u00e9 Bud\u011bjovice were investigated over 12months. The target compounds were 10 antibiotics, 4 antidepressants, 3 psychiatric drugs, 2 antihistamines and 2 lipid regulators. 272 Wastewater samples (136 influents and 136 effluents) were collected from March 2011 to February 2012 and analyzed using two-dimensional liquid chromatography coupled with tandem mass spectrometry. All studied pharmaceuticals were frequently detected in both the influent and the effluent wastewater samples, except for meclozine, which was only found in the influent. The mean concentration of pharmaceuticals varied from 0.006\u03bcgL-1 to 1.48\u03bcgL-1 in the influent and from 0.003\u03bcgL-1 to 0.93\u03bcgL-1 in the effluent. The concentration of most pharmaceuticals was higher during winter. \u00a9 2014 Elsevier Ltd.", "author" : [ { "dropping-particle" : "", "family" : "Golovko", "given" : "Oksana", "non-dropping-particle" : "", "parse-names" : false, "suffix" : "" }, { "dropping-particle" : "", "family" : "Kumar", "given" : "Vimal", "non-dropping-particle" : "", "parse-names" : false, "suffix" : "" }, { "dropping-particle" : "", "family" : "Fedorova", "given" : "Ganna", "non-dropping-particle" : "", "parse-names" : false, "suffix" : "" }, { "dropping-particle" : "", "family" : "Randak", "given" : "Tomas", "non-dropping-particle" : "", "parse-names" : false, "suffix" : "" }, { "dropping-particle" : "", "family" : "Grabic", "given" : "Roman", "non-dropping-particle" : "", "parse-names" : false, "suffix" : "" } ], "container-title" : "Chemosphere", "id" : "ITEM-3", "issued" : { "date-parts" : [ [ "2014" ] ] }, "page" : "418-426", "publisher" : "Elsevier Ltd", "title" : "Seasonal changes in antibiotics, antidepressants/psychiatric drugs, antihistamines and lipid regulators in a wastewater treatment plant", "type" : "article-journal", "volume" : "111" }, "uris" : [ "http://www.mendeley.com/documents/?uuid=b0ff3729-738e-4702-8588-f0db9ed738f2" ] } ], "mendeley" : { "formattedCitation" : "(Karnjanapiboonwong et al., 2011; Golovko et al., 2014; Kwon and Rodriguez, 2014)", "plainTextFormattedCitation" : "(Karnjanapiboonwong et al., 2011; Golovko et al., 2014; Kwon and Rodriguez, 2014)", "previouslyFormattedCitation" : "(Karnjanapiboonwong et al., 2011; Golovko et al., 2014; Kwon and Rodriguez, 2014)" }, "properties" : { "noteIndex" : 0 }, "schema" : "https://github.com/citation-style-language/schema/raw/master/csl-citation.json" }</w:instrText>
      </w:r>
      <w:r w:rsidR="00F36F4D">
        <w:fldChar w:fldCharType="separate"/>
      </w:r>
      <w:r w:rsidR="00883BD2" w:rsidRPr="00883BD2">
        <w:rPr>
          <w:noProof/>
        </w:rPr>
        <w:t>(Karnjanapiboonwong et al., 2011; Golovko et al., 2014; Kwon and Rodriguez, 2014)</w:t>
      </w:r>
      <w:r w:rsidR="00F36F4D">
        <w:fldChar w:fldCharType="end"/>
      </w:r>
      <w:r w:rsidR="002F7042">
        <w:t xml:space="preserve">. </w:t>
      </w:r>
      <w:r w:rsidR="002F7042" w:rsidRPr="002F7042">
        <w:t xml:space="preserve">These </w:t>
      </w:r>
      <w:r w:rsidR="001554D3">
        <w:t>studies</w:t>
      </w:r>
      <w:r w:rsidR="002F7042" w:rsidRPr="002F7042">
        <w:t xml:space="preserve"> do not take into account the full removal of PPCP in</w:t>
      </w:r>
      <w:r w:rsidR="002F7042">
        <w:t xml:space="preserve"> </w:t>
      </w:r>
      <w:r w:rsidR="002F7042" w:rsidRPr="002F7042">
        <w:t>WWTPs as only the dissolved concentrations are usually measured and reported</w:t>
      </w:r>
      <w:r w:rsidR="001554D3">
        <w:t xml:space="preserve"> while the sludge stays unmeasured</w:t>
      </w:r>
      <w:r w:rsidR="002F7042" w:rsidRPr="002F7042">
        <w:t>. This probably does not change results dramatically for hydrophilic molecules, but it cannot be overlooked</w:t>
      </w:r>
      <w:r w:rsidR="002F7042">
        <w:t xml:space="preserve"> for more hydrophobic compounds</w:t>
      </w:r>
      <w:r w:rsidR="009549AC" w:rsidRPr="009549AC">
        <w:t>.</w:t>
      </w:r>
    </w:p>
    <w:p w:rsidR="0057418B" w:rsidRDefault="00627DC0" w:rsidP="007B7AB9">
      <w:pPr>
        <w:pStyle w:val="Heading3"/>
      </w:pPr>
      <w:r>
        <w:t>Soils</w:t>
      </w:r>
      <w:r w:rsidR="003936AB">
        <w:t xml:space="preserve"> </w:t>
      </w:r>
      <w:r w:rsidR="00317145">
        <w:t xml:space="preserve">irrigated </w:t>
      </w:r>
      <w:r w:rsidR="003936AB">
        <w:t xml:space="preserve">with </w:t>
      </w:r>
      <w:r w:rsidR="005D04F9">
        <w:t>treated wastewater</w:t>
      </w:r>
    </w:p>
    <w:p w:rsidR="00ED73C8" w:rsidRDefault="00CD5ED8" w:rsidP="00D53B10">
      <w:r w:rsidRPr="00CD5ED8">
        <w:t xml:space="preserve">Pharmaceutical compounds </w:t>
      </w:r>
      <w:r w:rsidR="00D53B10">
        <w:t xml:space="preserve">(PCs) </w:t>
      </w:r>
      <w:r>
        <w:t>are introduced to arable land via intensive irrigation with TWW</w:t>
      </w:r>
      <w:r w:rsidR="00E92431" w:rsidRPr="0003177F">
        <w:t xml:space="preserve">. </w:t>
      </w:r>
      <w:r w:rsidR="00EA57BD">
        <w:t>In the field a</w:t>
      </w:r>
      <w:r w:rsidR="0045226C" w:rsidRPr="0003177F">
        <w:t xml:space="preserve"> PC may undergo several processes: sorption, chemo-degradation, photo-degradation, bio-degradation, mineralization, plant uptake, </w:t>
      </w:r>
      <w:r w:rsidR="0003177F" w:rsidRPr="0003177F">
        <w:t>percolation</w:t>
      </w:r>
      <w:r w:rsidR="0045226C" w:rsidRPr="0003177F">
        <w:t xml:space="preserve"> or</w:t>
      </w:r>
      <w:r w:rsidR="00E92431" w:rsidRPr="0003177F">
        <w:t xml:space="preserve"> </w:t>
      </w:r>
      <w:r w:rsidR="0005398C">
        <w:t xml:space="preserve">volatilization. </w:t>
      </w:r>
      <w:r w:rsidR="00E92431" w:rsidRPr="0003177F">
        <w:t xml:space="preserve">Among these processes, sorption and </w:t>
      </w:r>
      <w:r w:rsidR="0045226C" w:rsidRPr="0003177F">
        <w:t>degrada</w:t>
      </w:r>
      <w:r w:rsidR="00E92431" w:rsidRPr="0003177F">
        <w:t xml:space="preserve">tion are considered the most important pathways for removal of </w:t>
      </w:r>
      <w:r w:rsidR="00D53B10">
        <w:t>PC</w:t>
      </w:r>
      <w:r w:rsidR="00E92431" w:rsidRPr="0003177F">
        <w:t>s</w:t>
      </w:r>
      <w:r w:rsidR="0045226C" w:rsidRPr="0003177F">
        <w:t xml:space="preserve"> from agricultural soil </w:t>
      </w:r>
      <w:r w:rsidR="00F36F4D">
        <w:fldChar w:fldCharType="begin" w:fldLock="1"/>
      </w:r>
      <w:r w:rsidR="0005398C">
        <w:instrText>ADDIN CSL_CITATION { "citationItems" : [ { "id" : "ITEM-1", "itemData" : { "DOI" : "10.1080/10643389.2014.955628", "ISSN" : "1064-3389", "author" : [ { "dropping-particle" : "", "family" : "Qin", "given" : "Qin", "non-dropping-particle" : "", "parse-names" : false, "suffix" : "" }, { "dropping-particle" : "", "family" : "Chen", "given" : "Xijuan", "non-dropping-particle" : "", "parse-names" : false, "suffix" : "" }, { "dropping-particle" : "", "family" : "Zhuang", "given" : "Jie", "non-dropping-particle" : "", "parse-names" : false, "suffix" : "" } ], "container-title" : "Critical Reviews in Environmental Science and Technology", "id" : "ITEM-1", "issue" : "13", "issued" : { "date-parts" : [ [ "2015" ] ] }, "page" : "1379-1408", "title" : "The fate and impact of pharmaceuticals and personal care products in agricultural soils irrigated with reclaimed water", "type" : "article-journal", "volume" : "45" }, "uris" : [ "http://www.mendeley.com/documents/?uuid=54fdf263-4a17-4106-8cb4-d72d64132741" ] } ], "mendeley" : { "formattedCitation" : "(Qin et al., 2015)", "plainTextFormattedCitation" : "(Qin et al., 2015)", "previouslyFormattedCitation" : "(Qin et al., 2015)" }, "properties" : { "noteIndex" : 0 }, "schema" : "https://github.com/citation-style-language/schema/raw/master/csl-citation.json" }</w:instrText>
      </w:r>
      <w:r w:rsidR="00F36F4D">
        <w:fldChar w:fldCharType="separate"/>
      </w:r>
      <w:r w:rsidR="00883BD2" w:rsidRPr="00883BD2">
        <w:rPr>
          <w:noProof/>
        </w:rPr>
        <w:t>(Qin et al., 2015)</w:t>
      </w:r>
      <w:r w:rsidR="00F36F4D">
        <w:fldChar w:fldCharType="end"/>
      </w:r>
      <w:r w:rsidR="00883BD2">
        <w:t>.</w:t>
      </w:r>
      <w:r>
        <w:t xml:space="preserve"> </w:t>
      </w:r>
      <w:r w:rsidR="0003177F" w:rsidRPr="0003177F">
        <w:t>Sorption to soils will be determined by the physic</w:t>
      </w:r>
      <w:r w:rsidR="0003177F">
        <w:t>o</w:t>
      </w:r>
      <w:r w:rsidR="0003177F" w:rsidRPr="0003177F">
        <w:t xml:space="preserve">chemical properties </w:t>
      </w:r>
      <w:r w:rsidR="0003177F">
        <w:t xml:space="preserve">of the PC </w:t>
      </w:r>
      <w:r w:rsidR="0003177F" w:rsidRPr="0003177F">
        <w:t>(e.g. p</w:t>
      </w:r>
      <w:r w:rsidR="0003177F" w:rsidRPr="00DC369A">
        <w:rPr>
          <w:i/>
          <w:iCs/>
        </w:rPr>
        <w:t>K</w:t>
      </w:r>
      <w:r w:rsidR="0003177F" w:rsidRPr="0003177F">
        <w:t xml:space="preserve">a and </w:t>
      </w:r>
      <w:r w:rsidR="0003177F" w:rsidRPr="00DC369A">
        <w:rPr>
          <w:i/>
          <w:iCs/>
        </w:rPr>
        <w:t>K</w:t>
      </w:r>
      <w:r w:rsidR="0003177F" w:rsidRPr="0003177F">
        <w:t>ow) and soil's characteristics (e.g. texture, clay</w:t>
      </w:r>
      <w:r w:rsidR="00B547A2">
        <w:t xml:space="preserve"> and soil organic matter </w:t>
      </w:r>
      <w:r>
        <w:t>[</w:t>
      </w:r>
      <w:r w:rsidR="00B547A2">
        <w:t>SOM</w:t>
      </w:r>
      <w:r>
        <w:t>]</w:t>
      </w:r>
      <w:r w:rsidRPr="0003177F">
        <w:t xml:space="preserve"> </w:t>
      </w:r>
      <w:r w:rsidR="0003177F" w:rsidRPr="0003177F">
        <w:t xml:space="preserve">type and </w:t>
      </w:r>
      <w:r w:rsidR="00B547A2">
        <w:t>content</w:t>
      </w:r>
      <w:r w:rsidR="0003177F" w:rsidRPr="0003177F">
        <w:t>)</w:t>
      </w:r>
      <w:r w:rsidR="004E4F40">
        <w:t xml:space="preserve">, which will determine the soil affinity to the specific PC (i.e., </w:t>
      </w:r>
      <w:proofErr w:type="gramStart"/>
      <w:r w:rsidR="004E4F40" w:rsidRPr="005D04F9">
        <w:rPr>
          <w:i/>
          <w:iCs/>
        </w:rPr>
        <w:t>K</w:t>
      </w:r>
      <w:r w:rsidR="004E4F40">
        <w:t>d</w:t>
      </w:r>
      <w:proofErr w:type="gramEnd"/>
      <w:r w:rsidR="004E4F40">
        <w:t>)</w:t>
      </w:r>
      <w:r w:rsidR="0003177F" w:rsidRPr="0003177F">
        <w:t>.</w:t>
      </w:r>
      <w:r w:rsidR="0003177F">
        <w:t xml:space="preserve"> </w:t>
      </w:r>
      <w:r w:rsidR="00882B40">
        <w:t>While the percentage of SOM is not high</w:t>
      </w:r>
      <w:r w:rsidR="00B547A2">
        <w:t xml:space="preserve"> in soils</w:t>
      </w:r>
      <w:r w:rsidR="00882B40">
        <w:t xml:space="preserve"> it plays an important role in the sorption process.</w:t>
      </w:r>
      <w:r w:rsidR="00F36F4D">
        <w:fldChar w:fldCharType="begin" w:fldLock="1"/>
      </w:r>
      <w:r w:rsidR="00F014E0">
        <w:instrText>ADDIN CSL_CITATION { "citationItems" : [ { "id" : "ITEM-1", "itemData" : { "DOI" : "10.1016/j.chemosphere.2008.06.070", "ISSN" : "1879-1298", "PMID" : "18703215", "abstract" : "Use of reclaimed wastewater for irrigation is an important route for the introduction of pharmaceutical compounds (PCs) into the environment. In this study, the mobility and sorption-desorption behavior of carbamazepine, naproxen and diclofenac were studied in soil layers sampled from a plot irrigated with secondary-treated wastewater (STWW). Carbamazepine and diclofenac were significantly retarded in the 0-5 cm soil sample rich in soil organic matter (SOM): carbamazepine was not affected by the water quality (freshwater versus STWW), whereas diclofenac exhibited a higher retardation factor (RF) in the freshwater system. Naproxen exhibited significantly lower RFs than diclofenac but with a similar trend - higher retardation in the freshwater versus STWW system. In the 5-15 cm soil sample containing low SOM, naproxen was highly mobile while carbamazepine and diclofenac were still retarded. In the 15-25 cm sample, all compounds exhibited their lowest RFs. Sorption data suggested that SOM governs the studied PCs' interactions with the soil samples. However, higher carbon-normalized sorption coefficients were measured for the PCs in the 15-25 cm sample, suggesting that both quantity and the physicochemical nature of SOM affect sorption interactions. While both naproxen and carbamazepine exhibited reversible sorption isotherms, diclofenac exhibited pronounced sorption-desorption hysteresis. This study suggests that carbamazepine and diclofenac can be classified as slow-mobile compounds in SOM-rich soil layers. When these compounds pass this layer and/or introduced into SOM-poor soils, their mobility increases significantly. This emphasizes the potential transport of PCs to groundwater in semiarid zones due to intensive irrigation with reclaimed wastewater in SOM-poor soils.", "author" : [ { "dropping-particle" : "", "family" : "Chefetz", "given" : "Benny", "non-dropping-particle" : "", "parse-names" : false, "suffix" : "" }, { "dropping-particle" : "", "family" : "Mualem", "given" : "Tamar", "non-dropping-particle" : "", "parse-names" : false, "suffix" : "" }, { "dropping-particle" : "", "family" : "Ben-Ari", "given" : "Julius", "non-dropping-particle" : "", "parse-names" : false, "suffix" : "" } ], "container-title" : "Chemosphere", "id" : "ITEM-1", "issue" : "8", "issued" : { "date-parts" : [ [ "2008", "11" ] ] }, "page" : "1335-1343", "publisher" : "Elsevier Ltd", "title" : "Sorption and mobility of pharmaceutical compounds in soil irrigated with reclaimed wastewater.", "type" : "article-journal", "volume" : "73" }, "uris" : [ "http://www.mendeley.com/documents/?uuid=d9339ec2-77ee-42c0-9532-aa27ea4fa529" ] } ], "mendeley" : { "formattedCitation" : "(Chefetz et al., 2008)", "manualFormatting" : " Chefetz et al., 2008", "plainTextFormattedCitation" : "(Chefetz et al., 2008)", "previouslyFormattedCitation" : "(Chefetz et al., 2008)" }, "properties" : { "noteIndex" : 0 }, "schema" : "https://github.com/citation-style-language/schema/raw/master/csl-citation.json" }</w:instrText>
      </w:r>
      <w:r w:rsidR="00F36F4D">
        <w:fldChar w:fldCharType="separate"/>
      </w:r>
      <w:r w:rsidR="0005398C">
        <w:rPr>
          <w:noProof/>
        </w:rPr>
        <w:t xml:space="preserve"> </w:t>
      </w:r>
      <w:r w:rsidR="0005398C" w:rsidRPr="0005398C">
        <w:rPr>
          <w:noProof/>
        </w:rPr>
        <w:t>Chefetz et al.</w:t>
      </w:r>
      <w:r>
        <w:rPr>
          <w:noProof/>
        </w:rPr>
        <w:t xml:space="preserve"> (</w:t>
      </w:r>
      <w:r w:rsidR="0005398C" w:rsidRPr="0005398C">
        <w:rPr>
          <w:noProof/>
        </w:rPr>
        <w:t>2008</w:t>
      </w:r>
      <w:r w:rsidR="00F36F4D">
        <w:fldChar w:fldCharType="end"/>
      </w:r>
      <w:r>
        <w:t>) e</w:t>
      </w:r>
      <w:r w:rsidR="00882B40">
        <w:t xml:space="preserve">xamined the sorption of </w:t>
      </w:r>
      <w:r w:rsidR="00B95CF5">
        <w:t>three</w:t>
      </w:r>
      <w:r w:rsidR="00882B40">
        <w:t xml:space="preserve"> PCs to different </w:t>
      </w:r>
      <w:r w:rsidR="005841DA">
        <w:t xml:space="preserve">soil depths </w:t>
      </w:r>
      <w:r w:rsidR="00B95CF5">
        <w:t xml:space="preserve">(0-5, 5-15 and 15-25 cm), they </w:t>
      </w:r>
      <w:r w:rsidR="00882B40">
        <w:t xml:space="preserve">noted that the </w:t>
      </w:r>
      <w:r w:rsidR="00AD1BD0" w:rsidRPr="00AD1BD0">
        <w:t xml:space="preserve">retardation </w:t>
      </w:r>
      <w:r w:rsidR="005D04F9" w:rsidRPr="00AD1BD0">
        <w:t>factor</w:t>
      </w:r>
      <w:r w:rsidR="005D04F9">
        <w:t xml:space="preserve">s </w:t>
      </w:r>
      <w:r w:rsidR="005841DA">
        <w:t>increased as the f</w:t>
      </w:r>
      <w:r w:rsidR="00AD1BD0">
        <w:t>r</w:t>
      </w:r>
      <w:r w:rsidR="005841DA">
        <w:t>a</w:t>
      </w:r>
      <w:r w:rsidR="00AD1BD0">
        <w:t>ction of SOM increased</w:t>
      </w:r>
      <w:r w:rsidR="005841DA">
        <w:t>. For carbamazepine when the</w:t>
      </w:r>
      <w:r w:rsidR="00AF721A">
        <w:t xml:space="preserve"> </w:t>
      </w:r>
      <w:r w:rsidR="005D04F9" w:rsidRPr="00AD1BD0">
        <w:t>retardation factor</w:t>
      </w:r>
      <w:r w:rsidR="005D04F9">
        <w:t xml:space="preserve">s </w:t>
      </w:r>
      <w:r w:rsidR="00AF721A">
        <w:t>for the</w:t>
      </w:r>
      <w:r w:rsidR="005841DA">
        <w:t xml:space="preserve"> 3 depths where normalized to organic carbon content (i.e., </w:t>
      </w:r>
      <w:r w:rsidR="005841DA" w:rsidRPr="00DC369A">
        <w:rPr>
          <w:i/>
          <w:iCs/>
        </w:rPr>
        <w:t>K</w:t>
      </w:r>
      <w:r w:rsidR="005841DA">
        <w:t xml:space="preserve">oc) the trend tipped over. </w:t>
      </w:r>
      <w:r>
        <w:t xml:space="preserve">It has been </w:t>
      </w:r>
      <w:r w:rsidR="005841DA" w:rsidRPr="005841DA">
        <w:t>speculate</w:t>
      </w:r>
      <w:r w:rsidR="005841DA">
        <w:t>d</w:t>
      </w:r>
      <w:r w:rsidR="005841DA" w:rsidRPr="005841DA">
        <w:t xml:space="preserve"> that the affinity of carbamazepine to the SOM is mainly governed</w:t>
      </w:r>
      <w:r w:rsidR="005841DA">
        <w:t xml:space="preserve"> </w:t>
      </w:r>
      <w:r w:rsidR="005841DA" w:rsidRPr="005841DA">
        <w:t>by the nature of the SOM</w:t>
      </w:r>
      <w:r w:rsidR="00B95CF5">
        <w:t>. T</w:t>
      </w:r>
      <w:r w:rsidR="005841DA" w:rsidRPr="005841DA">
        <w:t>he surface soil layer (0–5 cm)</w:t>
      </w:r>
      <w:r w:rsidR="00B95CF5">
        <w:t>, which has the highest SOM percent,</w:t>
      </w:r>
      <w:r w:rsidR="005841DA" w:rsidRPr="005841DA">
        <w:t xml:space="preserve"> seems to contain mostly partially decomposed and rela</w:t>
      </w:r>
      <w:r w:rsidR="00B95CF5">
        <w:t xml:space="preserve">tively polar organic materials, while the dipper depths contain more hydrophobic SOM </w:t>
      </w:r>
      <w:r w:rsidR="00B95CF5" w:rsidRPr="00B95CF5">
        <w:t>due to relatively higher level of aromatic and alkyl moieties</w:t>
      </w:r>
      <w:r w:rsidR="00B95CF5">
        <w:t xml:space="preserve">. </w:t>
      </w:r>
      <w:r w:rsidR="00AF561A">
        <w:t xml:space="preserve">Indeed </w:t>
      </w:r>
      <w:r w:rsidR="00B95CF5" w:rsidRPr="00B95CF5">
        <w:t xml:space="preserve">Carbamazepine is believed to exhibit stronger sorption interaction with hydrophobic </w:t>
      </w:r>
      <w:r w:rsidR="00B95CF5" w:rsidRPr="00B95CF5">
        <w:lastRenderedPageBreak/>
        <w:t>rather than polar SOM</w:t>
      </w:r>
      <w:r w:rsidR="00F014E0">
        <w:t xml:space="preserve"> </w:t>
      </w:r>
      <w:r w:rsidR="00F36F4D">
        <w:fldChar w:fldCharType="begin" w:fldLock="1"/>
      </w:r>
      <w:r w:rsidR="00F77D68">
        <w:instrText>ADDIN CSL_CITATION { "citationItems" : [ { "id" : "ITEM-1", "itemData" : { "DOI" : "10.1016/j.chemosphere.2008.06.070", "ISSN" : "1879-1298", "PMID" : "18703215", "abstract" : "Use of reclaimed wastewater for irrigation is an important route for the introduction of pharmaceutical compounds (PCs) into the environment. In this study, the mobility and sorption-desorption behavior of carbamazepine, naproxen and diclofenac were studied in soil layers sampled from a plot irrigated with secondary-treated wastewater (STWW). Carbamazepine and diclofenac were significantly retarded in the 0-5 cm soil sample rich in soil organic matter (SOM): carbamazepine was not affected by the water quality (freshwater versus STWW), whereas diclofenac exhibited a higher retardation factor (RF) in the freshwater system. Naproxen exhibited significantly lower RFs than diclofenac but with a similar trend - higher retardation in the freshwater versus STWW system. In the 5-15 cm soil sample containing low SOM, naproxen was highly mobile while carbamazepine and diclofenac were still retarded. In the 15-25 cm sample, all compounds exhibited their lowest RFs. Sorption data suggested that SOM governs the studied PCs' interactions with the soil samples. However, higher carbon-normalized sorption coefficients were measured for the PCs in the 15-25 cm sample, suggesting that both quantity and the physicochemical nature of SOM affect sorption interactions. While both naproxen and carbamazepine exhibited reversible sorption isotherms, diclofenac exhibited pronounced sorption-desorption hysteresis. This study suggests that carbamazepine and diclofenac can be classified as slow-mobile compounds in SOM-rich soil layers. When these compounds pass this layer and/or introduced into SOM-poor soils, their mobility increases significantly. This emphasizes the potential transport of PCs to groundwater in semiarid zones due to intensive irrigation with reclaimed wastewater in SOM-poor soils.", "author" : [ { "dropping-particle" : "", "family" : "Chefetz", "given" : "Benny", "non-dropping-particle" : "", "parse-names" : false, "suffix" : "" }, { "dropping-particle" : "", "family" : "Mualem", "given" : "Tamar", "non-dropping-particle" : "", "parse-names" : false, "suffix" : "" }, { "dropping-particle" : "", "family" : "Ben-Ari", "given" : "Julius", "non-dropping-particle" : "", "parse-names" : false, "suffix" : "" } ], "container-title" : "Chemosphere", "id" : "ITEM-1", "issue" : "8", "issued" : { "date-parts" : [ [ "2008", "11" ] ] }, "page" : "1335-1343", "publisher" : "Elsevier Ltd", "title" : "Sorption and mobility of pharmaceutical compounds in soil irrigated with reclaimed wastewater.", "type" : "article-journal", "volume" : "73" }, "uris" : [ "http://www.mendeley.com/documents/?uuid=d9339ec2-77ee-42c0-9532-aa27ea4fa529" ] } ], "mendeley" : { "formattedCitation" : "(Chefetz et al., 2008)", "plainTextFormattedCitation" : "(Chefetz et al., 2008)", "previouslyFormattedCitation" : "(Chefetz et al., 2008)" }, "properties" : { "noteIndex" : 0 }, "schema" : "https://github.com/citation-style-language/schema/raw/master/csl-citation.json" }</w:instrText>
      </w:r>
      <w:r w:rsidR="00F36F4D">
        <w:fldChar w:fldCharType="separate"/>
      </w:r>
      <w:r w:rsidR="00F014E0" w:rsidRPr="00F014E0">
        <w:rPr>
          <w:noProof/>
        </w:rPr>
        <w:t>(Chefetz et al., 2008)</w:t>
      </w:r>
      <w:r w:rsidR="00F36F4D">
        <w:fldChar w:fldCharType="end"/>
      </w:r>
      <w:r w:rsidR="00B95CF5">
        <w:t xml:space="preserve">. </w:t>
      </w:r>
      <w:r w:rsidR="004E4F40">
        <w:t>Beside</w:t>
      </w:r>
      <w:r w:rsidR="00F16444">
        <w:t xml:space="preserve"> the SOM type and content</w:t>
      </w:r>
      <w:r w:rsidR="00F91C29">
        <w:t>,</w:t>
      </w:r>
      <w:r w:rsidR="00F16444">
        <w:t xml:space="preserve"> the physicochemical properties of </w:t>
      </w:r>
      <w:r w:rsidR="00F91C29">
        <w:t xml:space="preserve">the </w:t>
      </w:r>
      <w:r>
        <w:t xml:space="preserve">PC </w:t>
      </w:r>
      <w:r w:rsidR="00F16444">
        <w:t>also</w:t>
      </w:r>
      <w:r w:rsidR="00F91C29">
        <w:t xml:space="preserve"> </w:t>
      </w:r>
      <w:r w:rsidR="00F16444">
        <w:t xml:space="preserve">contributed to the </w:t>
      </w:r>
      <w:r w:rsidR="005D04F9" w:rsidRPr="00AD1BD0">
        <w:t>retardation factor</w:t>
      </w:r>
      <w:r w:rsidR="005D04F9">
        <w:t xml:space="preserve">s </w:t>
      </w:r>
      <w:r w:rsidR="00F91C29">
        <w:t>values</w:t>
      </w:r>
      <w:r w:rsidR="00F16444">
        <w:t>, c</w:t>
      </w:r>
      <w:r w:rsidR="00ED73C8">
        <w:t xml:space="preserve">omparing </w:t>
      </w:r>
      <w:r w:rsidR="00F22EC2">
        <w:t xml:space="preserve">an </w:t>
      </w:r>
      <w:r w:rsidR="00ED73C8">
        <w:t xml:space="preserve">anionic compound </w:t>
      </w:r>
      <w:r w:rsidR="00F16444">
        <w:t>(i.e., naproxen</w:t>
      </w:r>
      <w:r w:rsidR="00F22EC2">
        <w:t>; 1.8</w:t>
      </w:r>
      <w:r w:rsidR="00F16444">
        <w:t xml:space="preserve">) </w:t>
      </w:r>
      <w:r w:rsidR="00ED73C8">
        <w:t xml:space="preserve">to </w:t>
      </w:r>
      <w:r w:rsidR="00F16444">
        <w:t>a neutral</w:t>
      </w:r>
      <w:r w:rsidR="00ED73C8">
        <w:t xml:space="preserve"> </w:t>
      </w:r>
      <w:r w:rsidR="004E4F40">
        <w:t>compound (i.e., carbamazepine</w:t>
      </w:r>
      <w:r w:rsidR="00F22EC2">
        <w:t>; 5.8</w:t>
      </w:r>
      <w:r w:rsidR="004E4F40">
        <w:t>)</w:t>
      </w:r>
      <w:r w:rsidR="00F22EC2">
        <w:t>,  was observed that</w:t>
      </w:r>
      <w:r w:rsidR="006F7978">
        <w:t xml:space="preserve"> the retardation factor</w:t>
      </w:r>
      <w:r w:rsidR="004E4F40">
        <w:t xml:space="preserve"> for the neutral compound is higher</w:t>
      </w:r>
      <w:r w:rsidR="00F16444">
        <w:t xml:space="preserve"> </w:t>
      </w:r>
      <w:r w:rsidR="00F91C29">
        <w:t xml:space="preserve">due to electrostatic </w:t>
      </w:r>
      <w:r w:rsidR="00F91C29" w:rsidRPr="00F91C29">
        <w:t>rejection between the anionic compound and the clays</w:t>
      </w:r>
      <w:r w:rsidR="00F91C29">
        <w:rPr>
          <w:rFonts w:ascii="Arial" w:hAnsi="Arial" w:cs="Arial"/>
          <w:color w:val="3E3E3E"/>
          <w:shd w:val="clear" w:color="auto" w:fill="FFFFFF"/>
        </w:rPr>
        <w:t xml:space="preserve"> </w:t>
      </w:r>
      <w:r w:rsidR="00F36F4D" w:rsidRPr="00F77D68">
        <w:fldChar w:fldCharType="begin" w:fldLock="1"/>
      </w:r>
      <w:r w:rsidR="00F77D68">
        <w:instrText>ADDIN CSL_CITATION { "citationItems" : [ { "id" : "ITEM-1", "itemData" : { "DOI" : "10.1016/j.chemosphere.2008.06.070", "ISSN" : "1879-1298", "PMID" : "18703215", "abstract" : "Use of reclaimed wastewater for irrigation is an important route for the introduction of pharmaceutical compounds (PCs) into the environment. In this study, the mobility and sorption-desorption behavior of carbamazepine, naproxen and diclofenac were studied in soil layers sampled from a plot irrigated with secondary-treated wastewater (STWW). Carbamazepine and diclofenac were significantly retarded in the 0-5 cm soil sample rich in soil organic matter (SOM): carbamazepine was not affected by the water quality (freshwater versus STWW), whereas diclofenac exhibited a higher retardation factor (RF) in the freshwater system. Naproxen exhibited significantly lower RFs than diclofenac but with a similar trend - higher retardation in the freshwater versus STWW system. In the 5-15 cm soil sample containing low SOM, naproxen was highly mobile while carbamazepine and diclofenac were still retarded. In the 15-25 cm sample, all compounds exhibited their lowest RFs. Sorption data suggested that SOM governs the studied PCs' interactions with the soil samples. However, higher carbon-normalized sorption coefficients were measured for the PCs in the 15-25 cm sample, suggesting that both quantity and the physicochemical nature of SOM affect sorption interactions. While both naproxen and carbamazepine exhibited reversible sorption isotherms, diclofenac exhibited pronounced sorption-desorption hysteresis. This study suggests that carbamazepine and diclofenac can be classified as slow-mobile compounds in SOM-rich soil layers. When these compounds pass this layer and/or introduced into SOM-poor soils, their mobility increases significantly. This emphasizes the potential transport of PCs to groundwater in semiarid zones due to intensive irrigation with reclaimed wastewater in SOM-poor soils.", "author" : [ { "dropping-particle" : "", "family" : "Chefetz", "given" : "Benny", "non-dropping-particle" : "", "parse-names" : false, "suffix" : "" }, { "dropping-particle" : "", "family" : "Mualem", "given" : "Tamar", "non-dropping-particle" : "", "parse-names" : false, "suffix" : "" }, { "dropping-particle" : "", "family" : "Ben-Ari", "given" : "Julius", "non-dropping-particle" : "", "parse-names" : false, "suffix" : "" } ], "container-title" : "Chemosphere", "id" : "ITEM-1", "issue" : "8", "issued" : { "date-parts" : [ [ "2008", "11" ] ] }, "page" : "1335-1343", "publisher" : "Elsevier Ltd", "title" : "Sorption and mobility of pharmaceutical compounds in soil irrigated with reclaimed wastewater.", "type" : "article-journal", "volume" : "73" }, "uris" : [ "http://www.mendeley.com/documents/?uuid=d9339ec2-77ee-42c0-9532-aa27ea4fa529" ] }, { "id" : "ITEM-2", "itemData" : { "DOI" : "10.1016/j.chemosphere.2009.09.063", "ISBN" : "00456535", "ISSN" : "00456535", "PMID" : "19853275", "abstract" : "Pharmaceuticals and personal care products (PPCPs) are emerging contaminants in the environment, which have drawn popular concerns recently. Most studies on the environmental fate of PPCPs have focused on their behaviors during wastewater treatment processes, in aquatic environments, and in the sludge, however, little is known about their behavior in agricultural soils. In this study, adsorption and degradation of six selected PPCPs, including clofibric acid, ibuprofen, naproxen, triclosan, diclofenac and bisphenol A have been investigated in the laboratory using four US agricultural soils associated with reclaimed wastewater reuse. Adsorption test using a batch equilibrium method demonstrated that adsorption of all tested chemicals in soils could be well described with Freundlich equation, and their adsorption affinity on soil followed the order of triclosan &gt; bisphenol A &gt; clofibric acid &gt; naproxen &gt; diclofenac &gt; ibuprofen. Retardation factor (RF) suggested that ibuprofen had potential to move downward with percolating water, while triclosan and bisphenol A were readily retarded in soils. Degradation of selected PPCPs in soils generally followed first-order exponential decay kinetics, with half-lives ranging from 0.81 to 20.44 d. Degradation of PPCPs in soils appeared to be influenced by the soil organic matter and clay contents. Sterilization generally decreased the degradation rates, indicating microbial activity played a significant role in the degradation in soils. The degradation rate constant decreased with increasing initial chemical concentrations in soil, implying that the microbial activity was inhibited with high chemical loading levels. ?? 2009 Elsevier Ltd.", "author" : [ { "dropping-particle" : "", "family" : "Xu", "given" : "Jian", "non-dropping-particle" : "", "parse-names" : false, "suffix" : "" }, { "dropping-particle" : "", "family" : "Wu", "given" : "Laosheng", "non-dropping-particle" : "", "parse-names" : false, "suffix" : "" }, { "dropping-particle" : "", "family" : "Chang", "given" : "Andrew C.", "non-dropping-particle" : "", "parse-names" : false, "suffix" : "" } ], "container-title" : "Chemosphere", "id" : "ITEM-2", "issue" : "10", "issued" : { "date-parts" : [ [ "2009" ] ] }, "page" : "1299-1305", "publisher" : "Elsevier Ltd", "title" : "Degradation and adsorption of selected pharmaceuticals and personal care products (PPCPs) in agricultural soils", "type" : "article-journal", "volume" : "77" }, "uris" : [ "http://www.mendeley.com/documents/?uuid=ec11a6be-d910-429c-a361-01a98d076c47" ] } ], "mendeley" : { "formattedCitation" : "(Chefetz et al., 2008; Xu et al., 2009)", "plainTextFormattedCitation" : "(Chefetz et al., 2008; Xu et al., 2009)", "previouslyFormattedCitation" : "(Chefetz et al., 2008; Xu et al., 2009)" }, "properties" : { "noteIndex" : 0 }, "schema" : "https://github.com/citation-style-language/schema/raw/master/csl-citation.json" }</w:instrText>
      </w:r>
      <w:r w:rsidR="00F36F4D" w:rsidRPr="00F77D68">
        <w:fldChar w:fldCharType="separate"/>
      </w:r>
      <w:r w:rsidR="00F77D68" w:rsidRPr="00F77D68">
        <w:rPr>
          <w:noProof/>
        </w:rPr>
        <w:t>(Chefetz et al., 2008; Xu et al., 2009)</w:t>
      </w:r>
      <w:r w:rsidR="00F36F4D" w:rsidRPr="00F77D68">
        <w:fldChar w:fldCharType="end"/>
      </w:r>
      <w:r w:rsidR="00F77D68">
        <w:t>.</w:t>
      </w:r>
      <w:r w:rsidR="00ED73C8">
        <w:t xml:space="preserve"> </w:t>
      </w:r>
    </w:p>
    <w:p w:rsidR="00A30457" w:rsidRDefault="00F91C29" w:rsidP="00534892">
      <w:r>
        <w:t>D</w:t>
      </w:r>
      <w:r w:rsidR="00A30457">
        <w:t xml:space="preserve">egradation </w:t>
      </w:r>
      <w:r>
        <w:t xml:space="preserve">of </w:t>
      </w:r>
      <w:r w:rsidR="006F7978">
        <w:t>pharmaceuticals and personal care products (</w:t>
      </w:r>
      <w:r>
        <w:t>PPCPs</w:t>
      </w:r>
      <w:r w:rsidR="006F7978">
        <w:t>)</w:t>
      </w:r>
      <w:r>
        <w:t xml:space="preserve"> was measured </w:t>
      </w:r>
      <w:r w:rsidR="00807726">
        <w:t xml:space="preserve">as well. </w:t>
      </w:r>
      <w:r w:rsidR="00F36F4D">
        <w:fldChar w:fldCharType="begin" w:fldLock="1"/>
      </w:r>
      <w:r w:rsidR="00F77D68">
        <w:instrText>ADDIN CSL_CITATION { "citationItems" : [ { "id" : "ITEM-1", "itemData" : { "DOI" : "10.1016/j.chemosphere.2013.09.088", "ISBN" : "0045-6535", "ISSN" : "00456535", "PMID" : "24148973", "abstract" : "Fates and transport of 9 commonly found PPCPs of the reclaimed water were simulated based on the HYDRUS-1D software that was validated with data generated from field experiments. Under the default scenario in which the model parameters and input data represented the typical conditions of turf grass irrigation in southern California, the adsorption, degradation, and volatilization of clofibric acid, ibuprofen, 4-tert-octylphenol, 4-n-nonylphenol, naproxen, triclosan, diclofenac sodium, bisphenol A and estrone in the receiving soils were tracked for 10years. At the end, their accumulations in the 90cm soil profile varied from less than 1ngg-1 to about 140ngg-1 and their concentrations in the drainage water in the 90cm soil depth varied from nil to \u03bcgL-1 levels. The adsorption and microbial degradation processes interacted to contain the PPCPs entirely within surface 40cm of the soil profiles. Leaching and volatilization were not significant processes governing the PPCPs in the soils. The extent of accumulations in the soils did not appear to produce undue ecological risks to the soil biota. PPCPs did not represent any potential environmental harm in reclaimed water irrigation. \u00a9 2013 Elsevier Ltd.", "author" : [ { "dropping-particle" : "", "family" : "Chen", "given" : "Weiping", "non-dropping-particle" : "", "parse-names" : false, "suffix" : "" }, { "dropping-particle" : "", "family" : "Xu", "given" : "Jian", "non-dropping-particle" : "", "parse-names" : false, "suffix" : "" }, { "dropping-particle" : "", "family" : "Lu", "given" : "Sidan", "non-dropping-particle" : "", "parse-names" : false, "suffix" : "" }, { "dropping-particle" : "", "family" : "Jiao", "given" : "Wentao", "non-dropping-particle" : "", "parse-names" : false, "suffix" : "" }, { "dropping-particle" : "", "family" : "Wu", "given" : "Laosheng", "non-dropping-particle" : "", "parse-names" : false, "suffix" : "" }, { "dropping-particle" : "", "family" : "Chang", "given" : "Andrew C.", "non-dropping-particle" : "", "parse-names" : false, "suffix" : "" } ], "container-title" : "Chemosphere", "id" : "ITEM-1", "issue" : "10", "issued" : { "date-parts" : [ [ "2013" ] ] }, "page" : "2621-2630", "publisher" : "Elsevier Ltd", "title" : "Fates and transport of PPCPs in soil receiving reclaimed water irrigation", "type" : "article-journal", "volume" : "93" }, "uris" : [ "http://www.mendeley.com/documents/?uuid=0b1bdf6c-9236-4514-83da-1efda159bc96" ] } ], "mendeley" : { "formattedCitation" : "(Chen et al., 2013)", "manualFormatting" : "Chen et al., 2013", "plainTextFormattedCitation" : "(Chen et al., 2013)", "previouslyFormattedCitation" : "(Chen et al., 2013)" }, "properties" : { "noteIndex" : 0 }, "schema" : "https://github.com/citation-style-language/schema/raw/master/csl-citation.json" }</w:instrText>
      </w:r>
      <w:r w:rsidR="00F36F4D">
        <w:fldChar w:fldCharType="separate"/>
      </w:r>
      <w:r w:rsidR="00F77D68" w:rsidRPr="00F77D68">
        <w:rPr>
          <w:noProof/>
        </w:rPr>
        <w:t>Chen et al.</w:t>
      </w:r>
      <w:r w:rsidR="00CD5ED8">
        <w:rPr>
          <w:noProof/>
        </w:rPr>
        <w:t xml:space="preserve"> (</w:t>
      </w:r>
      <w:r w:rsidR="00F77D68" w:rsidRPr="00F77D68">
        <w:rPr>
          <w:noProof/>
        </w:rPr>
        <w:t>2013</w:t>
      </w:r>
      <w:r w:rsidR="00F36F4D">
        <w:fldChar w:fldCharType="end"/>
      </w:r>
      <w:r w:rsidR="00CD5ED8">
        <w:t>) f</w:t>
      </w:r>
      <w:r w:rsidR="00807726">
        <w:t>ollowed the degradation, evaporation, leaching and storage of nine PPCPs</w:t>
      </w:r>
      <w:r w:rsidR="004E4F40">
        <w:t xml:space="preserve"> in lysimeters</w:t>
      </w:r>
      <w:r w:rsidR="00807726">
        <w:t xml:space="preserve"> for </w:t>
      </w:r>
      <w:r w:rsidR="00CD5ED8">
        <w:t>10</w:t>
      </w:r>
      <w:r w:rsidR="00807726">
        <w:t xml:space="preserve"> years. Mass </w:t>
      </w:r>
      <w:r w:rsidR="00CD5ED8">
        <w:t xml:space="preserve">balance data </w:t>
      </w:r>
      <w:r w:rsidR="00807726">
        <w:t xml:space="preserve">reveled that more than 70% </w:t>
      </w:r>
      <w:r w:rsidR="00845191">
        <w:t xml:space="preserve">of the applied PCs were </w:t>
      </w:r>
      <w:r w:rsidR="00807726">
        <w:t xml:space="preserve">degraded in the sandy loam soil while less degradation was </w:t>
      </w:r>
      <w:r w:rsidR="00845191">
        <w:t xml:space="preserve">observed </w:t>
      </w:r>
      <w:r w:rsidR="00807726">
        <w:t>in the loamy sand soil. It was suggested that sorption to SOM or soil minerals reduced degradation</w:t>
      </w:r>
      <w:r w:rsidR="00371817">
        <w:t xml:space="preserve"> as a result of reduced bioavailability</w:t>
      </w:r>
      <w:r w:rsidR="00807726">
        <w:t xml:space="preserve">. In both soils the majority of the PPCPs </w:t>
      </w:r>
      <w:r w:rsidR="00845191">
        <w:t xml:space="preserve">were detected </w:t>
      </w:r>
      <w:r w:rsidR="00807726">
        <w:t xml:space="preserve">in the </w:t>
      </w:r>
      <w:r w:rsidR="00845191">
        <w:t xml:space="preserve">upper </w:t>
      </w:r>
      <w:r w:rsidR="00807726">
        <w:t>40 c</w:t>
      </w:r>
      <w:r w:rsidR="00845191">
        <w:t xml:space="preserve">m, </w:t>
      </w:r>
      <w:r w:rsidR="00807726">
        <w:t xml:space="preserve">and leaching </w:t>
      </w:r>
      <w:r w:rsidR="00845191">
        <w:t xml:space="preserve">below </w:t>
      </w:r>
      <w:r w:rsidR="00807726">
        <w:t xml:space="preserve">90 cm was </w:t>
      </w:r>
      <w:r w:rsidR="00807726" w:rsidRPr="00807726">
        <w:t>negligible</w:t>
      </w:r>
      <w:r w:rsidR="003E3549">
        <w:t xml:space="preserve">. </w:t>
      </w:r>
      <w:r w:rsidR="00F36F4D" w:rsidRPr="00F77D68">
        <w:fldChar w:fldCharType="begin" w:fldLock="1"/>
      </w:r>
      <w:r w:rsidR="00F77D68" w:rsidRPr="00F77D68">
        <w:instrText>ADDIN CSL_CITATION { "citationItems" : [ { "id" : "ITEM-1", "itemData" : { "DOI" : "10.1007/s11356-012-1442-7", "ISSN" : "09441344", "PMID" : "23292228", "abstract" : "Pharmaceuticals and personal care products (PPCPs) are one class of the most urgent emerging contaminants, which have drawn much public and scientific concern due to widespread contamination in aquatic environment. Most studies on the environmental fate and behavior of PPCPs have focused on nonsteroidal anti-inflammatory drugs. Some other compounds with high concentrations were less mentioned. In this study, sorption and degradation of five selected PPCPs, including bisphenol A (BPA), carbamazepine (CBZ), gemfibrozil (GFB), octylphenol (OP), and triclosan (TCS) have been investigated using three different soils. Sorption isotherms of all tested PPCPs in soils were well described by Freundlich equation. TCS and OP showed moderate to strong sorption, while the sorption of GFB and CBZ in soils was negligible. Degradation of PPCPs in three soils was generally fitted first-order exponential decay model, with half-lives (t 1/2) varying from 9.8 to 39.1 days. Sterilization could prolong the t 1/2 of PPCPs in soil, indicating that microbial activity played an important role in the degradation of these chemicals in soils. Degradation of PPCPs in soils was also influenced by the soil organic carbon (f oc) contents. Results from our data show that sorption to the soils varied among the different PPCPs, and their sorption affinity on soil followed the order of TCS &gt; OP &gt; BPA &gt; GFB &gt; CBZ. The degradation of the selected PPCPs in soil was influenced by the microbial activity and soil type. The poor sorption and relative persistence of CBZ suggest that it may pose a high leaching risk for groundwater contamination when recycled for irrigation.", "author" : [ { "dropping-particle" : "", "family" : "Yu", "given" : "Yong", "non-dropping-particle" : "", "parse-names" : false, "suffix" : "" }, { "dropping-particle" : "", "family" : "Liu", "given" : "Yin", "non-dropping-particle" : "", "parse-names" : false, "suffix" : "" }, { "dropping-particle" : "", "family" : "Wu", "given" : "Laosheng", "non-dropping-particle" : "", "parse-names" : false, "suffix" : "" } ], "container-title" : "Environmental Science and Pollution Research", "id" : "ITEM-1", "issue" : "6", "issued" : { "date-parts" : [ [ "2013" ] ] }, "page" : "4261-4267", "title" : "Sorption and degradation of pharmaceuticals and personal care products (PPCPs) in soils", "type" : "article-journal", "volume" : "20" }, "uris" : [ "http://www.mendeley.com/documents/?uuid=8b6511a5-519a-4aa6-aa95-3de888427705" ] } ], "mendeley" : { "formattedCitation" : "(Yu et al., 2013)", "manualFormatting" : "Yu et al., 2013", "plainTextFormattedCitation" : "(Yu et al., 2013)", "previouslyFormattedCitation" : "(Yu et al., 2013)" }, "properties" : { "noteIndex" : 0 }, "schema" : "https://github.com/citation-style-language/schema/raw/master/csl-citation.json" }</w:instrText>
      </w:r>
      <w:r w:rsidR="00F36F4D" w:rsidRPr="00F77D68">
        <w:fldChar w:fldCharType="separate"/>
      </w:r>
      <w:r w:rsidR="00F77D68" w:rsidRPr="00F77D68">
        <w:rPr>
          <w:noProof/>
        </w:rPr>
        <w:t>Yu et al.</w:t>
      </w:r>
      <w:r w:rsidR="00845191">
        <w:rPr>
          <w:noProof/>
        </w:rPr>
        <w:t xml:space="preserve"> (</w:t>
      </w:r>
      <w:r w:rsidR="00F77D68" w:rsidRPr="00F77D68">
        <w:rPr>
          <w:noProof/>
        </w:rPr>
        <w:t>2013</w:t>
      </w:r>
      <w:r w:rsidR="00F36F4D" w:rsidRPr="00F77D68">
        <w:fldChar w:fldCharType="end"/>
      </w:r>
      <w:r w:rsidR="00845191">
        <w:t>) a</w:t>
      </w:r>
      <w:r w:rsidR="003E3549">
        <w:t xml:space="preserve">ssessed the sorption and leaching of different PCs and noted that carbamazepine and gemfibrozil percolation was not </w:t>
      </w:r>
      <w:r w:rsidR="003E3549" w:rsidRPr="003E3549">
        <w:t>negligible</w:t>
      </w:r>
      <w:r w:rsidR="003E3549">
        <w:t>.</w:t>
      </w:r>
      <w:r w:rsidR="00371817">
        <w:t xml:space="preserve"> When assessing degradation in aerobic and anaerobic states, it was found that more degradation occur in aerobic state </w:t>
      </w:r>
      <w:r w:rsidR="00036CAC">
        <w:t>and almost no degradation in anaerobic state. It led to the conclusion that PPCPs may degrade at high percentage in soil, but once it reaches the aquifers the compound will accumulate</w:t>
      </w:r>
      <w:r w:rsidR="00F77D68">
        <w:t xml:space="preserve"> </w:t>
      </w:r>
      <w:r w:rsidR="00F36F4D">
        <w:fldChar w:fldCharType="begin" w:fldLock="1"/>
      </w:r>
      <w:r w:rsidR="00AD1364">
        <w:instrText>ADDIN CSL_CITATION { "citationItems" : [ { "id" : "ITEM-1", "itemData" : { "DOI" : "10.1016/j.chemosphere.2010.12.083", "ISBN" : "0045-6535", "ISSN" : "00456535", "PMID" : "21247615", "abstract" : "Presence of pharmaceuticals at trace levels in recycled water is an emerging issue impacting the beneficial reuse of treated wastewater, including practices such as irrigation and groundwater recharge in arid and semi-arid regions. To assess the environmental risks of irrigation with recycled water containing such micropollutants, in this study we evaluated sorption and degradation of five pharmaceuticals that are antibiotic and anti-inflammatory drugs in two soils collected from arid regions. Naproxen and trimethoprim showed moderate to strong sorption, while the sorption of diclofenac, ibuprofen and sulfamethoxazole was negligible in both soils. Under aerobic conditions, the studied compounds were susceptible to microbial degradation with half-lives varying from 4.8 to 69.3. d. Apart from sulfamethoxazole, the other compounds were relatively persistent under anaerobic conditions as indicated by a negligible loss over 84. d of incubation or half-lives &gt;50. d. The degradation of the selected pharmaceuticals was influenced by microbial activities, oxygen status in the soil, soil type and compound characteristics. The poor sorption and relative persistence of diclofenac and ibuprofen under anaerobic conditions suggest that the two chemicals may pose a high leaching risk when using recycled for irrigation or groundwater replenishment. ?? 2010 Elsevier Ltd.", "author" : [ { "dropping-particle" : "", "family" : "Lin", "given" : "Kunde", "non-dropping-particle" : "", "parse-names" : false, "suffix" : "" }, { "dropping-particle" : "", "family" : "Gan", "given" : "Jay", "non-dropping-particle" : "", "parse-names" : false, "suffix" : "" } ], "container-title" : "Chemosphere", "id" : "ITEM-1", "issue" : "3", "issued" : { "date-parts" : [ [ "2011" ] ] }, "page" : "240-246", "publisher" : "Elsevier Ltd", "title" : "Sorption and degradation of wastewater-associated non-steroidal anti-inflammatory drugs and antibiotics in soils", "type" : "article-journal", "volume" : "83" }, "uris" : [ "http://www.mendeley.com/documents/?uuid=362781a4-538d-49a3-8500-32b86752fec3" ] }, { "id" : "ITEM-2", "itemData" : { "DOI" : "10.1016/j.chemosphere.2013.09.088", "ISBN" : "0045-6535", "ISSN" : "00456535", "PMID" : "24148973", "abstract" : "Fates and transport of 9 commonly found PPCPs of the reclaimed water were simulated based on the HYDRUS-1D software that was validated with data generated from field experiments. Under the default scenario in which the model parameters and input data represented the typical conditions of turf grass irrigation in southern California, the adsorption, degradation, and volatilization of clofibric acid, ibuprofen, 4-tert-octylphenol, 4-n-nonylphenol, naproxen, triclosan, diclofenac sodium, bisphenol A and estrone in the receiving soils were tracked for 10years. At the end, their accumulations in the 90cm soil profile varied from less than 1ngg-1 to about 140ngg-1 and their concentrations in the drainage water in the 90cm soil depth varied from nil to \u03bcgL-1 levels. The adsorption and microbial degradation processes interacted to contain the PPCPs entirely within surface 40cm of the soil profiles. Leaching and volatilization were not significant processes governing the PPCPs in the soils. The extent of accumulations in the soils did not appear to produce undue ecological risks to the soil biota. PPCPs did not represent any potential environmental harm in reclaimed water irrigation. \u00a9 2013 Elsevier Ltd.", "author" : [ { "dropping-particle" : "", "family" : "Chen", "given" : "Weiping", "non-dropping-particle" : "", "parse-names" : false, "suffix" : "" }, { "dropping-particle" : "", "family" : "Xu", "given" : "Jian", "non-dropping-particle" : "", "parse-names" : false, "suffix" : "" }, { "dropping-particle" : "", "family" : "Lu", "given" : "Sidan", "non-dropping-particle" : "", "parse-names" : false, "suffix" : "" }, { "dropping-particle" : "", "family" : "Jiao", "given" : "Wentao", "non-dropping-particle" : "", "parse-names" : false, "suffix" : "" }, { "dropping-particle" : "", "family" : "Wu", "given" : "Laosheng", "non-dropping-particle" : "", "parse-names" : false, "suffix" : "" }, { "dropping-particle" : "", "family" : "Chang", "given" : "Andrew C.", "non-dropping-particle" : "", "parse-names" : false, "suffix" : "" } ], "container-title" : "Chemosphere", "id" : "ITEM-2", "issue" : "10", "issued" : { "date-parts" : [ [ "2013" ] ] }, "page" : "2621-2630", "publisher" : "Elsevier Ltd", "title" : "Fates and transport of PPCPs in soil receiving reclaimed water irrigation", "type" : "article-journal", "volume" : "93" }, "uris" : [ "http://www.mendeley.com/documents/?uuid=0b1bdf6c-9236-4514-83da-1efda159bc96" ] }, { "id" : "ITEM-3", "itemData" : { "DOI" : "10.1007/s11356-012-1442-7", "ISSN" : "09441344", "PMID" : "23292228", "abstract" : "Pharmaceuticals and personal care products (PPCPs) are one class of the most urgent emerging contaminants, which have drawn much public and scientific concern due to widespread contamination in aquatic environment. Most studies on the environmental fate and behavior of PPCPs have focused on nonsteroidal anti-inflammatory drugs. Some other compounds with high concentrations were less mentioned. In this study, sorption and degradation of five selected PPCPs, including bisphenol A (BPA), carbamazepine (CBZ), gemfibrozil (GFB), octylphenol (OP), and triclosan (TCS) have been investigated using three different soils. Sorption isotherms of all tested PPCPs in soils were well described by Freundlich equation. TCS and OP showed moderate to strong sorption, while the sorption of GFB and CBZ in soils was negligible. Degradation of PPCPs in three soils was generally fitted first-order exponential decay model, with half-lives (t 1/2) varying from 9.8 to 39.1 days. Sterilization could prolong the t 1/2 of PPCPs in soil, indicating that microbial activity played an important role in the degradation of these chemicals in soils. Degradation of PPCPs in soils was also influenced by the soil organic carbon (f oc) contents. Results from our data show that sorption to the soils varied among the different PPCPs, and their sorption affinity on soil followed the order of TCS &gt; OP &gt; BPA &gt; GFB &gt; CBZ. The degradation of the selected PPCPs in soil was influenced by the microbial activity and soil type. The poor sorption and relative persistence of CBZ suggest that it may pose a high leaching risk for groundwater contamination when recycled for irrigation.", "author" : [ { "dropping-particle" : "", "family" : "Yu", "given" : "Yong", "non-dropping-particle" : "", "parse-names" : false, "suffix" : "" }, { "dropping-particle" : "", "family" : "Liu", "given" : "Yin", "non-dropping-particle" : "", "parse-names" : false, "suffix" : "" }, { "dropping-particle" : "", "family" : "Wu", "given" : "Laosheng", "non-dropping-particle" : "", "parse-names" : false, "suffix" : "" } ], "container-title" : "Environmental Science and Pollution Research", "id" : "ITEM-3", "issue" : "6", "issued" : { "date-parts" : [ [ "2013" ] ] }, "page" : "4261-4267", "title" : "Sorption and degradation of pharmaceuticals and personal care products (PPCPs) in soils", "type" : "article-journal", "volume" : "20" }, "uris" : [ "http://www.mendeley.com/documents/?uuid=8b6511a5-519a-4aa6-aa95-3de888427705" ] } ], "mendeley" : { "formattedCitation" : "(Lin and Gan, 2011; Chen et al., 2013; Yu et al., 2013)", "plainTextFormattedCitation" : "(Lin and Gan, 2011; Chen et al., 2013; Yu et al., 2013)", "previouslyFormattedCitation" : "(Lin and Gan, 2011; Chen et al., 2013; Yu et al., 2013)" }, "properties" : { "noteIndex" : 0 }, "schema" : "https://github.com/citation-style-language/schema/raw/master/csl-citation.json" }</w:instrText>
      </w:r>
      <w:r w:rsidR="00F36F4D">
        <w:fldChar w:fldCharType="separate"/>
      </w:r>
      <w:r w:rsidR="00F77D68" w:rsidRPr="00F77D68">
        <w:rPr>
          <w:noProof/>
        </w:rPr>
        <w:t>(Lin and Gan, 2011; Chen et al., 2013; Yu et al., 2013)</w:t>
      </w:r>
      <w:r w:rsidR="00F36F4D">
        <w:fldChar w:fldCharType="end"/>
      </w:r>
      <w:r w:rsidR="00F77D68">
        <w:t>.</w:t>
      </w:r>
      <w:r w:rsidR="00371817">
        <w:t xml:space="preserve">    </w:t>
      </w:r>
      <w:r w:rsidR="00807726">
        <w:t xml:space="preserve">  </w:t>
      </w:r>
      <w:r w:rsidR="00A30457">
        <w:t xml:space="preserve"> </w:t>
      </w:r>
    </w:p>
    <w:p w:rsidR="00F067C7" w:rsidRDefault="003E3549" w:rsidP="007B7AB9">
      <w:pPr>
        <w:pStyle w:val="Heading3"/>
      </w:pPr>
      <w:r>
        <w:t xml:space="preserve">Occurrence of </w:t>
      </w:r>
      <w:r w:rsidR="005D04F9">
        <w:t xml:space="preserve">pharmaceuticals </w:t>
      </w:r>
      <w:r>
        <w:t>in</w:t>
      </w:r>
      <w:r w:rsidR="00F067C7">
        <w:t xml:space="preserve"> </w:t>
      </w:r>
      <w:r w:rsidR="00845191">
        <w:t>biosolids</w:t>
      </w:r>
    </w:p>
    <w:p w:rsidR="00036CAC" w:rsidRPr="004B50DE" w:rsidRDefault="002004C1" w:rsidP="002A1241">
      <w:pPr>
        <w:rPr>
          <w:rtl/>
        </w:rPr>
      </w:pPr>
      <w:r w:rsidRPr="006B6F4B">
        <w:t xml:space="preserve">Biosolids </w:t>
      </w:r>
      <w:r w:rsidR="00A32E18">
        <w:t xml:space="preserve">application in fields </w:t>
      </w:r>
      <w:r w:rsidRPr="006B6F4B">
        <w:t>ca</w:t>
      </w:r>
      <w:r w:rsidR="00B80070">
        <w:t>n</w:t>
      </w:r>
      <w:r w:rsidR="006F7978">
        <w:t xml:space="preserve"> act as a major sink for many </w:t>
      </w:r>
      <w:r w:rsidR="00D53B10">
        <w:t>PCs</w:t>
      </w:r>
      <w:r w:rsidR="0066743F">
        <w:t xml:space="preserve"> due to adsorption</w:t>
      </w:r>
      <w:r w:rsidR="005D04F9">
        <w:t xml:space="preserve"> and absorption</w:t>
      </w:r>
      <w:r w:rsidR="0066743F">
        <w:t>. On the other hand</w:t>
      </w:r>
      <w:r w:rsidRPr="006B6F4B">
        <w:t xml:space="preserve">, biosolids </w:t>
      </w:r>
      <w:r w:rsidR="00D53B10">
        <w:t xml:space="preserve">application </w:t>
      </w:r>
      <w:r w:rsidRPr="006B6F4B">
        <w:t xml:space="preserve">may be a potential route </w:t>
      </w:r>
      <w:r w:rsidR="00D53B10">
        <w:t>for PCs to be exposed to the environment</w:t>
      </w:r>
      <w:r w:rsidR="0066743F">
        <w:t xml:space="preserve">. </w:t>
      </w:r>
      <w:r w:rsidR="00DC369A" w:rsidRPr="006B6F4B">
        <w:t>R</w:t>
      </w:r>
      <w:r w:rsidRPr="006B6F4B">
        <w:t xml:space="preserve">emoval of </w:t>
      </w:r>
      <w:r w:rsidR="00D53B10">
        <w:t>PCs</w:t>
      </w:r>
      <w:r w:rsidRPr="006B6F4B">
        <w:t xml:space="preserve"> in WWTP</w:t>
      </w:r>
      <w:r w:rsidR="00A32E18">
        <w:t>s</w:t>
      </w:r>
      <w:r w:rsidRPr="006B6F4B">
        <w:t xml:space="preserve"> </w:t>
      </w:r>
      <w:r w:rsidR="00DC369A" w:rsidRPr="006B6F4B">
        <w:t>can be substantial, whether the removal is due to solid partitioning or degradation is not fully understood. Partitioning into the solid phase depends mostly on the compound's hydrophobicity (i.e.</w:t>
      </w:r>
      <w:r w:rsidR="00B80070">
        <w:t>,</w:t>
      </w:r>
      <w:r w:rsidR="00DC369A" w:rsidRPr="006B6F4B">
        <w:t xml:space="preserve"> </w:t>
      </w:r>
      <w:r w:rsidR="00DC369A" w:rsidRPr="00B80070">
        <w:rPr>
          <w:i/>
          <w:iCs/>
        </w:rPr>
        <w:t>K</w:t>
      </w:r>
      <w:r w:rsidR="00DC369A" w:rsidRPr="006B6F4B">
        <w:t xml:space="preserve">ow). </w:t>
      </w:r>
      <w:r w:rsidR="006B6F4B" w:rsidRPr="006B6F4B">
        <w:t xml:space="preserve">The affinity </w:t>
      </w:r>
      <w:r w:rsidR="006F312E" w:rsidRPr="006B6F4B">
        <w:t>coefficient</w:t>
      </w:r>
      <w:r w:rsidR="00A32E18">
        <w:t xml:space="preserve"> </w:t>
      </w:r>
      <w:r w:rsidR="00A32E18" w:rsidRPr="006B6F4B">
        <w:t>(i.e.</w:t>
      </w:r>
      <w:r w:rsidR="00A32E18">
        <w:t>,</w:t>
      </w:r>
      <w:r w:rsidR="00A32E18" w:rsidRPr="006B6F4B">
        <w:t xml:space="preserve"> </w:t>
      </w:r>
      <w:r w:rsidR="00A32E18" w:rsidRPr="00B80070">
        <w:rPr>
          <w:i/>
          <w:iCs/>
        </w:rPr>
        <w:t>K</w:t>
      </w:r>
      <w:r w:rsidR="00A32E18" w:rsidRPr="006B6F4B">
        <w:t xml:space="preserve">d) </w:t>
      </w:r>
      <w:r w:rsidR="006B6F4B" w:rsidRPr="006B6F4B">
        <w:t xml:space="preserve"> </w:t>
      </w:r>
      <w:r w:rsidR="00A32E18">
        <w:t xml:space="preserve">of several PPCPs to the biosolids </w:t>
      </w:r>
      <w:r w:rsidR="006B6F4B" w:rsidRPr="006B6F4B">
        <w:t xml:space="preserve">was positively </w:t>
      </w:r>
      <w:r w:rsidR="006F312E">
        <w:t>correlated</w:t>
      </w:r>
      <w:r w:rsidR="006B6F4B">
        <w:t xml:space="preserve"> </w:t>
      </w:r>
      <w:r w:rsidR="006B6F4B" w:rsidRPr="006B6F4B">
        <w:t xml:space="preserve">with their log </w:t>
      </w:r>
      <w:r w:rsidR="006B6F4B" w:rsidRPr="00233E06">
        <w:rPr>
          <w:i/>
          <w:iCs/>
        </w:rPr>
        <w:t>K</w:t>
      </w:r>
      <w:r w:rsidR="006B6F4B" w:rsidRPr="006B6F4B">
        <w:t>ow ranging from 1.26 to 5.48</w:t>
      </w:r>
      <w:r w:rsidR="00A32E18">
        <w:t xml:space="preserve"> </w:t>
      </w:r>
      <w:r w:rsidR="00F36F4D" w:rsidRPr="00AD1364">
        <w:fldChar w:fldCharType="begin" w:fldLock="1"/>
      </w:r>
      <w:r w:rsidR="00AD1364">
        <w:instrText>ADDIN CSL_CITATION { "citationItems" : [ { "id" : "ITEM-1", "itemData" : { "DOI" : "10.1021/es00038a017", "ISBN" : "0013-936X", "ISSN" : "0013936X", "author" : [ { "dropping-particle" : "", "family" : "Dobbs", "given" : "Richard. A.", "non-dropping-particle" : "", "parse-names" : false, "suffix" : "" }, { "dropping-particle" : "", "family" : "Wang", "given" : "Leping", "non-dropping-particle" : "", "parse-names" : false, "suffix" : "" }, { "dropping-particle" : "", "family" : "Govind", "given" : "Rakesh", "non-dropping-particle" : "", "parse-names" : false, "suffix" : "" } ], "container-title" : "Environmental Science and Technology", "id" : "ITEM-1", "issue" : "9", "issued" : { "date-parts" : [ [ "1989" ] ] }, "page" : "1092-1097", "title" : "Sorption of toxic organic compounds on wastewater solids: Mechanism and modeling", "type" : "article-journal", "volume" : "23" }, "uris" : [ "http://www.mendeley.com/documents/?uuid=3e4a1010-4a65-4870-aaea-11b560ab5025" ] }, { "id" : "ITEM-2", "itemData" : { "DOI" : "10.2134/jeq2005.0091", "ISBN" : "0047-2425", "ISSN" : "0047-2425", "PMID" : "15647538", "abstract" : "Each year, large quantities of pharmaceuticals and personal care products (PPCPs) are used worldwide. Once conveyed to wastewater treatment plants, PPCPs can remain unchanged or undergo partial or complete transformation during wastewater treatment processes before discharge into the environment via effluent and biosolids for land application. Biosolids can be a major sink for some PPCPs. Previous investigations have indicated that land application of biosolids may be a potential important route through which PPCPs enter the environment. However, no information is available on exactly how closely the concentrations of PPCPs in the environmental media are related to the land application of PPCP-containing biosolids. This paper reviews currently available information on the occurrence of PPCPs in biosolids, methods of analysis, the potential fate of PPCPs in biosolids-applied soils, and composting as a potential means for removal of PPCPs from biosolids.", "author" : [ { "dropping-particle" : "", "family" : "Xia", "given" : "Kang", "non-dropping-particle" : "", "parse-names" : false, "suffix" : "" }, { "dropping-particle" : "", "family" : "Bhandari", "given" : "Alok", "non-dropping-particle" : "", "parse-names" : false, "suffix" : "" }, { "dropping-particle" : "", "family" : "Das", "given" : "Keshav", "non-dropping-particle" : "", "parse-names" : false, "suffix" : "" }, { "dropping-particle" : "", "family" : "Pillar", "given" : "Greg", "non-dropping-particle" : "", "parse-names" : false, "suffix" : "" } ], "container-title" : "Journal of Environment Quality", "id" : "ITEM-2", "issue" : "1", "issued" : { "date-parts" : [ [ "2005" ] ] }, "page" : "91", "title" : "Occurrence and fate of pharmaceuticals and personal care products (PPCPs) in biosolids", "type" : "article-journal", "volume" : "34" }, "uris" : [ "http://www.mendeley.com/documents/?uuid=6854bb77-0bb1-4b18-8835-e407425f841f" ] } ], "mendeley" : { "formattedCitation" : "(Dobbs et al., 1989; Xia et al., 2005)", "plainTextFormattedCitation" : "(Dobbs et al., 1989; Xia et al., 2005)", "previouslyFormattedCitation" : "(Dobbs et al., 1989; Xia et al., 2005)" }, "properties" : { "noteIndex" : 0 }, "schema" : "https://github.com/citation-style-language/schema/raw/master/csl-citation.json" }</w:instrText>
      </w:r>
      <w:r w:rsidR="00F36F4D" w:rsidRPr="00AD1364">
        <w:fldChar w:fldCharType="separate"/>
      </w:r>
      <w:r w:rsidR="00AD1364" w:rsidRPr="00AD1364">
        <w:rPr>
          <w:noProof/>
        </w:rPr>
        <w:t>(Dobbs et al., 1989; Xia et al., 2005)</w:t>
      </w:r>
      <w:r w:rsidR="00F36F4D" w:rsidRPr="00AD1364">
        <w:fldChar w:fldCharType="end"/>
      </w:r>
      <w:r w:rsidR="00AD1364">
        <w:t>.</w:t>
      </w:r>
      <w:r w:rsidR="0066743F">
        <w:t xml:space="preserve"> </w:t>
      </w:r>
      <w:r w:rsidR="00B80070" w:rsidRPr="004B50DE">
        <w:t>Field application of biosolids may contribute not only for the PC's concentration in the</w:t>
      </w:r>
      <w:r w:rsidR="007E460F" w:rsidRPr="004B50DE">
        <w:t xml:space="preserve"> top layers of the</w:t>
      </w:r>
      <w:r w:rsidR="00B80070" w:rsidRPr="004B50DE">
        <w:t xml:space="preserve"> amended soil, but also to the </w:t>
      </w:r>
      <w:r w:rsidR="005D04F9" w:rsidRPr="00AD1BD0">
        <w:t>retardation factor</w:t>
      </w:r>
      <w:r w:rsidR="00B80070" w:rsidRPr="004B50DE">
        <w:t xml:space="preserve">. </w:t>
      </w:r>
      <w:r w:rsidR="007E460F" w:rsidRPr="004B50DE">
        <w:t xml:space="preserve">Column-leaching experiments in environmental concentrations revealed that application of biosolids generally increased the </w:t>
      </w:r>
      <w:r w:rsidR="005D04F9" w:rsidRPr="00AD1BD0">
        <w:t>retardation factor</w:t>
      </w:r>
      <w:r w:rsidR="007E460F" w:rsidRPr="004B50DE">
        <w:t xml:space="preserve"> </w:t>
      </w:r>
      <w:r w:rsidR="002A1241">
        <w:t>for</w:t>
      </w:r>
      <w:r w:rsidR="007E460F" w:rsidRPr="004B50DE">
        <w:t xml:space="preserve"> PCs with increased loading of biosolids. </w:t>
      </w:r>
      <w:r w:rsidR="004B50DE" w:rsidRPr="004B50DE">
        <w:t>Whereas</w:t>
      </w:r>
      <w:r w:rsidR="007E460F" w:rsidRPr="004B50DE">
        <w:t xml:space="preserve"> treated </w:t>
      </w:r>
      <w:r w:rsidR="002A1241">
        <w:t>wastewater</w:t>
      </w:r>
      <w:r w:rsidR="007E460F" w:rsidRPr="004B50DE">
        <w:t xml:space="preserve"> increased the mobility of weakly acidic in biosolids amended soils</w:t>
      </w:r>
      <w:r w:rsidR="004B50DE" w:rsidRPr="004B50DE">
        <w:t xml:space="preserve"> apparently</w:t>
      </w:r>
      <w:r w:rsidR="007E460F" w:rsidRPr="004B50DE">
        <w:t xml:space="preserve"> due to </w:t>
      </w:r>
      <w:r w:rsidR="004B50DE" w:rsidRPr="004B50DE">
        <w:t>higher pH</w:t>
      </w:r>
      <w:r w:rsidR="007E460F" w:rsidRPr="004B50DE">
        <w:t xml:space="preserve"> in the</w:t>
      </w:r>
      <w:r w:rsidR="002A1241">
        <w:t xml:space="preserve"> soil</w:t>
      </w:r>
      <w:r w:rsidR="007E460F" w:rsidRPr="004B50DE">
        <w:t xml:space="preserve"> solution </w:t>
      </w:r>
      <w:r w:rsidR="004B50DE" w:rsidRPr="004B50DE">
        <w:t xml:space="preserve">caused by the </w:t>
      </w:r>
      <w:r w:rsidR="004E27C0">
        <w:t>TWW</w:t>
      </w:r>
      <w:r w:rsidR="002A1241">
        <w:t xml:space="preserve"> application </w:t>
      </w:r>
      <w:r w:rsidR="00F36F4D" w:rsidRPr="00AD1364">
        <w:fldChar w:fldCharType="begin" w:fldLock="1"/>
      </w:r>
      <w:r w:rsidR="00AD1364" w:rsidRPr="00AD1364">
        <w:instrText>ADDIN CSL_CITATION { "citationItems" : [ { "id" : "ITEM-1", "itemData" : { "DOI" : "10.1016/j.watres.2013.03.045", "ISSN" : "00431354", "PMID" : "23591105", "abstract" : "Pharmaceutical compounds (PCs) are introduced into the agricultural environment through irrigation with treated effluents and application of biosolids. Transport processes can determine the fate of PCs and the associated risks related to their exposure in the environment. The aim of this work was to evaluate the combined effects of biosolids application and irrigation with treated effluents on the mobility of PCs in soil and to elucidate the main mechanisms affecting their transport. Column-leaching experiments revealed that application of biosolids generally increased the retardation of PCs, whereas treated effluents increased the mobility of weakly acidic PCs in the biosolids-amended soils. Experiments conducted at environmentally relevant PC concentrations (~1??g/L) highlight the importance of irreversible sorption as a possible mechanism for low leachability. Data generated from this study suggest that (i) transport behavior of PCs can be affected by common biosolids application to arable land; (ii) treated effluents increase the mobility of weakly acidic PCs mainly by increasing of the soil solution pH and not due to complexation of the PCs with dissolved organic matter; and (iii) it is highly important to evaluate transport behavior at environmentally relevant concentrations and not to base modeling on data obtained from experiments conducted in high concentrations. ?? 2013 Elsevier Ltd.", "author" : [ { "dropping-particle" : "", "family" : "Borgman", "given" : "Oshri", "non-dropping-particle" : "", "parse-names" : false, "suffix" : "" }, { "dropping-particle" : "", "family" : "Chefetz", "given" : "Benny", "non-dropping-particle" : "", "parse-names" : false, "suffix" : "" } ], "container-title" : "Water Research", "id" : "ITEM-1", "issue" : "10", "issued" : { "date-parts" : [ [ "2013" ] ] }, "page" : "3431-3443", "publisher" : "Elsevier Ltd", "title" : "Combined effects of biosolids application and irrigation with reclaimed wastewater on transport of pharmaceutical compounds in arable soils", "type" : "article-journal", "volume" : "47" }, "uris" : [ "http://www.mendeley.com/documents/?uuid=2916cfc2-189b-4182-a76d-2f1b6dc08b8b" ] } ], "mendeley" : { "formattedCitation" : "(Borgman and Chefetz, 2013)", "plainTextFormattedCitation" : "(Borgman and Chefetz, 2013)", "previouslyFormattedCitation" : "(Borgman and Chefetz, 2013)" }, "properties" : { "noteIndex" : 0 }, "schema" : "https://github.com/citation-style-language/schema/raw/master/csl-citation.json" }</w:instrText>
      </w:r>
      <w:r w:rsidR="00F36F4D" w:rsidRPr="00AD1364">
        <w:fldChar w:fldCharType="separate"/>
      </w:r>
      <w:r w:rsidR="00AD1364" w:rsidRPr="00AD1364">
        <w:rPr>
          <w:noProof/>
        </w:rPr>
        <w:t xml:space="preserve">(Borgman and </w:t>
      </w:r>
      <w:r w:rsidR="00AD1364" w:rsidRPr="00AD1364">
        <w:rPr>
          <w:noProof/>
        </w:rPr>
        <w:lastRenderedPageBreak/>
        <w:t>Chefetz, 2013)</w:t>
      </w:r>
      <w:r w:rsidR="00F36F4D" w:rsidRPr="00AD1364">
        <w:fldChar w:fldCharType="end"/>
      </w:r>
      <w:r w:rsidR="00AD1364" w:rsidRPr="00AD1364">
        <w:t xml:space="preserve">. </w:t>
      </w:r>
      <w:r w:rsidR="00F36F4D" w:rsidRPr="00AD1364">
        <w:fldChar w:fldCharType="begin" w:fldLock="1"/>
      </w:r>
      <w:r w:rsidR="00AD1364">
        <w:instrText>ADDIN CSL_CITATION { "citationItems" : [ { "id" : "ITEM-1", "itemData" : { "DOI" : "10.1002/etc.66", "ISBN" : "0730-7268", "ISSN" : "07307268", "PMID" : "20821484", "abstract" : "Land application of biosolids is a common practice throughout the world. However, concerns continue to be raised about the safety of this practice, because biosolids may contain trace levels of organic contaminants. The present study evaluated the levels of triclocarban (TCC), triclosan (TCS), 4-nonylphenol (4-NP), and polybrominated diphenyl ethers (PBDEs) in biosolids from 16 wastewater treatment plants and in soils from field plots receiving annual applications of biosolids for 33 years. All of the four contaminants evaluated were detected in most of the biosolids at concentrations ranging from hundreds of microg/kg to over 1,000 mg/kg (dry wt basis). They were detected at microg/kg levels in the biosolids-amended soil, but their concentrations decreased sharply with increasing soil depth for 4-NP, PBDEs, and TCC, indicating limited soil leaching of those compounds. However, potential leaching of TCS in the biosolids-amended soils was observed. The levels of all four compounds in the surface soil increased with increasing biosolids application rate. Compared with the estimated 33-year cumulative input to the soil during the 33-year consecutive biosolids application, most of the PBDEs and a small percentage of 4-NP, TCC, and TCS remained in the top 120-cm soil layer. These observations suggest slow degradation of PBDEs but rapid transformation of 4-NP, TCC, and TCS in the biosolids-amended soils.", "author" : [ { "dropping-particle" : "", "family" : "Xia", "given" : "Kang", "non-dropping-particle" : "", "parse-names" : false, "suffix" : "" }, { "dropping-particle" : "", "family" : "Hundal", "given" : "Lakhwinder S.", "non-dropping-particle" : "", "parse-names" : false, "suffix" : "" }, { "dropping-particle" : "", "family" : "Kumar", "given" : "Kuldip", "non-dropping-particle" : "", "parse-names" : false, "suffix" : "" }, { "dropping-particle" : "", "family" : "Armbrust", "given" : "Kevin", "non-dropping-particle" : "", "parse-names" : false, "suffix" : "" }, { "dropping-particle" : "", "family" : "Cox", "given" : "Albert E.", "non-dropping-particle" : "", "parse-names" : false, "suffix" : "" }, { "dropping-particle" : "", "family" : "Granato", "given" : "Thomas C.", "non-dropping-particle" : "", "parse-names" : false, "suffix" : "" } ], "container-title" : "Environmental Toxicology and Chemistry", "id" : "ITEM-1", "issue" : "3", "issued" : { "date-parts" : [ [ "2010" ] ] }, "page" : "597-605", "title" : "Triclocarban, triclosan, polybrominated diphenyl ethers and 4-nonylphenol in biosolids and in soil receiving 33-year biosolids application", "type" : "article-journal", "volume" : "29" }, "uris" : [ "http://www.mendeley.com/documents/?uuid=133f644e-bd06-4158-a77a-3e078f5a6b62" ] } ], "mendeley" : { "formattedCitation" : "(Xia et al., 2010)", "manualFormatting" : "Xia et al., 2010", "plainTextFormattedCitation" : "(Xia et al., 2010)", "previouslyFormattedCitation" : "(Xia et al., 2010)" }, "properties" : { "noteIndex" : 0 }, "schema" : "https://github.com/citation-style-language/schema/raw/master/csl-citation.json" }</w:instrText>
      </w:r>
      <w:r w:rsidR="00F36F4D" w:rsidRPr="00AD1364">
        <w:fldChar w:fldCharType="separate"/>
      </w:r>
      <w:r w:rsidR="00AD1364" w:rsidRPr="00AD1364">
        <w:rPr>
          <w:noProof/>
        </w:rPr>
        <w:t>Xia et al.</w:t>
      </w:r>
      <w:r w:rsidR="00260472">
        <w:rPr>
          <w:noProof/>
        </w:rPr>
        <w:t xml:space="preserve"> (</w:t>
      </w:r>
      <w:r w:rsidR="00AD1364" w:rsidRPr="00AD1364">
        <w:rPr>
          <w:noProof/>
        </w:rPr>
        <w:t>2010</w:t>
      </w:r>
      <w:r w:rsidR="00F36F4D" w:rsidRPr="00AD1364">
        <w:fldChar w:fldCharType="end"/>
      </w:r>
      <w:r w:rsidR="00260472">
        <w:t>) n</w:t>
      </w:r>
      <w:r w:rsidR="004B50DE" w:rsidRPr="00AD1364">
        <w:t>oted</w:t>
      </w:r>
      <w:r w:rsidR="004A6595">
        <w:t xml:space="preserve"> that t</w:t>
      </w:r>
      <w:r w:rsidR="004B50DE" w:rsidRPr="004B50DE">
        <w:t>he concentrations of different compounds in the surface soil layer (0–15 cm) increased with increasing cumulative loadings of biosolids. However, this difference with cumulative loadings became less significant in soil samples below 30</w:t>
      </w:r>
      <w:r w:rsidR="00260472">
        <w:t xml:space="preserve"> </w:t>
      </w:r>
      <w:r w:rsidR="004B50DE" w:rsidRPr="004B50DE">
        <w:t>cm depth. The concentrations of all four contaminants</w:t>
      </w:r>
      <w:r w:rsidR="00E5656D">
        <w:t xml:space="preserve"> </w:t>
      </w:r>
      <w:r w:rsidR="002A1241">
        <w:t xml:space="preserve">in soil </w:t>
      </w:r>
      <w:r w:rsidR="004B50DE" w:rsidRPr="004B50DE">
        <w:t>decreased sharply within the top 30-cm depth and leveled off in deeper layers.</w:t>
      </w:r>
    </w:p>
    <w:p w:rsidR="00684419" w:rsidRPr="00684419" w:rsidRDefault="005D04F9" w:rsidP="007B7AB9">
      <w:pPr>
        <w:pStyle w:val="Heading2"/>
      </w:pPr>
      <w:r>
        <w:t>Pharmaceuticals occurrence</w:t>
      </w:r>
      <w:r w:rsidR="00260472">
        <w:t xml:space="preserve"> </w:t>
      </w:r>
      <w:r w:rsidR="006F312E">
        <w:t xml:space="preserve">and </w:t>
      </w:r>
      <w:r w:rsidR="00260472">
        <w:t xml:space="preserve">fate </w:t>
      </w:r>
      <w:r w:rsidR="00684419">
        <w:t xml:space="preserve">in </w:t>
      </w:r>
      <w:r w:rsidR="00260472">
        <w:t>plants</w:t>
      </w:r>
    </w:p>
    <w:p w:rsidR="00627DC0" w:rsidRDefault="00627DC0" w:rsidP="007B7AB9">
      <w:pPr>
        <w:pStyle w:val="Heading3"/>
      </w:pPr>
      <w:r>
        <w:t>Uptake</w:t>
      </w:r>
      <w:r w:rsidR="00CB23B6">
        <w:t xml:space="preserve"> and </w:t>
      </w:r>
      <w:r w:rsidR="00260472">
        <w:t xml:space="preserve">translocation </w:t>
      </w:r>
    </w:p>
    <w:p w:rsidR="00A56454" w:rsidRDefault="003A64E9" w:rsidP="002A1241">
      <w:r w:rsidRPr="00873A24">
        <w:t>Passive transport of water in the xylem is based on water potential gradient between the leaf</w:t>
      </w:r>
      <w:r w:rsidR="00F13F2F">
        <w:t xml:space="preserve"> and its surrounding atmosphere. This potential diffe</w:t>
      </w:r>
      <w:r w:rsidR="002A1241">
        <w:t xml:space="preserve">rence is the driving force for </w:t>
      </w:r>
      <w:r w:rsidR="00F13F2F">
        <w:t>transpiration</w:t>
      </w:r>
      <w:r w:rsidR="00F13F2F" w:rsidRPr="00534892">
        <w:t>,</w:t>
      </w:r>
      <w:r w:rsidR="00DC3784" w:rsidRPr="00534892">
        <w:t xml:space="preserve"> which is </w:t>
      </w:r>
      <w:r w:rsidRPr="00534892">
        <w:t>affected by the climate</w:t>
      </w:r>
      <w:r w:rsidRPr="00873A24">
        <w:t xml:space="preserve"> conditions (e.g., temperature, humidity and wind)</w:t>
      </w:r>
      <w:r w:rsidR="00DC3784" w:rsidRPr="00873A24">
        <w:t xml:space="preserve">. </w:t>
      </w:r>
      <w:r w:rsidR="00EF4C5C" w:rsidRPr="00873A24">
        <w:t xml:space="preserve">Water and nutrients may enter the root through three different </w:t>
      </w:r>
      <w:r w:rsidR="00F13F2F">
        <w:t>routes</w:t>
      </w:r>
      <w:r w:rsidR="00EF4C5C" w:rsidRPr="00873A24">
        <w:t>: apoplastic, symplastic or trans-cellular. Apoplastic flow occurs through the intercellular space, while symplastic flow</w:t>
      </w:r>
      <w:r w:rsidR="00CE5360" w:rsidRPr="00873A24">
        <w:t xml:space="preserve"> is intercellular through the plasmodesmata. </w:t>
      </w:r>
      <w:r w:rsidR="00873A24" w:rsidRPr="00873A24">
        <w:t>Trans-cellular flow crosses the membranes of cells</w:t>
      </w:r>
      <w:r w:rsidR="006D619D">
        <w:t xml:space="preserve"> </w:t>
      </w:r>
      <w:r w:rsidR="00F36F4D">
        <w:fldChar w:fldCharType="begin" w:fldLock="1"/>
      </w:r>
      <w:r w:rsidR="00CD2093">
        <w:instrText>ADDIN CSL_CITATION { "citationItems" : [ { "id" : "ITEM-1", "itemData" : { "DOI" : "10.1093/jexbot/51.350.1531", "ISBN" : "0022-0957", "ISSN" : "14602431", "PMID" : "11006304", "abstract" : "The variable hydraulic conductivity of roots (Lp(r)) is explained in terms of a composite transport model. It is shown how the complex, composite anatomical structure of roots results in a composite transport of both water and solutes. In the model, the parallel apoplastic and cell-to-cell (symplastic and transcellular) pathways play an important role as well as the different tissues and structures arranged in series within the root cylinder (epidermis, exodermis, cortex, endodermis, stelar parenchyma). The roles of Casparian bands and suberin lamellae in the root's endo- and exodermis are discussed. Depending on the developmental state of these apoplastic barriers, the overall hydraulic resistance of roots is either more evenly distributed across the root cylinder (young unstressed roots) or is concentrated in certain layers (exo- and endodermis in older stressed roots). The reason for the variability of root Lp(r), is that hydraulic forces cause a dominating apoplastic flow of water around protoplasts, even in the endodermis and exodermis. In the absence of transpiration, water flow is osmotic in nature which causes a high resistance as water passes across many membranes on its passage across the root cylinder. The model allows for a high capability of roots to take up water in the presence of high rates of transpiration (high demands for water from the shoot). By contrast, the hydraulic conductance is low, when transpiration is switched off. Overall, this results in a non-linear relationship between water flow and forces (gradients of hydrostatic and osmotic pressure) which is otherwise hard to explain. The model allows for special root characteristics such as a high hydraulic conductivity (water permeability) in the presence of a low permeability of nutrient ions once taken up into the stele by active processes. Low root reflection coefficients are in line with the idea of some apoplastic bypasses for water within the root cylinder. According to the composite transport model, the switch from the hydraulic to the osmotic mode is purely physical. In the presence of heavily suberized roots, the apoplastic component of water flow may be too small. Under these conditions, a regulation of radial water flow by water channels dominates. Since water channels are under metabolic control, this component represents an 'active' element of regulation. Composite transport allows for an optimization of the water balance of the shoot in addition to the well-known ph\u2026", "author" : [ { "dropping-particle" : "", "family" : "Steudle", "given" : "E", "non-dropping-particle" : "", "parse-names" : false, "suffix" : "" } ], "container-title" : "Journal of experimental botany", "id" : "ITEM-1", "issue" : "350", "issued" : { "date-parts" : [ [ "2000" ] ] }, "page" : "1531-1542", "title" : "Water uptake by roots: effects of water deficit.", "type" : "article-journal", "volume" : "51" }, "uris" : [ "http://www.mendeley.com/documents/?uuid=45013168-24ab-4464-a803-07b7bd3523e1" ] } ], "mendeley" : { "formattedCitation" : "(Steudle, 2000)", "manualFormatting" : "(Steudle, 2000; Gregory, 2008; Pallardy, 2010)", "plainTextFormattedCitation" : "(Steudle, 2000)", "previouslyFormattedCitation" : "(Steudle, 2000)" }, "properties" : { "noteIndex" : 0 }, "schema" : "https://github.com/citation-style-language/schema/raw/master/csl-citation.json" }</w:instrText>
      </w:r>
      <w:r w:rsidR="00F36F4D">
        <w:fldChar w:fldCharType="separate"/>
      </w:r>
      <w:r w:rsidR="006D619D" w:rsidRPr="006D619D">
        <w:rPr>
          <w:noProof/>
        </w:rPr>
        <w:t>(Steudle, 2000</w:t>
      </w:r>
      <w:r w:rsidR="006D619D">
        <w:rPr>
          <w:noProof/>
        </w:rPr>
        <w:t xml:space="preserve">; </w:t>
      </w:r>
      <w:r w:rsidR="006D619D" w:rsidRPr="009E7E7F">
        <w:rPr>
          <w:noProof/>
        </w:rPr>
        <w:t>Gregory, 2008; Pallardy, 2010</w:t>
      </w:r>
      <w:r w:rsidR="006D619D" w:rsidRPr="006D619D">
        <w:rPr>
          <w:noProof/>
        </w:rPr>
        <w:t>)</w:t>
      </w:r>
      <w:r w:rsidR="00F36F4D">
        <w:fldChar w:fldCharType="end"/>
      </w:r>
      <w:r w:rsidR="00873A24">
        <w:t xml:space="preserve">. </w:t>
      </w:r>
      <w:r w:rsidR="00A56454">
        <w:t>Before entering the xylem, water and solutes need to cross the casparian strip, which act as a hydrophobic barrier</w:t>
      </w:r>
      <w:r w:rsidR="00CD2093">
        <w:t xml:space="preserve"> </w:t>
      </w:r>
      <w:r w:rsidR="00F36F4D">
        <w:fldChar w:fldCharType="begin" w:fldLock="1"/>
      </w:r>
      <w:r w:rsidR="00ED3019">
        <w:instrText>ADDIN CSL_CITATION { "citationItems" : [ { "id" : "ITEM-1", "itemData" : { "DOI" : "10.1007/s00344-003-0002-2", "ISBN" : "0721-7595", "ISSN" : "07217595", "PMID" : "20033131762", "abstract" : "Roots of virtually all vascular plants have an endodermis with a Casparian band, and the majority of angiosperm roots tested also have an exodermis with a Casparian band. Both the endodermis and exodermis may develop suberin lamellae and thick, tertiary walls. Each of these wall modifications has its own function(s). The endodermal Casparian band prevents the unimpeded movement of apoplastic substances into the stele and also prevents the backflow of ions that have moved into the stele symplastically and then were released into its apoplast. In roots with a mature exodermis, the barrier to apoplastic inflow of ions occurs near the root surface, but prevention of backflow of ions from the stele remains a function of the endodermis. The suberin lamellae protect against pathogen invasion and possibly root drying during times of stress. Tertiary walls of the endodermis and exodermis are believed to function in mechanical support of the root, but this idea remains to be tested. During stress, root growth rates decline, and the endodermis and exodermis develop closer to the root tip. In two cases, stress is known to induce the formation of an exodermis, and in several other cases to accelerate the development of both the exodermis and endodermis. The responses of the endodermis and exodermis to drought, exposure to moist air, flooding, salinity, ion deficiency, acidity, and mechanical impedance are discussed.", "author" : [ { "dropping-particle" : "", "family" : "Enstone", "given" : "Daryl E.", "non-dropping-particle" : "", "parse-names" : false, "suffix" : "" }, { "dropping-particle" : "", "family" : "Peterson", "given" : "Carol a.", "non-dropping-particle" : "", "parse-names" : false, "suffix" : "" }, { "dropping-particle" : "", "family" : "Ma", "given" : "Fengshan", "non-dropping-particle" : "", "parse-names" : false, "suffix" : "" } ], "container-title" : "Journal of Plant Growth Regulation", "id" : "ITEM-1", "issue" : "4", "issued" : { "date-parts" : [ [ "2003" ] ] }, "page" : "335-351", "title" : "Root endodermis and exodermis: Structure, function, and responses to the environment", "type" : "article-journal", "volume" : "21" }, "uris" : [ "http://www.mendeley.com/documents/?uuid=5fb721ea-74c2-4740-a00f-6ece421f784b" ] } ], "mendeley" : { "formattedCitation" : "(Enstone et al., 2003)", "plainTextFormattedCitation" : "(Enstone et al., 2003)", "previouslyFormattedCitation" : "(Enstone et al., 2003)" }, "properties" : { "noteIndex" : 0 }, "schema" : "https://github.com/citation-style-language/schema/raw/master/csl-citation.json" }</w:instrText>
      </w:r>
      <w:r w:rsidR="00F36F4D">
        <w:fldChar w:fldCharType="separate"/>
      </w:r>
      <w:r w:rsidR="00CD2093" w:rsidRPr="00CD2093">
        <w:rPr>
          <w:noProof/>
        </w:rPr>
        <w:t>(Enstone et al., 2003)</w:t>
      </w:r>
      <w:r w:rsidR="00F36F4D">
        <w:fldChar w:fldCharType="end"/>
      </w:r>
      <w:r w:rsidR="00CD2093">
        <w:t xml:space="preserve">. </w:t>
      </w:r>
    </w:p>
    <w:p w:rsidR="009C30E8" w:rsidRDefault="003B2E5C" w:rsidP="002A1241">
      <w:r>
        <w:t>U</w:t>
      </w:r>
      <w:r w:rsidR="00A56454">
        <w:t xml:space="preserve">ptake of </w:t>
      </w:r>
      <w:r>
        <w:t>a PC depends on its release from the soi</w:t>
      </w:r>
      <w:r w:rsidR="002A1241">
        <w:t xml:space="preserve">l solid phase to soil solution, </w:t>
      </w:r>
      <w:r>
        <w:t>and from the soil so</w:t>
      </w:r>
      <w:r w:rsidR="002A1241">
        <w:t xml:space="preserve">lution to the cell membrane </w:t>
      </w:r>
      <w:r>
        <w:t xml:space="preserve">and cytoplasm. This process </w:t>
      </w:r>
      <w:r w:rsidR="00342F53">
        <w:t xml:space="preserve">is complex and also </w:t>
      </w:r>
      <w:r>
        <w:t>depends on</w:t>
      </w:r>
      <w:r w:rsidR="00342F53">
        <w:t xml:space="preserve"> the </w:t>
      </w:r>
      <w:r>
        <w:t>environmental conditions</w:t>
      </w:r>
      <w:r w:rsidR="00342F53">
        <w:t xml:space="preserve"> (e.g., temperature, humidity, wind, water content is the soil and more)</w:t>
      </w:r>
      <w:r>
        <w:t>.</w:t>
      </w:r>
      <w:r w:rsidR="00F218D0">
        <w:t xml:space="preserve"> A</w:t>
      </w:r>
      <w:r w:rsidR="00342F53">
        <w:t>part from the soil's properties,</w:t>
      </w:r>
      <w:r w:rsidR="00F218D0">
        <w:t xml:space="preserve"> the compoun</w:t>
      </w:r>
      <w:r w:rsidR="00342F53">
        <w:t xml:space="preserve">d's physicochemical properties or the environmental ones, </w:t>
      </w:r>
      <w:r w:rsidR="00F218D0">
        <w:t>the plant's properties influence the uptake as well (</w:t>
      </w:r>
      <w:r w:rsidR="00342F53">
        <w:t>e.g</w:t>
      </w:r>
      <w:r w:rsidR="00F218D0">
        <w:t xml:space="preserve">., lipid content of the </w:t>
      </w:r>
      <w:r w:rsidR="00342F53">
        <w:t xml:space="preserve">root </w:t>
      </w:r>
      <w:r w:rsidR="00F218D0">
        <w:t xml:space="preserve">membrane, </w:t>
      </w:r>
      <w:r w:rsidR="00F218D0" w:rsidRPr="00F218D0">
        <w:t>metabolism systems</w:t>
      </w:r>
      <w:r w:rsidR="00F218D0">
        <w:t xml:space="preserve">, </w:t>
      </w:r>
      <w:r w:rsidR="00342F53">
        <w:t>growth rates and foliage</w:t>
      </w:r>
      <w:r w:rsidR="002A1241">
        <w:t xml:space="preserve"> mass</w:t>
      </w:r>
      <w:r w:rsidR="009630D8">
        <w:t xml:space="preserve">) </w:t>
      </w:r>
      <w:r w:rsidR="00F36F4D">
        <w:fldChar w:fldCharType="begin" w:fldLock="1"/>
      </w:r>
      <w:r w:rsidR="009630D8">
        <w:instrText>ADDIN CSL_CITATION { "citationItems" : [ { "id" : "ITEM-1", "itemData" : { "DOI" : "10.1016/j.envint.2013.07.015", "ISBN" : "0160-4120", "ISSN" : "01604120", "PMID" : "23973619", "abstract" : "Reuse of treated wastewater to irrigate agricultural crops is increasing in many arid and semi-arid areas around the world. The presence of numerous pharmaceutical and personal care products (PPCPs) in treated wastewater and their potential transfer into food produce such as vegetables poses an unknown human health risk. The goal of this study was to identify PPCPs that have a comparatively high potential for plant uptake and translocation. A total of 20 frequently-occurring PPCPs were compared for their accumulation into four staple vegetables (lettuce, spinach, cucumber, and pepper) grown in nutrient solutions containing PPCPs at 0.5 or 5\u03bcgL-1. Triclocarban, fluoxetine, triclosan, and diazepam were found at high levels in roots, while meprobamate, primidone, carbamazepine, dilantin, and diuron exhibited more active translocation from roots to leaves. Root uptake of neutral PPCPs was positively correlated with the pH adjusted log Kow(i.e., log Dow), and was likely driven by chemical adsorption onto the root surfaces. In contrast, translocation from roots to leaves was negatively related to log Dow, suggesting hydrophilicity-regulated transport via xylems. Compounds preferentially sorbed to roots should be further evaluated for their uptake in tuber vegetables (e.g., carrot, radish) under field conditions, while those easily translocated into leaves (e.g., carbamazepine, dilantin) merit focused consideration for leafy and other vegetables (e.g., lettuce, cucumber). However, estimation of dietary intake by humans suggested the implied risks from exposure to PPCPs via wastewater irrigation to be negligible. \u00a9 2013.", "author" : [ { "dropping-particle" : "", "family" : "Wu", "given" : "Xiaoqin", "non-dropping-particle" : "", "parse-names" : false, "suffix" : "" }, { "dropping-particle" : "", "family" : "Ernst", "given" : "Frederick", "non-dropping-particle" : "", "parse-names" : false, "suffix" : "" }, { "dropping-particle" : "", "family" : "Conkle", "given" : "Jeremy L.", "non-dropping-particle" : "", "parse-names" : false, "suffix" : "" }, { "dropping-particle" : "", "family" : "Gan", "given" : "Jay", "non-dropping-particle" : "", "parse-names" : false, "suffix" : "" } ], "container-title" : "Environment International", "id" : "ITEM-1", "issued" : { "date-parts" : [ [ "2013" ] ] }, "page" : "15-22", "publisher" : "Elsevier B.V.", "title" : "Comparative uptake and translocation of pharmaceutical and personal care products (PPCPs) by common vegetables", "type" : "article-journal", "volume" : "60" }, "uris" : [ "http://www.mendeley.com/documents/?uuid=2e3d8f41-5648-4625-b996-479af68ae97b" ] }, { "id" : "ITEM-2", "itemData" : { "author" : [ { "dropping-particle" : "", "family" : "Wu", "given" : "Xiaoqin", "non-dropping-particle" : "", "parse-names" : false, "suffix" : "" }, { "dropping-particle" : "", "family" : "Conkle", "given" : "Jeremy L.", "non-dropping-particle" : "", "parse-names" : false, "suffix" : "" }, { "dropping-particle" : "", "family" : "Ernst", "given" : "Frederick", "non-dropping-particle" : "", "parse-names" : false, "suffix" : "" }, { "dropping-particle" : "", "family" : "Gan", "given" : "Jay", "non-dropping-particle" : "", "parse-names" : false, "suffix" : "" } ], "container-title" : "Environmental Science &amp; Technology", "id" : "ITEM-2", "issue" : "19", "issued" : { "date-parts" : [ [ "2014" ] ] }, "page" : "11286-11293", "title" : "Treated wastewater irrigation : uptake of pharmaceutical and personal care products by common vegetables under field conditions", "type" : "article-journal", "volume" : "48" }, "uris" : [ "http://www.mendeley.com/documents/?uuid=80f9292b-9f8c-43a4-87fb-69c6066eb520" ] } ], "mendeley" : { "formattedCitation" : "(Wu et al., 2013, 2014)", "plainTextFormattedCitation" : "(Wu et al., 2013, 2014)", "previouslyFormattedCitation" : "(Wu et al., 2013, 2014)" }, "properties" : { "noteIndex" : 0 }, "schema" : "https://github.com/citation-style-language/schema/raw/master/csl-citation.json" }</w:instrText>
      </w:r>
      <w:r w:rsidR="00F36F4D">
        <w:fldChar w:fldCharType="separate"/>
      </w:r>
      <w:r w:rsidR="009630D8" w:rsidRPr="009630D8">
        <w:rPr>
          <w:noProof/>
        </w:rPr>
        <w:t>(Wu et al., 2013, 2014)</w:t>
      </w:r>
      <w:r w:rsidR="00F36F4D">
        <w:fldChar w:fldCharType="end"/>
      </w:r>
      <w:r w:rsidR="009630D8">
        <w:t>.</w:t>
      </w:r>
      <w:r>
        <w:t xml:space="preserve"> </w:t>
      </w:r>
    </w:p>
    <w:p w:rsidR="00D36455" w:rsidRDefault="00F36F4D" w:rsidP="008A2965">
      <w:pPr>
        <w:rPr>
          <w:rtl/>
        </w:rPr>
      </w:pPr>
      <w:r>
        <w:fldChar w:fldCharType="begin" w:fldLock="1"/>
      </w:r>
      <w:r w:rsidR="009630D8">
        <w:instrText>ADDIN CSL_CITATION { "citationItems" : [ { "id" : "ITEM-1", "itemData" : { "author" : [ { "dropping-particle" : "", "family" : "Briggs", "given" : "Geoffrey G.", "non-dropping-particle" : "", "parse-names" : false, "suffix" : "" }, { "dropping-particle" : "", "family" : "Bromilow", "given" : "Richard H.", "non-dropping-particle" : "", "parse-names" : false, "suffix" : "" }, { "dropping-particle" : "", "family" : "Evans", "given" : "Avis A.", "non-dropping-particle" : "", "parse-names" : false, "suffix" : "" } ], "container-title" : "Pesticide Science", "id" : "ITEM-1", "issue" : "5", "issued" : { "date-parts" : [ [ "1982" ] ] }, "page" : "495-504", "title" : "Relationships between lipophilicity and root uptake and translocation of non-ionised chemicals by barley", "type" : "article-journal", "volume" : "13" }, "uris" : [ "http://www.mendeley.com/documents/?uuid=b4af2ed7-5c71-4c3f-8170-580f522fda5b" ] } ], "mendeley" : { "formattedCitation" : "(Briggs et al., 1982)", "manualFormatting" : "Briggs et al., 1982", "plainTextFormattedCitation" : "(Briggs et al., 1982)", "previouslyFormattedCitation" : "(Briggs et al., 1982)" }, "properties" : { "noteIndex" : 0 }, "schema" : "https://github.com/citation-style-language/schema/raw/master/csl-citation.json" }</w:instrText>
      </w:r>
      <w:r>
        <w:fldChar w:fldCharType="separate"/>
      </w:r>
      <w:r w:rsidR="009630D8" w:rsidRPr="009630D8">
        <w:rPr>
          <w:noProof/>
        </w:rPr>
        <w:t>Briggs et al.</w:t>
      </w:r>
      <w:r w:rsidR="00260472">
        <w:rPr>
          <w:noProof/>
        </w:rPr>
        <w:t xml:space="preserve"> (</w:t>
      </w:r>
      <w:r w:rsidR="009630D8" w:rsidRPr="009630D8">
        <w:rPr>
          <w:noProof/>
        </w:rPr>
        <w:t>1982</w:t>
      </w:r>
      <w:r>
        <w:fldChar w:fldCharType="end"/>
      </w:r>
      <w:r w:rsidR="00260472">
        <w:t>) a</w:t>
      </w:r>
      <w:r w:rsidR="007A20D1">
        <w:t>ssessed the uptake and translocation of nonionic organic compounds. They noted that uptake of nonionic compounds</w:t>
      </w:r>
      <w:r w:rsidR="007A20D1" w:rsidRPr="007A20D1">
        <w:t xml:space="preserve"> increased with increasing lipophilicity </w:t>
      </w:r>
      <w:r w:rsidR="007A20D1">
        <w:t xml:space="preserve">within the range of log </w:t>
      </w:r>
      <w:r w:rsidR="007A20D1" w:rsidRPr="007A20D1">
        <w:rPr>
          <w:i/>
          <w:iCs/>
        </w:rPr>
        <w:t>K</w:t>
      </w:r>
      <w:r w:rsidR="007A20D1">
        <w:t>ow 1.5-5</w:t>
      </w:r>
      <w:r w:rsidR="00260472">
        <w:t>. T</w:t>
      </w:r>
      <w:r w:rsidR="007A20D1">
        <w:t xml:space="preserve">hey conclude that the </w:t>
      </w:r>
      <w:r w:rsidR="00D36455">
        <w:t>mechanisms</w:t>
      </w:r>
      <w:r w:rsidR="007A20D1">
        <w:t xml:space="preserve"> controlling uptake of </w:t>
      </w:r>
      <w:r w:rsidR="00D36455">
        <w:t>nonionic</w:t>
      </w:r>
      <w:r w:rsidR="007A20D1">
        <w:t xml:space="preserve"> compounds are partitioning </w:t>
      </w:r>
      <w:r w:rsidR="008C3E8F">
        <w:t>for hydrophobic</w:t>
      </w:r>
      <w:r w:rsidR="007A20D1">
        <w:t xml:space="preserve"> compounds </w:t>
      </w:r>
      <w:r w:rsidR="00D36455" w:rsidRPr="00D36455">
        <w:t>and uptake into the aqueous phase in roots</w:t>
      </w:r>
      <w:r w:rsidR="00D36455">
        <w:t>,</w:t>
      </w:r>
      <w:r w:rsidR="00D36455" w:rsidRPr="00D36455">
        <w:t xml:space="preserve"> </w:t>
      </w:r>
      <w:r w:rsidR="00D36455">
        <w:t>between</w:t>
      </w:r>
      <w:r w:rsidR="00D36455" w:rsidRPr="00D36455">
        <w:t xml:space="preserve"> and within the root cells</w:t>
      </w:r>
      <w:r w:rsidR="00D36455">
        <w:t xml:space="preserve"> for more polar compounds.</w:t>
      </w:r>
      <w:r w:rsidR="003B2E5C">
        <w:t xml:space="preserve"> </w:t>
      </w:r>
      <w:r w:rsidR="00D36455">
        <w:t xml:space="preserve">Translocation was also </w:t>
      </w:r>
      <w:r w:rsidR="00D36455" w:rsidRPr="00D36455">
        <w:rPr>
          <w:i/>
          <w:iCs/>
        </w:rPr>
        <w:t>K</w:t>
      </w:r>
      <w:r w:rsidR="00D36455">
        <w:t xml:space="preserve">ow depended and was maximized with log </w:t>
      </w:r>
      <w:r w:rsidR="00D36455" w:rsidRPr="00233E06">
        <w:rPr>
          <w:i/>
          <w:iCs/>
        </w:rPr>
        <w:t>K</w:t>
      </w:r>
      <w:r w:rsidR="00D36455">
        <w:t xml:space="preserve">ow </w:t>
      </w:r>
      <w:r w:rsidR="00260472">
        <w:t>~</w:t>
      </w:r>
      <w:r w:rsidR="00B9578A">
        <w:t>2, more hydrophobic compounds did not reach the hydrophilic xylem in high concentrations</w:t>
      </w:r>
      <w:r w:rsidR="00D36455">
        <w:t>.</w:t>
      </w:r>
      <w:r w:rsidR="00B9578A">
        <w:t xml:space="preserve"> Compounds that are less hydrophobic </w:t>
      </w:r>
      <w:r w:rsidR="008C3E8F">
        <w:t xml:space="preserve">(log </w:t>
      </w:r>
      <w:r w:rsidR="008C3E8F" w:rsidRPr="007D58E1">
        <w:rPr>
          <w:i/>
          <w:iCs/>
        </w:rPr>
        <w:t>K</w:t>
      </w:r>
      <w:r w:rsidR="008C3E8F">
        <w:t>ow &lt;</w:t>
      </w:r>
      <w:r w:rsidR="00B9578A">
        <w:t xml:space="preserve"> 2</w:t>
      </w:r>
      <w:r w:rsidR="008C3E8F">
        <w:t>)</w:t>
      </w:r>
      <w:r w:rsidR="00B9578A">
        <w:t xml:space="preserve"> </w:t>
      </w:r>
      <w:r w:rsidR="008A2965">
        <w:t>are</w:t>
      </w:r>
      <w:r w:rsidR="00B9578A">
        <w:t xml:space="preserve"> hindered </w:t>
      </w:r>
      <w:r w:rsidR="008A2965">
        <w:t xml:space="preserve">while </w:t>
      </w:r>
      <w:r w:rsidR="00B9578A">
        <w:t>cross</w:t>
      </w:r>
      <w:r w:rsidR="008A2965">
        <w:t>ing</w:t>
      </w:r>
      <w:r w:rsidR="00B9578A">
        <w:t xml:space="preserve"> the hydrophobic cell membrane.</w:t>
      </w:r>
      <w:r w:rsidRPr="0001043B">
        <w:fldChar w:fldCharType="begin" w:fldLock="1"/>
      </w:r>
      <w:r w:rsidR="0001043B" w:rsidRPr="0001043B">
        <w:instrText>ADDIN CSL_CITATION { "citationItems" : [ { "id" : "ITEM-1", "itemData" : { "DOI" : "10.1016/j.envint.2013.07.015", "ISBN" : "0160-4120", "ISSN" : "01604120", "PMID" : "23973619", "abstract" : "Reuse of treated wastewater to irrigate agricultural crops is increasing in many arid and semi-arid areas around the world. The presence of numerous pharmaceutical and personal care products (PPCPs) in treated wastewater and their potential transfer into food produce such as vegetables poses an unknown human health risk. The goal of this study was to identify PPCPs that have a comparatively high potential for plant uptake and translocation. A total of 20 frequently-occurring PPCPs were compared for their accumulation into four staple vegetables (lettuce, spinach, cucumber, and pepper) grown in nutrient solutions containing PPCPs at 0.5 or 5\u03bcgL-1. Triclocarban, fluoxetine, triclosan, and diazepam were found at high levels in roots, while meprobamate, primidone, carbamazepine, dilantin, and diuron exhibited more active translocation from roots to leaves. Root uptake of neutral PPCPs was positively correlated with the pH adjusted log Kow(i.e., log Dow), and was likely driven by chemical adsorption onto the root surfaces. In contrast, translocation from roots to leaves was negatively related to log Dow, suggesting hydrophilicity-regulated transport via xylems. Compounds preferentially sorbed to roots should be further evaluated for their uptake in tuber vegetables (e.g., carrot, radish) under field conditions, while those easily translocated into leaves (e.g., carbamazepine, dilantin) merit focused consideration for leafy and other vegetables (e.g., lettuce, cucumber). However, estimation of dietary intake by humans suggested the implied risks from exposure to PPCPs via wastewater irrigation to be negligible. \u00a9 2013.", "author" : [ { "dropping-particle" : "", "family" : "Wu", "given" : "Xiaoqin", "non-dropping-particle" : "", "parse-names" : false, "suffix" : "" }, { "dropping-particle" : "", "family" : "Ernst", "given" : "Frederick", "non-dropping-particle" : "", "parse-names" : false, "suffix" : "" }, { "dropping-particle" : "", "family" : "Conkle", "given" : "Jeremy L.", "non-dropping-particle" : "", "parse-names" : false, "suffix" : "" }, { "dropping-particle" : "", "family" : "Gan", "given" : "Jay", "non-dropping-particle" : "", "parse-names" : false, "suffix" : "" } ], "container-title" : "Environment International", "id" : "ITEM-1", "issued" : { "date-parts" : [ [ "2013" ] ] }, "page" : "15-22", "publisher" : "Elsevier B.V.", "title" : "Comparative uptake and translocation of pharmaceutical and personal care products (PPCPs) by common vegetables", "type" : "article-journal", "volume" : "60" }, "uris" : [ "http://www.mendeley.com/documents/?uuid=2e3d8f41-5648-4625-b996-479af68ae97b" ] } ], "mendeley" : { "formattedCitation" : "(Wu et al., 2013)", "manualFormatting" : " Wu et al., 2013", "plainTextFormattedCitation" : "(Wu et al., 2013)", "previouslyFormattedCitation" : "(Wu et al., 2013)" }, "properties" : { "noteIndex" : 0 }, "schema" : "https://github.com/citation-style-language/schema/raw/master/csl-citation.json" }</w:instrText>
      </w:r>
      <w:r w:rsidRPr="0001043B">
        <w:fldChar w:fldCharType="separate"/>
      </w:r>
      <w:r w:rsidR="0001043B" w:rsidRPr="0001043B">
        <w:rPr>
          <w:noProof/>
        </w:rPr>
        <w:t xml:space="preserve"> Wu et al.</w:t>
      </w:r>
      <w:r w:rsidR="00260472">
        <w:rPr>
          <w:noProof/>
        </w:rPr>
        <w:t xml:space="preserve"> (</w:t>
      </w:r>
      <w:r w:rsidR="0001043B" w:rsidRPr="0001043B">
        <w:rPr>
          <w:noProof/>
        </w:rPr>
        <w:t>2013</w:t>
      </w:r>
      <w:r w:rsidRPr="0001043B">
        <w:fldChar w:fldCharType="end"/>
      </w:r>
      <w:r w:rsidR="00AE5EB4">
        <w:t>) m</w:t>
      </w:r>
      <w:r w:rsidR="008925C6">
        <w:t>easure</w:t>
      </w:r>
      <w:r w:rsidR="00C53418">
        <w:t xml:space="preserve">d the </w:t>
      </w:r>
      <w:r w:rsidR="005B09E7">
        <w:t>bio-</w:t>
      </w:r>
      <w:r w:rsidR="00C53418">
        <w:t xml:space="preserve">concentration factor </w:t>
      </w:r>
      <w:r w:rsidR="008A2965">
        <w:t xml:space="preserve">(concentration in organ / concentration in matrix) </w:t>
      </w:r>
      <w:r w:rsidR="000A0195">
        <w:t xml:space="preserve">for the roots </w:t>
      </w:r>
      <w:r w:rsidR="00C53418">
        <w:t xml:space="preserve">for neutral PPCPs versus the log </w:t>
      </w:r>
      <w:proofErr w:type="gramStart"/>
      <w:r w:rsidR="00C53418" w:rsidRPr="0001043B">
        <w:rPr>
          <w:i/>
          <w:iCs/>
        </w:rPr>
        <w:t>D</w:t>
      </w:r>
      <w:r w:rsidR="00C53418">
        <w:t>ow</w:t>
      </w:r>
      <w:r w:rsidR="008925C6">
        <w:t xml:space="preserve"> </w:t>
      </w:r>
      <w:proofErr w:type="gramEnd"/>
      <m:oMath>
        <m:r>
          <w:rPr>
            <w:rFonts w:ascii="Cambria Math" w:hAnsi="Cambria Math"/>
          </w:rPr>
          <m:t>(</m:t>
        </m:r>
        <m:func>
          <m:funcPr>
            <m:ctrlPr>
              <w:rPr>
                <w:rFonts w:ascii="Cambria Math" w:hAnsi="Cambria Math"/>
                <w:iCs/>
              </w:rPr>
            </m:ctrlPr>
          </m:funcPr>
          <m:fName>
            <m:r>
              <m:rPr>
                <m:sty m:val="p"/>
              </m:rPr>
              <w:rPr>
                <w:rFonts w:ascii="Cambria Math" w:hAnsi="Cambria Math"/>
              </w:rPr>
              <m:t>log</m:t>
            </m:r>
          </m:fName>
          <m:e>
            <m:r>
              <w:rPr>
                <w:rFonts w:ascii="Cambria Math" w:hAnsi="Cambria Math"/>
              </w:rPr>
              <m:t>D</m:t>
            </m:r>
            <m:r>
              <m:rPr>
                <m:sty m:val="p"/>
              </m:rPr>
              <w:rPr>
                <w:rFonts w:ascii="Cambria Math" w:hAnsi="Cambria Math"/>
              </w:rPr>
              <m:t xml:space="preserve">ow </m:t>
            </m:r>
          </m:e>
        </m:func>
        <m:r>
          <w:rPr>
            <w:rFonts w:ascii="Cambria Math" w:hAnsi="Cambria Math"/>
          </w:rPr>
          <m:t>=</m:t>
        </m:r>
        <m:r>
          <m:rPr>
            <m:sty m:val="p"/>
          </m:rPr>
          <w:rPr>
            <w:rFonts w:ascii="Cambria Math" w:hAnsi="Cambria Math"/>
          </w:rPr>
          <m:t>log</m:t>
        </m:r>
        <m:r>
          <w:rPr>
            <w:rFonts w:ascii="Cambria Math" w:hAnsi="Cambria Math"/>
          </w:rPr>
          <m:t>K</m:t>
        </m:r>
        <m:r>
          <m:rPr>
            <m:sty m:val="p"/>
          </m:rPr>
          <w:rPr>
            <w:rFonts w:ascii="Cambria Math" w:hAnsi="Cambria Math"/>
          </w:rPr>
          <m:t>ow</m:t>
        </m:r>
        <m:r>
          <w:rPr>
            <w:rFonts w:ascii="Cambria Math" w:hAnsi="Cambria Math"/>
          </w:rPr>
          <m:t>+</m:t>
        </m:r>
        <m:r>
          <m:rPr>
            <m:sty m:val="p"/>
          </m:rP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n</m:t>
            </m:r>
          </m:sub>
        </m:sSub>
      </m:oMath>
      <w:r w:rsidR="008A2965">
        <w:t xml:space="preserve">; </w:t>
      </w:r>
      <w:r w:rsidR="008A2965" w:rsidRPr="008A2965">
        <w:rPr>
          <w:i/>
          <w:iCs/>
        </w:rPr>
        <w:t>f</w:t>
      </w:r>
      <w:r w:rsidR="008A2965" w:rsidRPr="008A2965">
        <w:rPr>
          <w:vertAlign w:val="subscript"/>
        </w:rPr>
        <w:t>n</w:t>
      </w:r>
      <w:r w:rsidR="008A2965">
        <w:rPr>
          <w:vertAlign w:val="subscript"/>
        </w:rPr>
        <w:t xml:space="preserve"> </w:t>
      </w:r>
      <w:r w:rsidR="008A2965">
        <w:t>is the neutral fraction of a compound)</w:t>
      </w:r>
      <w:r w:rsidR="008A2965">
        <w:rPr>
          <w:vertAlign w:val="subscript"/>
        </w:rPr>
        <w:t xml:space="preserve"> </w:t>
      </w:r>
      <w:r w:rsidR="008A2965">
        <w:t>i</w:t>
      </w:r>
      <w:r w:rsidR="008925C6">
        <w:t xml:space="preserve">n cucumber, </w:t>
      </w:r>
      <w:r w:rsidR="008925C6">
        <w:lastRenderedPageBreak/>
        <w:t xml:space="preserve">spinach, lettuce and pepper. They </w:t>
      </w:r>
      <w:r w:rsidR="00C53418">
        <w:t xml:space="preserve">found a linear </w:t>
      </w:r>
      <w:r w:rsidR="008925C6">
        <w:t>correlation between the two</w:t>
      </w:r>
      <w:r w:rsidR="005B09E7">
        <w:t xml:space="preserve"> parameters</w:t>
      </w:r>
      <w:r w:rsidR="008925C6">
        <w:t>.</w:t>
      </w:r>
      <w:r w:rsidR="000A0195">
        <w:t xml:space="preserve"> </w:t>
      </w:r>
      <w:r w:rsidR="0050002F">
        <w:t xml:space="preserve">When calculating the translocation factor versus log </w:t>
      </w:r>
      <w:r w:rsidR="0050002F" w:rsidRPr="0001043B">
        <w:rPr>
          <w:i/>
          <w:iCs/>
        </w:rPr>
        <w:t>D</w:t>
      </w:r>
      <w:r w:rsidR="0050002F">
        <w:t xml:space="preserve">ow a generally negative correlation was found </w:t>
      </w:r>
      <w:r w:rsidR="0050002F" w:rsidRPr="0050002F">
        <w:t xml:space="preserve">indicating that compounds with strong hydrophobicity (i.e., large </w:t>
      </w:r>
      <w:r w:rsidR="0050002F" w:rsidRPr="0001043B">
        <w:rPr>
          <w:i/>
          <w:iCs/>
        </w:rPr>
        <w:t>D</w:t>
      </w:r>
      <w:r w:rsidR="0050002F" w:rsidRPr="0050002F">
        <w:t>ow)</w:t>
      </w:r>
      <w:r w:rsidR="0050002F">
        <w:t xml:space="preserve"> </w:t>
      </w:r>
      <w:r w:rsidR="0050002F" w:rsidRPr="0050002F">
        <w:t>tended to remain in the roots with limited in-plant redistribution</w:t>
      </w:r>
      <w:r w:rsidR="0050002F">
        <w:t>.</w:t>
      </w:r>
    </w:p>
    <w:p w:rsidR="006925E5" w:rsidRDefault="002B3107" w:rsidP="008A2965">
      <w:r>
        <w:t>U</w:t>
      </w:r>
      <w:r w:rsidR="00D36455">
        <w:t xml:space="preserve">ptake </w:t>
      </w:r>
      <w:r>
        <w:t>of</w:t>
      </w:r>
      <w:r w:rsidR="00D36455">
        <w:t xml:space="preserve"> ionic compounds is more complex due to </w:t>
      </w:r>
      <w:r w:rsidR="008C3E8F">
        <w:t xml:space="preserve">their capability to be </w:t>
      </w:r>
      <w:r>
        <w:t>charge</w:t>
      </w:r>
      <w:r w:rsidR="008C3E8F">
        <w:t>d</w:t>
      </w:r>
      <w:r w:rsidR="00D36455">
        <w:t xml:space="preserve"> according to the</w:t>
      </w:r>
      <w:r>
        <w:t>ir p</w:t>
      </w:r>
      <w:r w:rsidRPr="002B3107">
        <w:rPr>
          <w:i/>
          <w:iCs/>
        </w:rPr>
        <w:t>K</w:t>
      </w:r>
      <w:r>
        <w:t>a</w:t>
      </w:r>
      <w:r w:rsidR="00D36455">
        <w:t xml:space="preserve"> </w:t>
      </w:r>
      <w:r>
        <w:t xml:space="preserve">and the </w:t>
      </w:r>
      <w:r w:rsidR="00D36455">
        <w:t>surrounding pH.</w:t>
      </w:r>
      <w:r>
        <w:t xml:space="preserve"> The activity ratio </w:t>
      </w:r>
      <w:r w:rsidRPr="007D58E1">
        <w:rPr>
          <w:i/>
          <w:iCs/>
        </w:rPr>
        <w:t>K</w:t>
      </w:r>
      <w:r w:rsidRPr="002B3107">
        <w:rPr>
          <w:vertAlign w:val="subscript"/>
        </w:rPr>
        <w:t>D</w:t>
      </w:r>
      <w:r>
        <w:rPr>
          <w:vertAlign w:val="subscript"/>
        </w:rPr>
        <w:t xml:space="preserve"> </w:t>
      </w:r>
      <w:r>
        <w:t>between</w:t>
      </w:r>
      <w:r w:rsidR="00CE0484">
        <w:t xml:space="preserve"> neutral and dissociated state</w:t>
      </w:r>
      <w:r>
        <w:t xml:space="preserve"> is describe by the Henderson-Hasselbalch</w:t>
      </w:r>
      <w:r w:rsidR="00D36455">
        <w:t xml:space="preserve"> </w:t>
      </w:r>
      <w:r>
        <w:t xml:space="preserve">equation: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[ion]</m:t>
            </m:r>
          </m:num>
          <m:den>
            <m:r>
              <w:rPr>
                <w:rFonts w:ascii="Cambria Math" w:hAnsi="Cambria Math"/>
              </w:rPr>
              <m:t>[neutral]</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i(pH-pKa)</m:t>
            </m:r>
          </m:sup>
        </m:sSup>
      </m:oMath>
      <w:r>
        <w:t xml:space="preserve"> </w:t>
      </w:r>
      <w:r w:rsidR="008C3E8F">
        <w:t xml:space="preserve"> </w:t>
      </w:r>
      <w:r>
        <w:t xml:space="preserve">where </w:t>
      </w:r>
      <w:r w:rsidR="008A2965">
        <w:t>i</w:t>
      </w:r>
      <w:r>
        <w:t xml:space="preserve"> is 1 for acid and -1 for basis. The fraction of the neutral species </w:t>
      </w:r>
      <w:proofErr w:type="gramStart"/>
      <w:r w:rsidRPr="002B3107">
        <w:rPr>
          <w:i/>
          <w:iCs/>
        </w:rPr>
        <w:t>f</w:t>
      </w:r>
      <w:r w:rsidRPr="002B3107">
        <w:rPr>
          <w:vertAlign w:val="subscript"/>
        </w:rPr>
        <w:t>n</w:t>
      </w:r>
      <w:proofErr w:type="gramEnd"/>
      <w:r>
        <w:t xml:space="preserve"> at a given pH </w:t>
      </w:r>
      <w:r w:rsidR="00156BE1">
        <w:t>is</w:t>
      </w:r>
      <m:oMath>
        <m:sSub>
          <m:sSubPr>
            <m:ctrlPr>
              <w:rPr>
                <w:rFonts w:ascii="Cambria Math" w:hAnsi="Cambria Math"/>
                <w:i/>
              </w:rPr>
            </m:ctrlPr>
          </m:sSubPr>
          <m:e>
            <m:r>
              <w:rPr>
                <w:rFonts w:ascii="Cambria Math" w:hAnsi="Cambria Math"/>
              </w:rPr>
              <m:t xml:space="preserve"> 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D</m:t>
                </m:r>
              </m:sub>
            </m:sSub>
          </m:den>
        </m:f>
      </m:oMath>
      <w:r w:rsidR="0006520D">
        <w:t xml:space="preserve">. The neutral form </w:t>
      </w:r>
      <w:r w:rsidR="005B09E7">
        <w:t xml:space="preserve">of </w:t>
      </w:r>
      <w:r w:rsidR="007D58E1">
        <w:t xml:space="preserve">the </w:t>
      </w:r>
      <w:r w:rsidR="00AF561A">
        <w:t>weak</w:t>
      </w:r>
      <w:r w:rsidR="007D58E1">
        <w:t xml:space="preserve"> acid or basis</w:t>
      </w:r>
      <w:r w:rsidR="005B09E7">
        <w:t xml:space="preserve"> </w:t>
      </w:r>
      <w:r w:rsidR="0006520D">
        <w:t>can be sorbed to soil,</w:t>
      </w:r>
      <w:r w:rsidR="00925A38">
        <w:t xml:space="preserve"> dissolved in the soil solution, </w:t>
      </w:r>
      <w:r w:rsidR="0006520D">
        <w:t xml:space="preserve">in the cell (e.g., cytoplasm or vacuole) or sorbed to the cell membrane. The dissociated fraction may exist in the same state, except for hydrophilic sorption which is </w:t>
      </w:r>
      <w:r w:rsidR="00420976" w:rsidRPr="00420976">
        <w:t>negligible</w:t>
      </w:r>
      <w:r w:rsidR="007335D6">
        <w:t>.</w:t>
      </w:r>
      <w:r w:rsidR="00420976">
        <w:t xml:space="preserve"> When the pH and the p</w:t>
      </w:r>
      <w:r w:rsidR="00420976" w:rsidRPr="00233E06">
        <w:rPr>
          <w:i/>
          <w:iCs/>
        </w:rPr>
        <w:t>K</w:t>
      </w:r>
      <w:r w:rsidR="00420976">
        <w:t xml:space="preserve">a are equal, the acid is 50% dissociated, and the fraction of the neutral form is equal to the ionic form. </w:t>
      </w:r>
      <w:r w:rsidR="002C402E">
        <w:t xml:space="preserve">Soils may range from an acidic pH of </w:t>
      </w:r>
      <w:r w:rsidR="008A2965">
        <w:rPr>
          <w:rFonts w:cs="Times New Roman"/>
        </w:rPr>
        <w:t>~</w:t>
      </w:r>
      <w:r w:rsidR="002C402E">
        <w:t xml:space="preserve">5-6 </w:t>
      </w:r>
      <w:r w:rsidR="008A2965">
        <w:t>to</w:t>
      </w:r>
      <w:r w:rsidR="002C402E">
        <w:t xml:space="preserve"> basic pH</w:t>
      </w:r>
      <w:r w:rsidR="008A2965">
        <w:t xml:space="preserve"> of</w:t>
      </w:r>
      <w:r w:rsidR="002C402E">
        <w:t xml:space="preserve"> </w:t>
      </w:r>
      <w:r w:rsidR="008A2965">
        <w:rPr>
          <w:rFonts w:cs="Times New Roman"/>
        </w:rPr>
        <w:t>~</w:t>
      </w:r>
      <w:r w:rsidR="002C402E">
        <w:t>7-8.5 according to the climate and source of the soil. Plant cells are separated from their surrounding by membrane</w:t>
      </w:r>
      <w:r w:rsidR="008A2965">
        <w:t>.</w:t>
      </w:r>
      <w:r w:rsidR="002C402E">
        <w:t xml:space="preserve"> </w:t>
      </w:r>
      <w:r w:rsidR="008A2965">
        <w:t>O</w:t>
      </w:r>
      <w:r w:rsidR="002C402E">
        <w:t>ut of the cell (i.e., the rhizosphere) pH can range within 5-6.5, inside the cell (i.e., the</w:t>
      </w:r>
      <w:r w:rsidR="002C402E" w:rsidRPr="002C402E">
        <w:t xml:space="preserve"> </w:t>
      </w:r>
      <w:r w:rsidR="002C402E">
        <w:t xml:space="preserve">cytoplasm) pH is </w:t>
      </w:r>
      <w:r w:rsidR="007335D6" w:rsidRPr="007335D6">
        <w:t>~</w:t>
      </w:r>
      <w:r w:rsidR="002C402E">
        <w:t xml:space="preserve">7, and in the vacuole </w:t>
      </w:r>
      <w:r w:rsidR="007335D6">
        <w:t xml:space="preserve">pH is </w:t>
      </w:r>
      <w:r w:rsidR="007335D6" w:rsidRPr="007335D6">
        <w:t>~</w:t>
      </w:r>
      <w:r w:rsidR="007335D6">
        <w:t>5.5</w:t>
      </w:r>
      <w:r w:rsidR="00BD2E0E">
        <w:t xml:space="preserve">. A neutral compound in the cell cytosol might be positively charged in the vacuole, resulting in its trapping within the vacuole </w:t>
      </w:r>
      <w:r w:rsidR="00925A38">
        <w:t xml:space="preserve">hindering its translocation </w:t>
      </w:r>
      <w:r w:rsidR="00BD2E0E">
        <w:t>(i.e., ion trapping). Positively charged molecules may be sorbed to the cell wall</w:t>
      </w:r>
      <w:r w:rsidR="0045411E">
        <w:t xml:space="preserve"> </w:t>
      </w:r>
      <w:r w:rsidR="00F36F4D">
        <w:fldChar w:fldCharType="begin" w:fldLock="1"/>
      </w:r>
      <w:r w:rsidR="0045411E">
        <w:instrText>ADDIN CSL_CITATION { "citationItems" : [ { "id" : "ITEM-1", "itemData" : { "DOI" : "10.1065/espr2003.08.169", "ISBN" : "0944-1344", "ISSN" : "0944-1344", "PMID" : "15005138", "abstract" : "BACKGROUND: Models for predicting uptake and transport of chemicals in plants are applied in pesticide design, risk assessment, and environmental biotechnology. OBJECTIVE: This review considers the theoretical basics of the most popular models, and discusses what they have in common. The line is drawn between models for neutral compounds, and models for weak and strong electrolytes. MAIN FEATURES: Neutral Compounds. Neutral compounds undergo only very few processes inside plants (lipophilic interactions, metabolism), in contrast to weak electrolytes. The models developed for neutral compounds are widely applied in the risk assessment of environmental contaminants, but are not of much use for weak electrolytes, such as pesticides. Weak electrolytes. A very important process for weak electrolytes is the 'ion trap', which traps chemicals that dissociate inside plant cells. This is considered in the popular models of Kleier, Satchivi and Briggs. Other relevant processes for electrolytes are electrophilic interactions, speciation and complex formation. None of the currently used models considers these processes. CONCLUSIONS: The accuracy of models for neutral compounds is satisfactory, but the prediction of electrolyte behavior inside plants is still quite difficult due to gaps in knowledge.", "author" : [ { "dropping-particle" : "", "family" : "Trapp", "given" : "Stefan", "non-dropping-particle" : "", "parse-names" : false, "suffix" : "" } ], "container-title" : "Environmental science and pollution research international", "id" : "ITEM-1", "issue" : "1", "issued" : { "date-parts" : [ [ "2004" ] ] }, "page" : "33-39", "title" : "Plant uptake and transport models for neutral and ionic chemicals.", "type" : "article-journal", "volume" : "11" }, "uris" : [ "http://www.mendeley.com/documents/?uuid=f5285cd7-f858-4c4b-94b5-90bac78a8ea1" ] }, { "id" : "ITEM-2", "itemData" : { "author" : [ { "dropping-particle" : "", "family" : "Trapp", "given" : "Stefan", "non-dropping-particle" : "", "parse-names" : false, "suffix" : "" } ], "container-title" : "Pest Management Science", "id" : "ITEM-2", "issue" : "9", "issued" : { "date-parts" : [ [ "2000" ] ] }, "page" : "767-778", "title" : "Modelling uptake into roots and subsequent translocation of neutral and ionisable organic compounds", "type" : "article-journal", "volume" : "56" }, "uris" : [ "http://www.mendeley.com/documents/?uuid=3ea5227b-3aaf-410b-805a-0fcd7c91a42f" ] } ], "mendeley" : { "formattedCitation" : "(Trapp, 2000, 2004)", "plainTextFormattedCitation" : "(Trapp, 2000, 2004)", "previouslyFormattedCitation" : "(Trapp, 2000, 2004)" }, "properties" : { "noteIndex" : 0 }, "schema" : "https://github.com/citation-style-language/schema/raw/master/csl-citation.json" }</w:instrText>
      </w:r>
      <w:r w:rsidR="00F36F4D">
        <w:fldChar w:fldCharType="separate"/>
      </w:r>
      <w:r w:rsidR="0045411E" w:rsidRPr="0045411E">
        <w:rPr>
          <w:noProof/>
        </w:rPr>
        <w:t>(Trapp, 2000, 2004)</w:t>
      </w:r>
      <w:r w:rsidR="00F36F4D">
        <w:fldChar w:fldCharType="end"/>
      </w:r>
      <w:r w:rsidR="0045411E">
        <w:t>. T</w:t>
      </w:r>
      <w:r w:rsidR="00BD2E0E">
        <w:t xml:space="preserve">hese different environmental condition and plant compartments influence the transport and accumulation of </w:t>
      </w:r>
      <w:r w:rsidR="00AF561A">
        <w:t>weak</w:t>
      </w:r>
      <w:r w:rsidR="00BD2E0E">
        <w:t xml:space="preserve"> acids or </w:t>
      </w:r>
      <w:r w:rsidR="00C0437D" w:rsidRPr="00C0437D">
        <w:t>bases</w:t>
      </w:r>
      <w:r w:rsidR="00BD2E0E">
        <w:t>.</w:t>
      </w:r>
    </w:p>
    <w:p w:rsidR="00CC43C9" w:rsidRPr="0045411E" w:rsidRDefault="00CC43C9" w:rsidP="008A2965">
      <w:pPr>
        <w:rPr>
          <w:noProof/>
          <w:highlight w:val="yellow"/>
        </w:rPr>
      </w:pPr>
      <w:r>
        <w:t>Recent studies have evaluated uptake of PPCPs under different conditions such as hydroponics</w:t>
      </w:r>
      <w:r w:rsidR="0045411E">
        <w:t xml:space="preserve"> </w:t>
      </w:r>
      <w:r w:rsidR="00F36F4D">
        <w:fldChar w:fldCharType="begin" w:fldLock="1"/>
      </w:r>
      <w:r w:rsidR="0045411E">
        <w:instrText>ADDIN CSL_CITATION { "citationItems" : [ { "id" : "ITEM-1", "itemData" : { "DOI" : "10.1016/j.envpol.2013.06.038", "ISSN" : "02697491", "PMID" : "23911624", "abstract" : "Many pharmaceutical and personal care products (PPCPs) and endocrine-disrupting chemicals (EDCs) are present in reclaimed water, leading to concerns of human health risks from the consumption of food crops irrigated with reclaimed water. This study evaluated the potential for plant uptake and accumulation of four commonly occurring PPCP/EDCs, i.e., bisphenol A (BPA), diclofenac sodium (DCL), naproxen (NPX), and 4-nonylphenol (NP), by lettuce (Lactuca sativa) and collards (Brassica oleracea) in hydroponic culture, using 14C-labeled compounds. In both plant species, plant accumulation followed the order of BPA &gt; NP &gt; DCL &gt; NPX and accumulation in roots was much greater than in leaves and stems. Concentrations of 14C-PPCP/EDCs in plant tissues ranged from 0.22 \u00b1 0.03 to 927 \u00b1 213 ng/g, but nearly all 14C-residue was non-extractable. PPCP/EDCs, particularly BPA and NP, were also extensively transformed in the nutrient solution. Dietary uptake of these PPCP/EDCs by humans was predicted to be negligible. \u00a9 2013 Elsevier Ltd.", "author" : [ { "dropping-particle" : "", "family" : "Dodgen", "given" : "L. K.", "non-dropping-particle" : "", "parse-names" : false, "suffix" : "" }, { "dropping-particle" : "", "family" : "Li", "given" : "J.", "non-dropping-particle" : "", "parse-names" : false, "suffix" : "" }, { "dropping-particle" : "", "family" : "Parker", "given" : "D.", "non-dropping-particle" : "", "parse-names" : false, "suffix" : "" }, { "dropping-particle" : "", "family" : "Gan", "given" : "J. J.", "non-dropping-particle" : "", "parse-names" : false, "suffix" : "" } ], "container-title" : "Environmental Pollution", "id" : "ITEM-1", "issued" : { "date-parts" : [ [ "2013" ] ] }, "page" : "150-156", "title" : "Uptake and accumulation of four PPCP/EDCs in two leafy vegetables", "type" : "article-journal", "volume" : "182" }, "uris" : [ "http://www.mendeley.com/documents/?uuid=b3e7b469-787f-4b80-8dd2-4127c9362519" ] }, { "id" : "ITEM-2", "itemData" : { "DOI" : "10.1016/j.envint.2013.07.015", "ISBN" : "0160-4120", "ISSN" : "01604120", "PMID" : "23973619", "abstract" : "Reuse of treated wastewater to irrigate agricultural crops is increasing in many arid and semi-arid areas around the world. The presence of numerous pharmaceutical and personal care products (PPCPs) in treated wastewater and their potential transfer into food produce such as vegetables poses an unknown human health risk. The goal of this study was to identify PPCPs that have a comparatively high potential for plant uptake and translocation. A total of 20 frequently-occurring PPCPs were compared for their accumulation into four staple vegetables (lettuce, spinach, cucumber, and pepper) grown in nutrient solutions containing PPCPs at 0.5 or 5\u03bcgL-1. Triclocarban, fluoxetine, triclosan, and diazepam were found at high levels in roots, while meprobamate, primidone, carbamazepine, dilantin, and diuron exhibited more active translocation from roots to leaves. Root uptake of neutral PPCPs was positively correlated with the pH adjusted log Kow(i.e., log Dow), and was likely driven by chemical adsorption onto the root surfaces. In contrast, translocation from roots to leaves was negatively related to log Dow, suggesting hydrophilicity-regulated transport via xylems. Compounds preferentially sorbed to roots should be further evaluated for their uptake in tuber vegetables (e.g., carrot, radish) under field conditions, while those easily translocated into leaves (e.g., carbamazepine, dilantin) merit focused consideration for leafy and other vegetables (e.g., lettuce, cucumber). However, estimation of dietary intake by humans suggested the implied risks from exposure to PPCPs via wastewater irrigation to be negligible. \u00a9 2013.", "author" : [ { "dropping-particle" : "", "family" : "Wu", "given" : "Xiaoqin", "non-dropping-particle" : "", "parse-names" : false, "suffix" : "" }, { "dropping-particle" : "", "family" : "Ernst", "given" : "Frederick", "non-dropping-particle" : "", "parse-names" : false, "suffix" : "" }, { "dropping-particle" : "", "family" : "Conkle", "given" : "Jeremy L.", "non-dropping-particle" : "", "parse-names" : false, "suffix" : "" }, { "dropping-particle" : "", "family" : "Gan", "given" : "Jay", "non-dropping-particle" : "", "parse-names" : false, "suffix" : "" } ], "container-title" : "Environment International", "id" : "ITEM-2", "issued" : { "date-parts" : [ [ "2013" ] ] }, "page" : "15-22", "publisher" : "Elsevier B.V.", "title" : "Comparative uptake and translocation of pharmaceutical and personal care products (PPCPs) by common vegetables", "type" : "article-journal", "volume" : "60" }, "uris" : [ "http://www.mendeley.com/documents/?uuid=2e3d8f41-5648-4625-b996-479af68ae97b" ] }, { "id" : "ITEM-3", "itemData" : { "ISSN" : "1879-1298", "abstract" : "Reclaimed wastewater is an important source of irrigation in semiarid and arid zones. Here we report data on carbamazepine (CBZ) uptake by cucumber plants in hydroponic culture and greenhouse experiments using different soil types irrigated with fresh water or reclaimed wastewater. Data obtained from the hydroponic culture experiments suggest that CBZ is mainly translocated by water mass flow, and thus it is concentrated and accumulated to the largest extent in the mature/older leaves. Carbamazepine concentration in cucumber fruits and leaves was negatively correlated with soil organic matter content. The concentrations of CBZ in the roots and stems were relatively low, and most CBZ in the plant (76-84% of total uptake) was detected in the leaves. A greenhouse experiment using fresh water and reclaimed wastewater spiked, or not, with CBZ at 1 \u03bcg L(-1) (typical concentration in effluents) revealed that CBZ can be taken up and bioaccumulated from its background concentration in reclaimed wastewater. Bioaccumulation factor (calculated as the ratio of CBZ concentration in the plant to that in the soil solution) for the fruits (0.8-1) was significantly lower than the value calculated for the leaves (17-20). This study emphasizes the potential uptake of active pharmaceutical compounds by crops in organic-matter-poor soils irrigated with reclaimed wastewater and highlights the potential risks associated with this agricultural practice.", "author" : [ { "dropping-particle" : "", "family" : "Shenker", "given" : "Moshe", "non-dropping-particle" : "", "parse-names" : false, "suffix" : "" }, { "dropping-particle" : "", "family" : "Harush", "given" : "Daniella", "non-dropping-particle" : "", "parse-names" : false, "suffix" : "" }, { "dropping-particle" : "", "family" : "Ben-Ari", "given" : "Julius", "non-dropping-particle" : "", "parse-names" : false, "suffix" : "" }, { "dropping-particle" : "", "family" : "Chefetz", "given" : "Benny", "non-dropping-particle" : "", "parse-names" : false, "suffix" : "" } ], "container-title" : "Chemosphere", "id" : "ITEM-3", "issue" : "6", "issued" : { "date-parts" : [ [ "2011", "2" ] ] }, "page" : "905-910", "publisher" : "Elsevier Ltd", "title" : "Uptake of carbamazepine by cucumber plants--a case study related to irrigation with reclaimed wastewater.", "type" : "article-journal", "volume" : "82" }, "uris" : [ "http://www.mendeley.com/documents/?uuid=e5fc8709-2015-4718-87ae-148670d64bcb" ] }, { "id" : "ITEM-4", "itemData" : { "ISSN" : "0045-6535", "author" : [ { "dropping-particle" : "", "family" : "Herklotz", "given" : "Patrick A.", "non-dropping-particle" : "", "parse-names" : false, "suffix" : "" }, { "dropping-particle" : "", "family" : "Gurung", "given" : "Prakash", "non-dropping-particle" : "", "parse-names" : false, "suffix" : "" }, { "dropping-particle" : "", "family" : "Vanden", "given" : "Brian", "non-dropping-particle" : "", "parse-names" : false, "suffix" : "" }, { "dropping-particle" : "", "family" : "Kinney", "given" : "Chad A", "non-dropping-particle" : "", "parse-names" : false, "suffix" : "" } ], "container-title" : "Chemosphere", "id" : "ITEM-4", "issue" : "11", "issued" : { "date-parts" : [ [ "2010" ] ] }, "page" : "1416-1421", "publisher" : "Elsevier Ltd", "title" : "Uptake of human pharmaceuticals by plants grown under hydroponic conditions", "type" : "article-journal", "volume" : "78" }, "uris" : [ "http://www.mendeley.com/documents/?uuid=ad6aea5b-4ceb-4426-be97-abf8c5ec83e5" ] } ], "mendeley" : { "formattedCitation" : "(Herklotz et al., 2010; Shenker et al., 2011; Dodgen et al., 2013; Wu et al., 2013)", "plainTextFormattedCitation" : "(Herklotz et al., 2010; Shenker et al., 2011; Dodgen et al., 2013; Wu et al., 2013)", "previouslyFormattedCitation" : "(Herklotz et al., 2010; Shenker et al., 2011; Dodgen et al., 2013; Wu et al., 2013)" }, "properties" : { "noteIndex" : 0 }, "schema" : "https://github.com/citation-style-language/schema/raw/master/csl-citation.json" }</w:instrText>
      </w:r>
      <w:r w:rsidR="00F36F4D">
        <w:fldChar w:fldCharType="separate"/>
      </w:r>
      <w:r w:rsidR="0045411E" w:rsidRPr="0045411E">
        <w:rPr>
          <w:noProof/>
        </w:rPr>
        <w:t>(Herklotz et al., 2010; Shenker et al., 2011; Dodgen et al., 2013; Wu et al., 2013)</w:t>
      </w:r>
      <w:r w:rsidR="00F36F4D">
        <w:fldChar w:fldCharType="end"/>
      </w:r>
      <w:r w:rsidR="00F16A44">
        <w:t>, greenhouse</w:t>
      </w:r>
      <w:r w:rsidR="0045411E">
        <w:t xml:space="preserve"> </w:t>
      </w:r>
      <w:r w:rsidR="00F36F4D">
        <w:fldChar w:fldCharType="begin" w:fldLock="1"/>
      </w:r>
      <w:r w:rsidR="0045411E">
        <w:instrText>ADDIN CSL_CITATION { "citationItems" : [ { "id" : "ITEM-1", "itemData" : { "ISSN" : "1879-1298", "abstract" : "Reclaimed wastewater is an important source of irrigation in semiarid and arid zones. Here we report data on carbamazepine (CBZ) uptake by cucumber plants in hydroponic culture and greenhouse experiments using different soil types irrigated with fresh water or reclaimed wastewater. Data obtained from the hydroponic culture experiments suggest that CBZ is mainly translocated by water mass flow, and thus it is concentrated and accumulated to the largest extent in the mature/older leaves. Carbamazepine concentration in cucumber fruits and leaves was negatively correlated with soil organic matter content. The concentrations of CBZ in the roots and stems were relatively low, and most CBZ in the plant (76-84% of total uptake) was detected in the leaves. A greenhouse experiment using fresh water and reclaimed wastewater spiked, or not, with CBZ at 1 \u03bcg L(-1) (typical concentration in effluents) revealed that CBZ can be taken up and bioaccumulated from its background concentration in reclaimed wastewater. Bioaccumulation factor (calculated as the ratio of CBZ concentration in the plant to that in the soil solution) for the fruits (0.8-1) was significantly lower than the value calculated for the leaves (17-20). This study emphasizes the potential uptake of active pharmaceutical compounds by crops in organic-matter-poor soils irrigated with reclaimed wastewater and highlights the potential risks associated with this agricultural practice.", "author" : [ { "dropping-particle" : "", "family" : "Shenker", "given" : "Moshe", "non-dropping-particle" : "", "parse-names" : false, "suffix" : "" }, { "dropping-particle" : "", "family" : "Harush", "given" : "Daniella", "non-dropping-particle" : "", "parse-names" : false, "suffix" : "" }, { "dropping-particle" : "", "family" : "Ben-Ari", "given" : "Julius", "non-dropping-particle" : "", "parse-names" : false, "suffix" : "" }, { "dropping-particle" : "", "family" : "Chefetz", "given" : "Benny", "non-dropping-particle" : "", "parse-names" : false, "suffix" : "" } ], "container-title" : "Chemosphere", "id" : "ITEM-1", "issue" : "6", "issued" : { "date-parts" : [ [ "2011", "2" ] ] }, "page" : "905-910", "publisher" : "Elsevier Ltd", "title" : "Uptake of carbamazepine by cucumber plants--a case study related to irrigation with reclaimed wastewater.", "type" : "article-journal", "volume" : "82" }, "uris" : [ "http://www.mendeley.com/documents/?uuid=e5fc8709-2015-4718-87ae-148670d64bcb" ] }, { "id" : "ITEM-2", "itemData" : { "ISSN" : "1520-5851", "abstract" : "An increasing number of reports on plant uptake of pharmaceutical compounds (PCs) have been recently published, raising concerns of human exposure through dietary intake. In this study, PC uptake and translocation were evaluated in cucumber and tomato plants to elucidate the effects of PC physicochemical properties, soil type, and irrigation-water quality. Nonionic PCs were taken up and accumulated at higher levels in plants grown in soils of lower organic matter and clay content. While the concentration of most PCs in cucumber and tomato leaves were of similar order, their concentrations in the tomato fruit were much lower than in the cucumber fruit. This is related to differences in fruit physiology. Our data suggest that irrigation with treated wastewater reduces the bioavailability of acidic PCs for uptake by cucumber plants as compared to fresh water irrigation. This study sheds light on factors affecting the uptake of PCs by crops irrigated with treated wastewater, the governing role of PCs' physicochemical properties along with the physiological nature of the plant, soil properties and water quality that together determine uptake, translocation, and accumulation within plant organs. Occurrence of metabolites in plant suggests that PC metabolism has to be evaluated to reveal the total uptake.", "author" : [ { "dropping-particle" : "", "family" : "Goldstein", "given" : "Myah", "non-dropping-particle" : "", "parse-names" : false, "suffix" : "" }, { "dropping-particle" : "", "family" : "Shenker", "given" : "Moshe", "non-dropping-particle" : "", "parse-names" : false, "suffix" : "" }, { "dropping-particle" : "", "family" : "Chefetz", "given" : "Benny", "non-dropping-particle" : "", "parse-names" : false, "suffix" : "" } ], "container-title" : "Environmental Science &amp; Technology", "id" : "ITEM-2", "issue" : "10", "issued" : { "date-parts" : [ [ "2014", "5", "20" ] ] }, "page" : "5593-600", "title" : "Insights into the uptake processes of wastewater-borne pharmaceuticals by vegetables.", "type" : "article-journal", "volume" : "48" }, "uris" : [ "http://www.mendeley.com/documents/?uuid=c885bc85-097c-43cf-85ed-fce0864e94e0" ] }, { "id" : "ITEM-3", "itemData" : { "author" : [ { "dropping-particle" : "", "family" : "Wu", "given" : "Chenxi", "non-dropping-particle" : "", "parse-names" : false, "suffix" : "" }, { "dropping-particle" : "", "family" : "Spongberg", "given" : "Alison L.", "non-dropping-particle" : "", "parse-names" : false, "suffix" : "" }, { "dropping-particle" : "", "family" : "Jason", "given" : "Witter D.", "non-dropping-particle" : "", "parse-names" : false, "suffix" : "" }, { "dropping-particle" : "", "family" : "Fang", "given" : "Min", "non-dropping-particle" : "", "parse-names" : false, "suffix" : "" }, { "dropping-particle" : "", "family" : "Czajkowski", "given" : "Kevin P.", "non-dropping-particle" : "", "parse-names" : false, "suffix" : "" } ], "container-title" : "Environmental Science &amp; Technology", "id" : "ITEM-3", "issue" : "16", "issued" : { "date-parts" : [ [ "2010" ] ] }, "page" : "6157-6161", "title" : "Uptake of pharmaceutical and personal care products by soybean plants from soils applied with biosolids and irrigated with contaminated water", "type" : "article-journal", "volume" : "44" }, "uris" : [ "http://www.mendeley.com/documents/?uuid=d5cb1f90-b9a3-4fb1-b344-047ea8265ab0" ] } ], "mendeley" : { "formattedCitation" : "(Wu et al., 2010; Shenker et al., 2011; Goldstein et al., 2014)", "plainTextFormattedCitation" : "(Wu et al., 2010; Shenker et al., 2011; Goldstein et al., 2014)", "previouslyFormattedCitation" : "(Wu et al., 2010; Shenker et al., 2011; Goldstein et al., 2014)" }, "properties" : { "noteIndex" : 0 }, "schema" : "https://github.com/citation-style-language/schema/raw/master/csl-citation.json" }</w:instrText>
      </w:r>
      <w:r w:rsidR="00F36F4D">
        <w:fldChar w:fldCharType="separate"/>
      </w:r>
      <w:r w:rsidR="0045411E" w:rsidRPr="0045411E">
        <w:rPr>
          <w:noProof/>
        </w:rPr>
        <w:t>(Wu et al., 2010; Shenker et al., 2011; Goldstein et al., 2014)</w:t>
      </w:r>
      <w:r w:rsidR="00F36F4D">
        <w:fldChar w:fldCharType="end"/>
      </w:r>
      <w:r w:rsidR="0045411E">
        <w:t xml:space="preserve">, </w:t>
      </w:r>
      <w:r w:rsidR="00F16A44">
        <w:t xml:space="preserve">and field conditions </w:t>
      </w:r>
      <w:r w:rsidR="00F36F4D">
        <w:fldChar w:fldCharType="begin" w:fldLock="1"/>
      </w:r>
      <w:r w:rsidR="0045411E">
        <w:instrText>ADDIN CSL_CITATION { "citationItems" : [ { "id" : "ITEM-1", "itemData" : { "DOI" : "10.1021/es5017894", "ISSN" : "1520-5851", "PMID" : "25026038", "abstract" : "To meet mounting water demands, treated wastewater has become an important source of irrigation. Thus, contamination of treated wastewater by pharmaceutical compounds (PCs) and the fate of these compounds in the agricultural environment are of increasing concern. This field study aimed to quantify PC uptake by treated wastewater-irrigated root crops (carrots and sweet potatoes) grown in lysimeters and to evaluate potential risks. In both crops, the nonionic PCs (carbamazepine, caffeine, and lamotrigine) were detected at significantly higher concentrations than ionic PCs (metoprolol, bezafibrate, clofibric acid, diclofenac, gemfibrozil, ibuprofen, ketoprofen, naproxen, sulfamethoxazole, and sildenafil). PCs in leaves were found at higher concentrations than in the roots. Carbamazepine metabolites were found mainly in the leaves, where the concentration of the metabolite 10,11-epoxycarbamazepine was significantly higher than the parent compound. The health risk associated with consumption of wastewater-irrigated root vegetables was estimated using the threshold of toxicological concern (TTC) approach. Our data show that the TTC value of lamotrigine can be reached for a child at a daily consumption of half a carrot (\u223c60 g). This study highlights that certain PCs accumulated in edible organs at concentrations above the TTC value should be categorized as contaminants of emerging concern.", "author" : [ { "dropping-particle" : "", "family" : "Malchi", "given" : "Tomer", "non-dropping-particle" : "", "parse-names" : false, "suffix" : "" }, { "dropping-particle" : "", "family" : "Maor", "given" : "Yehoshua", "non-dropping-particle" : "", "parse-names" : false, "suffix" : "" }, { "dropping-particle" : "", "family" : "Tadmor", "given" : "Galit", "non-dropping-particle" : "", "parse-names" : false, "suffix" : "" }, { "dropping-particle" : "", "family" : "Shenker", "given" : "Moshe", "non-dropping-particle" : "", "parse-names" : false, "suffix" : "" }, { "dropping-particle" : "", "family" : "Chefetz", "given" : "Benny", "non-dropping-particle" : "", "parse-names" : false, "suffix" : "" } ], "container-title" : "Environmental science &amp; technology", "id" : "ITEM-1", "issue" : "16", "issued" : { "date-parts" : [ [ "2014", "8", "19" ] ] }, "page" : "9325-33", "title" : "Irrigation of root vegetables with treated wastewater: evaluating uptake of pharmaceuticals and the associated human health risks.", "type" : "article-journal", "volume" : "48" }, "uris" : [ "http://www.mendeley.com/documents/?uuid=feceb97c-c39f-465c-9f8e-5c9e177d8490" ] }, { "id" : "ITEM-2", "itemData" : { "author" : [ { "dropping-particle" : "", "family" : "Wu", "given" : "Xiaoqin", "non-dropping-particle" : "", "parse-names" : false, "suffix" : "" }, { "dropping-particle" : "", "family" : "Conkle", "given" : "Jeremy L.", "non-dropping-particle" : "", "parse-names" : false, "suffix" : "" }, { "dropping-particle" : "", "family" : "Ernst", "given" : "Frederick", "non-dropping-particle" : "", "parse-names" : false, "suffix" : "" }, { "dropping-particle" : "", "family" : "Gan", "given" : "Jay", "non-dropping-particle" : "", "parse-names" : false, "suffix" : "" } ], "container-title" : "Environmental Science &amp; Technology", "id" : "ITEM-2", "issue" : "19", "issued" : { "date-parts" : [ [ "2014" ] ] }, "page" : "11286-11293", "title" : "Treated wastewater irrigation : uptake of pharmaceutical and personal care products by common vegetables under field conditions", "type" : "article-journal", "volume" : "48" }, "uris" : [ "http://www.mendeley.com/documents/?uuid=80f9292b-9f8c-43a4-87fb-69c6066eb520" ] } ], "mendeley" : { "formattedCitation" : "(Wu et al., 2014; Malchi et al., 2014)", "plainTextFormattedCitation" : "(Wu et al., 2014; Malchi et al., 2014)", "previouslyFormattedCitation" : "(Wu et al., 2014; Malchi et al., 2014)" }, "properties" : { "noteIndex" : 0 }, "schema" : "https://github.com/citation-style-language/schema/raw/master/csl-citation.json" }</w:instrText>
      </w:r>
      <w:r w:rsidR="00F36F4D">
        <w:fldChar w:fldCharType="separate"/>
      </w:r>
      <w:r w:rsidR="0045411E" w:rsidRPr="0045411E">
        <w:rPr>
          <w:noProof/>
        </w:rPr>
        <w:t>(Wu et al., 2014; Malchi et al., 2014)</w:t>
      </w:r>
      <w:r w:rsidR="00F36F4D">
        <w:fldChar w:fldCharType="end"/>
      </w:r>
      <w:r w:rsidR="00F16A44">
        <w:t>. Yet a small portion of these studies assessed uptake under environmental concentration</w:t>
      </w:r>
      <w:r w:rsidR="00F218D0">
        <w:t>s</w:t>
      </w:r>
      <w:r w:rsidR="00F16A44">
        <w:t xml:space="preserve"> </w:t>
      </w:r>
      <w:r w:rsidR="00F16A44">
        <w:rPr>
          <w:rFonts w:cs="Times New Roman"/>
        </w:rPr>
        <w:t>~</w:t>
      </w:r>
      <w:r w:rsidR="00F16A44">
        <w:t xml:space="preserve">1 </w:t>
      </w:r>
      <w:r w:rsidR="00F16A44">
        <w:rPr>
          <w:rFonts w:cs="Times New Roman"/>
        </w:rPr>
        <w:t>µ</w:t>
      </w:r>
      <w:r w:rsidR="00F16A44">
        <w:t>g L</w:t>
      </w:r>
      <w:r w:rsidR="00F16A44" w:rsidRPr="00F16A44">
        <w:rPr>
          <w:vertAlign w:val="superscript"/>
        </w:rPr>
        <w:t>-1</w:t>
      </w:r>
      <w:r w:rsidR="00F16A44">
        <w:t xml:space="preserve">. </w:t>
      </w:r>
      <w:r w:rsidR="00F54F99">
        <w:t xml:space="preserve">All the studies </w:t>
      </w:r>
      <w:r w:rsidR="00FB6E08">
        <w:t xml:space="preserve">have </w:t>
      </w:r>
      <w:r w:rsidR="00F54F99">
        <w:t xml:space="preserve">reported an uptake and translocation of several PPCPs. </w:t>
      </w:r>
      <w:r w:rsidR="00F36F4D" w:rsidRPr="0045411E">
        <w:fldChar w:fldCharType="begin" w:fldLock="1"/>
      </w:r>
      <w:r w:rsidR="0045411E" w:rsidRPr="0045411E">
        <w:instrText>ADDIN CSL_CITATION { "citationItems" : [ { "id" : "ITEM-1", "itemData" : { "author" : [ { "dropping-particle" : "", "family" : "Wu", "given" : "Xiaoqin", "non-dropping-particle" : "", "parse-names" : false, "suffix" : "" }, { "dropping-particle" : "", "family" : "Conkle", "given" : "Jeremy L.", "non-dropping-particle" : "", "parse-names" : false, "suffix" : "" }, { "dropping-particle" : "", "family" : "Ernst", "given" : "Frederick", "non-dropping-particle" : "", "parse-names" : false, "suffix" : "" }, { "dropping-particle" : "", "family" : "Gan", "given" : "Jay", "non-dropping-particle" : "", "parse-names" : false, "suffix" : "" } ], "container-title" : "Environmental Science &amp; Technology", "id" : "ITEM-1", "issue" : "19", "issued" : { "date-parts" : [ [ "2014" ] ] }, "page" : "11286-11293", "title" : "Treated wastewater irrigation : uptake of pharmaceutical and personal care products by common vegetables under field conditions", "type" : "article-journal", "volume" : "48" }, "uris" : [ "http://www.mendeley.com/documents/?uuid=80f9292b-9f8c-43a4-87fb-69c6066eb520" ] } ], "mendeley" : { "formattedCitation" : "(Wu et al., 2014)", "manualFormatting" : "Wu et al., 2014.", "plainTextFormattedCitation" : "(Wu et al., 2014)", "previouslyFormattedCitation" : "(Wu et al., 2014)" }, "properties" : { "noteIndex" : 0 }, "schema" : "https://github.com/citation-style-language/schema/raw/master/csl-citation.json" }</w:instrText>
      </w:r>
      <w:r w:rsidR="00F36F4D" w:rsidRPr="0045411E">
        <w:fldChar w:fldCharType="separate"/>
      </w:r>
      <w:r w:rsidR="0045411E" w:rsidRPr="0045411E">
        <w:rPr>
          <w:noProof/>
        </w:rPr>
        <w:t>Wu et al.</w:t>
      </w:r>
      <w:r w:rsidR="005B09E7">
        <w:rPr>
          <w:noProof/>
        </w:rPr>
        <w:t xml:space="preserve"> (</w:t>
      </w:r>
      <w:r w:rsidR="0045411E" w:rsidRPr="0045411E">
        <w:rPr>
          <w:noProof/>
        </w:rPr>
        <w:t>2014</w:t>
      </w:r>
      <w:r w:rsidR="005B09E7">
        <w:rPr>
          <w:noProof/>
        </w:rPr>
        <w:t xml:space="preserve">) </w:t>
      </w:r>
      <w:r w:rsidR="00F36F4D" w:rsidRPr="0045411E">
        <w:fldChar w:fldCharType="end"/>
      </w:r>
      <w:r w:rsidR="00995228">
        <w:t>assessed the uptake and translocation of 19 PPCPs in 8 vegetables under field conditions. T</w:t>
      </w:r>
      <w:r w:rsidR="00995228" w:rsidRPr="00995228">
        <w:t>he accumulation of PPCPs in plants generally decreased in the order</w:t>
      </w:r>
      <w:r w:rsidR="00925A38">
        <w:t xml:space="preserve"> of root &gt; leaf &gt; stem &gt; fruit. The</w:t>
      </w:r>
      <w:r w:rsidR="00995228" w:rsidRPr="00995228">
        <w:t xml:space="preserve"> </w:t>
      </w:r>
      <w:r w:rsidR="00090C8E">
        <w:t>d</w:t>
      </w:r>
      <w:r w:rsidR="00090C8E" w:rsidRPr="00995228">
        <w:t xml:space="preserve">ifferent </w:t>
      </w:r>
      <w:r w:rsidR="00995228" w:rsidRPr="00995228">
        <w:t>PPCPs accumulated preferentially in different plant</w:t>
      </w:r>
      <w:r w:rsidR="00995228">
        <w:t xml:space="preserve"> </w:t>
      </w:r>
      <w:r w:rsidR="00090C8E">
        <w:t xml:space="preserve">organs </w:t>
      </w:r>
      <w:r w:rsidR="00995228">
        <w:t xml:space="preserve">according to their physicochemical properties. </w:t>
      </w:r>
      <w:r w:rsidR="00995228" w:rsidRPr="00995228">
        <w:t>For examp</w:t>
      </w:r>
      <w:r w:rsidR="00156BE1">
        <w:t xml:space="preserve">le, </w:t>
      </w:r>
      <w:proofErr w:type="spellStart"/>
      <w:r w:rsidR="00156BE1">
        <w:t>triclosan</w:t>
      </w:r>
      <w:proofErr w:type="spellEnd"/>
      <w:r w:rsidR="00156BE1">
        <w:t xml:space="preserve"> and </w:t>
      </w:r>
      <w:proofErr w:type="spellStart"/>
      <w:r w:rsidR="00156BE1">
        <w:t>triclocarban</w:t>
      </w:r>
      <w:proofErr w:type="spellEnd"/>
      <w:r w:rsidR="00995228" w:rsidRPr="00995228">
        <w:t xml:space="preserve">, </w:t>
      </w:r>
      <w:r w:rsidR="008A2965">
        <w:t>concentrated</w:t>
      </w:r>
      <w:r w:rsidR="00156BE1">
        <w:t xml:space="preserve"> mainly in</w:t>
      </w:r>
      <w:r w:rsidR="00995228">
        <w:t xml:space="preserve"> in the root</w:t>
      </w:r>
      <w:r w:rsidR="00114B0B">
        <w:t>s</w:t>
      </w:r>
      <w:r w:rsidR="00995228">
        <w:t>,</w:t>
      </w:r>
      <w:r w:rsidR="00995228" w:rsidRPr="00995228">
        <w:t xml:space="preserve"> suggesting that these two hydrophobic </w:t>
      </w:r>
      <w:r w:rsidR="00995228" w:rsidRPr="00995228">
        <w:lastRenderedPageBreak/>
        <w:t xml:space="preserve">chemicals (log </w:t>
      </w:r>
      <w:r w:rsidR="00995228" w:rsidRPr="00233E06">
        <w:rPr>
          <w:i/>
          <w:iCs/>
        </w:rPr>
        <w:t>K</w:t>
      </w:r>
      <w:r w:rsidR="00995228" w:rsidRPr="00995228">
        <w:t>ow 4.7−4.9) were more likely to accumulat</w:t>
      </w:r>
      <w:r w:rsidR="00995228">
        <w:t xml:space="preserve">e in roots and not </w:t>
      </w:r>
      <w:r w:rsidR="00156BE1">
        <w:t>translocate</w:t>
      </w:r>
      <w:r w:rsidR="00995228">
        <w:t xml:space="preserve"> easily to the shoot.</w:t>
      </w:r>
      <w:r w:rsidR="002A1831">
        <w:t xml:space="preserve"> </w:t>
      </w:r>
      <w:r w:rsidR="00F36F4D">
        <w:fldChar w:fldCharType="begin" w:fldLock="1"/>
      </w:r>
      <w:r w:rsidR="0045411E">
        <w:instrText>ADDIN CSL_CITATION { "citationItems" : [ { "id" : "ITEM-1", "itemData" : { "DOI" : "10.1021/es5017894", "ISSN" : "1520-5851", "PMID" : "25026038", "abstract" : "To meet mounting water demands, treated wastewater has become an important source of irrigation. Thus, contamination of treated wastewater by pharmaceutical compounds (PCs) and the fate of these compounds in the agricultural environment are of increasing concern. This field study aimed to quantify PC uptake by treated wastewater-irrigated root crops (carrots and sweet potatoes) grown in lysimeters and to evaluate potential risks. In both crops, the nonionic PCs (carbamazepine, caffeine, and lamotrigine) were detected at significantly higher concentrations than ionic PCs (metoprolol, bezafibrate, clofibric acid, diclofenac, gemfibrozil, ibuprofen, ketoprofen, naproxen, sulfamethoxazole, and sildenafil). PCs in leaves were found at higher concentrations than in the roots. Carbamazepine metabolites were found mainly in the leaves, where the concentration of the metabolite 10,11-epoxycarbamazepine was significantly higher than the parent compound. The health risk associated with consumption of wastewater-irrigated root vegetables was estimated using the threshold of toxicological concern (TTC) approach. Our data show that the TTC value of lamotrigine can be reached for a child at a daily consumption of half a carrot (\u223c60 g). This study highlights that certain PCs accumulated in edible organs at concentrations above the TTC value should be categorized as contaminants of emerging concern.", "author" : [ { "dropping-particle" : "", "family" : "Malchi", "given" : "Tomer", "non-dropping-particle" : "", "parse-names" : false, "suffix" : "" }, { "dropping-particle" : "", "family" : "Maor", "given" : "Yehoshua", "non-dropping-particle" : "", "parse-names" : false, "suffix" : "" }, { "dropping-particle" : "", "family" : "Tadmor", "given" : "Galit", "non-dropping-particle" : "", "parse-names" : false, "suffix" : "" }, { "dropping-particle" : "", "family" : "Shenker", "given" : "Moshe", "non-dropping-particle" : "", "parse-names" : false, "suffix" : "" }, { "dropping-particle" : "", "family" : "Chefetz", "given" : "Benny", "non-dropping-particle" : "", "parse-names" : false, "suffix" : "" } ], "container-title" : "Environmental science &amp; technology", "id" : "ITEM-1", "issue" : "16", "issued" : { "date-parts" : [ [ "2014", "8", "19" ] ] }, "page" : "9325-33", "title" : "Irrigation of root vegetables with treated wastewater: evaluating uptake of pharmaceuticals and the associated human health risks.", "type" : "article-journal", "volume" : "48" }, "uris" : [ "http://www.mendeley.com/documents/?uuid=feceb97c-c39f-465c-9f8e-5c9e177d8490" ] } ], "mendeley" : { "formattedCitation" : "(Malchi et al., 2014)", "manualFormatting" : "Malchi et al., 2014. ", "plainTextFormattedCitation" : "(Malchi et al., 2014)", "previouslyFormattedCitation" : "(Malchi et al., 2014)" }, "properties" : { "noteIndex" : 0 }, "schema" : "https://github.com/citation-style-language/schema/raw/master/csl-citation.json" }</w:instrText>
      </w:r>
      <w:r w:rsidR="00F36F4D">
        <w:fldChar w:fldCharType="separate"/>
      </w:r>
      <w:r w:rsidR="0045411E" w:rsidRPr="0045411E">
        <w:rPr>
          <w:noProof/>
        </w:rPr>
        <w:t>Malchi et al.</w:t>
      </w:r>
      <w:r w:rsidR="005B09E7">
        <w:rPr>
          <w:noProof/>
        </w:rPr>
        <w:t xml:space="preserve"> (</w:t>
      </w:r>
      <w:r w:rsidR="0045411E" w:rsidRPr="0045411E">
        <w:rPr>
          <w:noProof/>
        </w:rPr>
        <w:t>2014</w:t>
      </w:r>
      <w:r w:rsidR="005B09E7">
        <w:rPr>
          <w:noProof/>
        </w:rPr>
        <w:t xml:space="preserve">) reported </w:t>
      </w:r>
      <w:r w:rsidR="00F36F4D">
        <w:fldChar w:fldCharType="end"/>
      </w:r>
      <w:r w:rsidR="0045411E">
        <w:t>a</w:t>
      </w:r>
      <w:r w:rsidR="002A1831">
        <w:t xml:space="preserve"> different pattern, </w:t>
      </w:r>
      <w:r w:rsidR="008A2965">
        <w:t xml:space="preserve">neutral </w:t>
      </w:r>
      <w:r w:rsidR="002A1831" w:rsidRPr="002A1831">
        <w:t>PCs</w:t>
      </w:r>
      <w:r w:rsidR="008A2965">
        <w:t xml:space="preserve"> (carbamazepine, caffeine, lamotrigine) were found in higher </w:t>
      </w:r>
      <w:r w:rsidR="008A2965" w:rsidRPr="002A1831">
        <w:t>concentrations</w:t>
      </w:r>
      <w:r w:rsidR="002A1831" w:rsidRPr="002A1831">
        <w:t xml:space="preserve"> in leaves than in the roots</w:t>
      </w:r>
      <w:r w:rsidR="002A1831">
        <w:t xml:space="preserve">. Probably due to different plant type and </w:t>
      </w:r>
      <w:r w:rsidR="009C30E8">
        <w:t xml:space="preserve">growing </w:t>
      </w:r>
      <w:r w:rsidR="002A1831">
        <w:t>conditions between the two studies.</w:t>
      </w:r>
      <w:r w:rsidR="00995228">
        <w:t xml:space="preserve"> </w:t>
      </w:r>
      <w:r w:rsidR="00F36F4D" w:rsidRPr="0045411E">
        <w:fldChar w:fldCharType="begin" w:fldLock="1"/>
      </w:r>
      <w:r w:rsidR="0045411E" w:rsidRPr="0045411E">
        <w:instrText>ADDIN CSL_CITATION { "citationItems" : [ { "id" : "ITEM-1", "itemData" : { "author" : [ { "dropping-particle" : "", "family" : "Wu", "given" : "Chenxi", "non-dropping-particle" : "", "parse-names" : false, "suffix" : "" }, { "dropping-particle" : "", "family" : "Spongberg", "given" : "Alison L.", "non-dropping-particle" : "", "parse-names" : false, "suffix" : "" }, { "dropping-particle" : "", "family" : "Jason", "given" : "Witter D.", "non-dropping-particle" : "", "parse-names" : false, "suffix" : "" }, { "dropping-particle" : "", "family" : "Fang", "given" : "Min", "non-dropping-particle" : "", "parse-names" : false, "suffix" : "" }, { "dropping-particle" : "", "family" : "Czajkowski", "given" : "Kevin P.", "non-dropping-particle" : "", "parse-names" : false, "suffix" : "" } ], "container-title" : "Environmental Science &amp; Technology", "id" : "ITEM-1", "issue" : "16", "issued" : { "date-parts" : [ [ "2010" ] ] }, "page" : "6157-6161", "title" : "Uptake of pharmaceutical and personal care products by soybean plants from soils applied with biosolids and irrigated with contaminated water", "type" : "article-journal", "volume" : "44" }, "uris" : [ "http://www.mendeley.com/documents/?uuid=d5cb1f90-b9a3-4fb1-b344-047ea8265ab0" ] } ], "mendeley" : { "formattedCitation" : "(Wu et al., 2010)", "manualFormatting" : "Wu et al., 2010.", "plainTextFormattedCitation" : "(Wu et al., 2010)", "previouslyFormattedCitation" : "(Wu et al., 2010)" }, "properties" : { "noteIndex" : 0 }, "schema" : "https://github.com/citation-style-language/schema/raw/master/csl-citation.json" }</w:instrText>
      </w:r>
      <w:r w:rsidR="00F36F4D" w:rsidRPr="0045411E">
        <w:fldChar w:fldCharType="separate"/>
      </w:r>
      <w:r w:rsidR="0045411E" w:rsidRPr="0045411E">
        <w:rPr>
          <w:noProof/>
        </w:rPr>
        <w:t>Wu et al.</w:t>
      </w:r>
      <w:r w:rsidR="005B09E7">
        <w:rPr>
          <w:noProof/>
        </w:rPr>
        <w:t xml:space="preserve"> (2</w:t>
      </w:r>
      <w:r w:rsidR="0045411E" w:rsidRPr="0045411E">
        <w:rPr>
          <w:noProof/>
        </w:rPr>
        <w:t>010</w:t>
      </w:r>
      <w:r w:rsidR="005B09E7">
        <w:rPr>
          <w:noProof/>
        </w:rPr>
        <w:t xml:space="preserve">) </w:t>
      </w:r>
      <w:r w:rsidR="00F36F4D" w:rsidRPr="0045411E">
        <w:fldChar w:fldCharType="end"/>
      </w:r>
      <w:r w:rsidR="005B09E7">
        <w:t>al</w:t>
      </w:r>
      <w:r w:rsidR="00995228" w:rsidRPr="0045411E">
        <w:t>so</w:t>
      </w:r>
      <w:r w:rsidR="00995228">
        <w:t xml:space="preserve"> examined uptake of</w:t>
      </w:r>
      <w:r w:rsidR="00B362AB">
        <w:t xml:space="preserve"> 5</w:t>
      </w:r>
      <w:r w:rsidR="00995228">
        <w:t xml:space="preserve"> PPCPs </w:t>
      </w:r>
      <w:r w:rsidR="00B362AB">
        <w:t xml:space="preserve">under two treatments </w:t>
      </w:r>
      <w:r w:rsidR="00B362AB" w:rsidRPr="00B362AB">
        <w:t xml:space="preserve">simulating biosolids application and </w:t>
      </w:r>
      <w:r w:rsidR="009C30E8">
        <w:t>TWW irrigation</w:t>
      </w:r>
      <w:r w:rsidR="00B362AB">
        <w:t>. They noted that biosolids application resulted</w:t>
      </w:r>
      <w:r w:rsidR="00B362AB" w:rsidRPr="00B362AB">
        <w:t xml:space="preserve"> in higher plant concentrations, likely due to higher loading</w:t>
      </w:r>
      <w:r w:rsidR="008A2965">
        <w:t xml:space="preserve"> in the biosolids</w:t>
      </w:r>
      <w:r w:rsidR="00B362AB" w:rsidRPr="00B362AB">
        <w:t>. However, compounds introduced</w:t>
      </w:r>
      <w:r w:rsidR="00195623">
        <w:t xml:space="preserve"> to the soil</w:t>
      </w:r>
      <w:r w:rsidR="00B362AB" w:rsidRPr="00B362AB">
        <w:t xml:space="preserve"> by irrigation</w:t>
      </w:r>
      <w:r w:rsidR="00195623">
        <w:t xml:space="preserve"> in contrast to biosolids</w:t>
      </w:r>
      <w:r w:rsidR="00B362AB" w:rsidRPr="00B362AB">
        <w:t xml:space="preserve"> appeared </w:t>
      </w:r>
      <w:r w:rsidR="00B362AB">
        <w:t xml:space="preserve">to be more available for uptake. </w:t>
      </w:r>
    </w:p>
    <w:p w:rsidR="00627DC0" w:rsidRDefault="006A3C11" w:rsidP="006A3C11">
      <w:pPr>
        <w:pStyle w:val="Heading3"/>
      </w:pPr>
      <w:r>
        <w:t xml:space="preserve">Plant </w:t>
      </w:r>
      <w:r w:rsidR="009C0051">
        <w:t>M</w:t>
      </w:r>
      <w:r w:rsidR="00627DC0">
        <w:t>etabolism</w:t>
      </w:r>
      <w:r w:rsidR="00CB23B6">
        <w:t xml:space="preserve"> </w:t>
      </w:r>
    </w:p>
    <w:p w:rsidR="009C30E8" w:rsidRDefault="00D60DDF" w:rsidP="00090C8E">
      <w:r w:rsidRPr="00ED2CEE">
        <w:t>Plant metabolize</w:t>
      </w:r>
      <w:r w:rsidR="009C30E8">
        <w:t>s</w:t>
      </w:r>
      <w:r w:rsidRPr="00ED2CEE">
        <w:t xml:space="preserve"> toxicants through a multiple process that converts the parent compound to a more polar molecule. Phase I metabolism converts biologically active toxicants into less active compounds via hydrolysis or oxidation, but occasionally into more toxic metabolites through bioactivation. The main enzyme</w:t>
      </w:r>
      <w:r w:rsidR="00D90373" w:rsidRPr="00ED2CEE">
        <w:t>s in phase I is cytochrome P</w:t>
      </w:r>
      <w:r w:rsidRPr="00ED2CEE">
        <w:t>450</w:t>
      </w:r>
      <w:r w:rsidR="00D90373" w:rsidRPr="00ED2CEE">
        <w:t xml:space="preserve"> family (i.e., CYP450)</w:t>
      </w:r>
      <w:r w:rsidRPr="00ED2CEE">
        <w:t xml:space="preserve"> which unmask or introduce polar groups on the drug</w:t>
      </w:r>
      <w:r w:rsidR="00D90373" w:rsidRPr="00ED2CEE">
        <w:t xml:space="preserve"> to make it more soluble</w:t>
      </w:r>
      <w:r w:rsidR="009C30E8">
        <w:t xml:space="preserve"> in </w:t>
      </w:r>
      <w:r w:rsidR="009C30E8" w:rsidRPr="00ED2CEE">
        <w:t>water</w:t>
      </w:r>
      <w:r w:rsidRPr="00ED2CEE">
        <w:t xml:space="preserve">. Phase II metabolism includes conjugation </w:t>
      </w:r>
      <w:r w:rsidR="008A6746" w:rsidRPr="00ED2CEE">
        <w:t>reactions</w:t>
      </w:r>
      <w:r w:rsidRPr="00ED2CEE">
        <w:t xml:space="preserve"> that link the products of phase I with plant constitutes such as sugars, amino acids glutathione or other small molecules. </w:t>
      </w:r>
      <w:r w:rsidR="008A6746" w:rsidRPr="00ED2CEE">
        <w:t xml:space="preserve">The main enzyme </w:t>
      </w:r>
      <w:r w:rsidR="004D2C9A" w:rsidRPr="00ED2CEE">
        <w:t>family in phase II reaction is</w:t>
      </w:r>
      <w:r w:rsidR="004D2C9A">
        <w:t xml:space="preserve"> transferase family</w:t>
      </w:r>
      <w:r w:rsidR="004D2C9A" w:rsidRPr="00ED2CEE">
        <w:t xml:space="preserve"> that attaches</w:t>
      </w:r>
      <w:r w:rsidR="008A6746" w:rsidRPr="00ED2CEE">
        <w:t xml:space="preserve"> small endogen</w:t>
      </w:r>
      <w:r w:rsidR="00CB56D2" w:rsidRPr="00ED2CEE">
        <w:t xml:space="preserve">ous polar molecules </w:t>
      </w:r>
      <w:r w:rsidR="00090C8E">
        <w:t>of</w:t>
      </w:r>
      <w:r w:rsidR="00090C8E" w:rsidRPr="00ED2CEE">
        <w:t xml:space="preserve"> </w:t>
      </w:r>
      <w:r w:rsidR="00CB56D2" w:rsidRPr="00ED2CEE">
        <w:t>the drug (</w:t>
      </w:r>
      <w:r w:rsidR="00001088" w:rsidRPr="00ED2CEE">
        <w:rPr>
          <w:noProof/>
        </w:rPr>
        <w:t>Hock and Elstner, 2004</w:t>
      </w:r>
      <w:r w:rsidR="00001088" w:rsidRPr="00ED2CEE">
        <w:t xml:space="preserve">). </w:t>
      </w:r>
    </w:p>
    <w:p w:rsidR="00262AE4" w:rsidRPr="00ED2CEE" w:rsidRDefault="009C30E8" w:rsidP="00195623">
      <w:r>
        <w:t>P</w:t>
      </w:r>
      <w:r w:rsidR="008D1AA9">
        <w:t>h</w:t>
      </w:r>
      <w:r>
        <w:t>as</w:t>
      </w:r>
      <w:r w:rsidR="008D1AA9">
        <w:t>e</w:t>
      </w:r>
      <w:r>
        <w:t xml:space="preserve"> I and </w:t>
      </w:r>
      <w:r w:rsidR="008D1AA9">
        <w:t>phase</w:t>
      </w:r>
      <w:r>
        <w:t xml:space="preserve"> II</w:t>
      </w:r>
      <w:r w:rsidR="00CB56D2" w:rsidRPr="00ED2CEE">
        <w:t xml:space="preserve"> metabolism of carbamazepine was </w:t>
      </w:r>
      <w:r w:rsidR="004C7CE8" w:rsidRPr="00ED2CEE">
        <w:t>estimated</w:t>
      </w:r>
      <w:r w:rsidR="0029088C" w:rsidRPr="00ED2CEE">
        <w:t xml:space="preserve"> in sweet potato and carrot</w:t>
      </w:r>
      <w:r w:rsidR="004C7CE8" w:rsidRPr="00ED2CEE">
        <w:rPr>
          <w:rtl/>
        </w:rPr>
        <w:t xml:space="preserve"> </w:t>
      </w:r>
      <w:r w:rsidR="00CB56D2" w:rsidRPr="00ED2CEE">
        <w:t xml:space="preserve">by </w:t>
      </w:r>
      <w:r w:rsidR="00F36F4D" w:rsidRPr="00ED2CEE">
        <w:fldChar w:fldCharType="begin" w:fldLock="1"/>
      </w:r>
      <w:r w:rsidR="003965B9" w:rsidRPr="00ED2CEE">
        <w:instrText>ADDIN CSL_CITATION { "citationItems" : [ { "id" : "ITEM-1", "itemData" : { "DOI" : "10.1021/es5017894", "ISSN" : "1520-5851", "PMID" : "25026038", "abstract" : "To meet mounting water demands, treated wastewater has become an important source of irrigation. Thus, contamination of treated wastewater by pharmaceutical compounds (PCs) and the fate of these compounds in the agricultural environment are of increasing concern. This field study aimed to quantify PC uptake by treated wastewater-irrigated root crops (carrots and sweet potatoes) grown in lysimeters and to evaluate potential risks. In both crops, the nonionic PCs (carbamazepine, caffeine, and lamotrigine) were detected at significantly higher concentrations than ionic PCs (metoprolol, bezafibrate, clofibric acid, diclofenac, gemfibrozil, ibuprofen, ketoprofen, naproxen, sulfamethoxazole, and sildenafil). PCs in leaves were found at higher concentrations than in the roots. Carbamazepine metabolites were found mainly in the leaves, where the concentration of the metabolite 10,11-epoxycarbamazepine was significantly higher than the parent compound. The health risk associated with consumption of wastewater-irrigated root vegetables was estimated using the threshold of toxicological concern (TTC) approach. Our data show that the TTC value of lamotrigine can be reached for a child at a daily consumption of half a carrot (\u223c60 g). This study highlights that certain PCs accumulated in edible organs at concentrations above the TTC value should be categorized as contaminants of emerging concern.", "author" : [ { "dropping-particle" : "", "family" : "Malchi", "given" : "Tomer", "non-dropping-particle" : "", "parse-names" : false, "suffix" : "" }, { "dropping-particle" : "", "family" : "Maor", "given" : "Yehoshua", "non-dropping-particle" : "", "parse-names" : false, "suffix" : "" }, { "dropping-particle" : "", "family" : "Tadmor", "given" : "Galit", "non-dropping-particle" : "", "parse-names" : false, "suffix" : "" }, { "dropping-particle" : "", "family" : "Shenker", "given" : "Moshe", "non-dropping-particle" : "", "parse-names" : false, "suffix" : "" }, { "dropping-particle" : "", "family" : "Chefetz", "given" : "Benny", "non-dropping-particle" : "", "parse-names" : false, "suffix" : "" } ], "container-title" : "Environmental science &amp; technology", "id" : "ITEM-1", "issue" : "16", "issued" : { "date-parts" : [ [ "2014", "8", "19" ] ] }, "page" : "9325-33", "title" : "Irrigation of root vegetables with treated wastewater: evaluating uptake of pharmaceuticals and the associated human health risks.", "type" : "article-journal", "volume" : "48" }, "uris" : [ "http://www.mendeley.com/documents/?uuid=feceb97c-c39f-465c-9f8e-5c9e177d8490" ] } ], "mendeley" : { "formattedCitation" : "(Malchi et al., 2014)", "manualFormatting" : "Malchi et al., 2014", "plainTextFormattedCitation" : "(Malchi et al., 2014)", "previouslyFormattedCitation" : "(Malchi et al., 2014)" }, "properties" : { "noteIndex" : 0 }, "schema" : "https://github.com/citation-style-language/schema/raw/master/csl-citation.json" }</w:instrText>
      </w:r>
      <w:r w:rsidR="00F36F4D" w:rsidRPr="00ED2CEE">
        <w:fldChar w:fldCharType="separate"/>
      </w:r>
      <w:r w:rsidR="00CD0694" w:rsidRPr="00ED2CEE">
        <w:rPr>
          <w:noProof/>
        </w:rPr>
        <w:t>Malchi et al.</w:t>
      </w:r>
      <w:r w:rsidR="005B09E7">
        <w:rPr>
          <w:noProof/>
        </w:rPr>
        <w:t xml:space="preserve"> (</w:t>
      </w:r>
      <w:r w:rsidR="00CD0694" w:rsidRPr="00ED2CEE">
        <w:rPr>
          <w:noProof/>
        </w:rPr>
        <w:t>2014</w:t>
      </w:r>
      <w:r w:rsidR="00F36F4D" w:rsidRPr="00ED2CEE">
        <w:fldChar w:fldCharType="end"/>
      </w:r>
      <w:r w:rsidR="005B09E7">
        <w:t>)</w:t>
      </w:r>
      <w:r w:rsidR="00CB56D2" w:rsidRPr="00ED2CEE">
        <w:t>. While the parent compound was dominant in the soil and root of the vegetables (~90%)</w:t>
      </w:r>
      <w:r w:rsidR="004C7CE8" w:rsidRPr="00ED2CEE">
        <w:t xml:space="preserve">, </w:t>
      </w:r>
      <w:r w:rsidR="00195623">
        <w:t xml:space="preserve">the portion of the metabolites: </w:t>
      </w:r>
      <w:r w:rsidR="00CB56D2" w:rsidRPr="00ED2CEE">
        <w:t>10</w:t>
      </w:r>
      <w:r w:rsidR="004C7CE8" w:rsidRPr="00ED2CEE">
        <w:t>, 11</w:t>
      </w:r>
      <w:r w:rsidR="00CB56D2" w:rsidRPr="00ED2CEE">
        <w:t>-epoxyc</w:t>
      </w:r>
      <w:r w:rsidR="004C7CE8" w:rsidRPr="00ED2CEE">
        <w:t>arbamazepine and 10, 11-dihydrox</w:t>
      </w:r>
      <w:r w:rsidR="00CB56D2" w:rsidRPr="00ED2CEE">
        <w:t>ycarbamazepine</w:t>
      </w:r>
      <w:r w:rsidR="004C7CE8" w:rsidRPr="00ED2CEE">
        <w:t xml:space="preserve"> in the leaves </w:t>
      </w:r>
      <w:r w:rsidR="00195623">
        <w:t>were</w:t>
      </w:r>
      <w:r w:rsidR="004C7CE8" w:rsidRPr="00ED2CEE">
        <w:t xml:space="preserve"> dominant</w:t>
      </w:r>
      <w:r>
        <w:t xml:space="preserve"> </w:t>
      </w:r>
      <w:r w:rsidR="004C7CE8" w:rsidRPr="00ED2CEE">
        <w:t xml:space="preserve">(~70%), suggesting significant metabolism of carbamazepine </w:t>
      </w:r>
      <w:r>
        <w:t xml:space="preserve">occurs </w:t>
      </w:r>
      <w:r w:rsidR="004C7CE8" w:rsidRPr="00ED2CEE">
        <w:t>in leaves.</w:t>
      </w:r>
      <w:r w:rsidR="0029088C" w:rsidRPr="00ED2CEE">
        <w:t xml:space="preserve"> </w:t>
      </w:r>
      <w:r>
        <w:t>Comparison between c</w:t>
      </w:r>
      <w:r w:rsidR="00031175" w:rsidRPr="00ED2CEE">
        <w:t>arbamazepine metabolites in cucumber and tomato leaves and fruit</w:t>
      </w:r>
      <w:r w:rsidR="00B4577F">
        <w:t>,</w:t>
      </w:r>
      <w:r w:rsidR="00031175" w:rsidRPr="00ED2CEE">
        <w:t xml:space="preserve"> </w:t>
      </w:r>
      <w:r w:rsidR="008D1AA9" w:rsidRPr="00ED2CEE">
        <w:t>revealed</w:t>
      </w:r>
      <w:r w:rsidR="00031175" w:rsidRPr="00ED2CEE">
        <w:t xml:space="preserve"> that fraction of metabolites in leaves were higher than in fruits, suggesting again that metabolism occurs mainly in the leaves </w:t>
      </w:r>
      <w:r w:rsidR="00F36F4D" w:rsidRPr="00ED2CEE">
        <w:fldChar w:fldCharType="begin" w:fldLock="1"/>
      </w:r>
      <w:r w:rsidR="003965B9" w:rsidRPr="00ED2CEE">
        <w:instrText>ADDIN CSL_CITATION { "citationItems" : [ { "id" : "ITEM-1", "itemData" : { "ISSN" : "1520-5851", "abstract" : "An increasing number of reports on plant uptake of pharmaceutical compounds (PCs) have been recently published, raising concerns of human exposure through dietary intake. In this study, PC uptake and translocation were evaluated in cucumber and tomato plants to elucidate the effects of PC physicochemical properties, soil type, and irrigation-water quality. Nonionic PCs were taken up and accumulated at higher levels in plants grown in soils of lower organic matter and clay content. While the concentration of most PCs in cucumber and tomato leaves were of similar order, their concentrations in the tomato fruit were much lower than in the cucumber fruit. This is related to differences in fruit physiology. Our data suggest that irrigation with treated wastewater reduces the bioavailability of acidic PCs for uptake by cucumber plants as compared to fresh water irrigation. This study sheds light on factors affecting the uptake of PCs by crops irrigated with treated wastewater, the governing role of PCs' physicochemical properties along with the physiological nature of the plant, soil properties and water quality that together determine uptake, translocation, and accumulation within plant organs. Occurrence of metabolites in plant suggests that PC metabolism has to be evaluated to reveal the total uptake.", "author" : [ { "dropping-particle" : "", "family" : "Goldstein", "given" : "Myah", "non-dropping-particle" : "", "parse-names" : false, "suffix" : "" }, { "dropping-particle" : "", "family" : "Shenker", "given" : "Moshe", "non-dropping-particle" : "", "parse-names" : false, "suffix" : "" }, { "dropping-particle" : "", "family" : "Chefetz", "given" : "Benny", "non-dropping-particle" : "", "parse-names" : false, "suffix" : "" } ], "container-title" : "Environmental Science &amp; Technology", "id" : "ITEM-1", "issue" : "10", "issued" : { "date-parts" : [ [ "2014", "5", "20" ] ] }, "page" : "5593-600", "title" : "Insights into the uptake processes of wastewater-borne pharmaceuticals by vegetables.", "type" : "article-journal", "volume" : "48" }, "uris" : [ "http://www.mendeley.com/documents/?uuid=c885bc85-097c-43cf-85ed-fce0864e94e0" ] } ], "mendeley" : { "formattedCitation" : "(Goldstein et al., 2014)", "plainTextFormattedCitation" : "(Goldstein et al., 2014)", "previouslyFormattedCitation" : "(Goldstein et al., 2014)" }, "properties" : { "noteIndex" : 0 }, "schema" : "https://github.com/citation-style-language/schema/raw/master/csl-citation.json" }</w:instrText>
      </w:r>
      <w:r w:rsidR="00F36F4D" w:rsidRPr="00ED2CEE">
        <w:fldChar w:fldCharType="separate"/>
      </w:r>
      <w:r w:rsidR="003965B9" w:rsidRPr="00ED2CEE">
        <w:rPr>
          <w:noProof/>
        </w:rPr>
        <w:t>(Goldstein et al., 2014)</w:t>
      </w:r>
      <w:r w:rsidR="00F36F4D" w:rsidRPr="00ED2CEE">
        <w:fldChar w:fldCharType="end"/>
      </w:r>
      <w:r w:rsidR="003965B9" w:rsidRPr="00ED2CEE">
        <w:t>.</w:t>
      </w:r>
      <w:r w:rsidR="00031175" w:rsidRPr="00ED2CEE">
        <w:t xml:space="preserve"> Only evaluation and estimation of the parent compound and its metabolites will reveal the whole picture of uptake </w:t>
      </w:r>
      <w:r w:rsidR="00B4577F">
        <w:t xml:space="preserve">and translocation </w:t>
      </w:r>
      <w:r w:rsidR="00031175" w:rsidRPr="00ED2CEE">
        <w:t xml:space="preserve">of </w:t>
      </w:r>
      <w:r w:rsidR="00B4577F">
        <w:t>P</w:t>
      </w:r>
      <w:r w:rsidR="00031175" w:rsidRPr="00ED2CEE">
        <w:t>Cs.</w:t>
      </w:r>
    </w:p>
    <w:p w:rsidR="00C45A4B" w:rsidRPr="006A3C11" w:rsidRDefault="00F747DC" w:rsidP="00534892">
      <w:pPr>
        <w:pStyle w:val="Heading1"/>
        <w:rPr>
          <w:b/>
          <w:bCs/>
        </w:rPr>
      </w:pPr>
      <w:r w:rsidRPr="006A3C11">
        <w:rPr>
          <w:b/>
          <w:bCs/>
        </w:rPr>
        <w:t>H</w:t>
      </w:r>
      <w:r w:rsidR="00C45A4B" w:rsidRPr="006A3C11">
        <w:rPr>
          <w:b/>
          <w:bCs/>
        </w:rPr>
        <w:t xml:space="preserve">ypothesis </w:t>
      </w:r>
    </w:p>
    <w:p w:rsidR="00844F6B" w:rsidRDefault="00844F6B" w:rsidP="00195623">
      <w:r w:rsidRPr="006C2E79">
        <w:t xml:space="preserve">Biosolids </w:t>
      </w:r>
      <w:r>
        <w:t>application</w:t>
      </w:r>
      <w:r w:rsidRPr="006C2E79">
        <w:t xml:space="preserve"> will </w:t>
      </w:r>
      <w:r>
        <w:t>have an impact on</w:t>
      </w:r>
      <w:r w:rsidRPr="006C2E79">
        <w:t xml:space="preserve"> the PCs concentration in the soil solution</w:t>
      </w:r>
      <w:r>
        <w:t xml:space="preserve">. Hydrophobic PCs </w:t>
      </w:r>
      <w:r w:rsidR="004358B0">
        <w:t xml:space="preserve">will </w:t>
      </w:r>
      <w:r>
        <w:t xml:space="preserve">be absorbed to the biosolids, and as a result their bioavailability will be lower. Biosolids addition can affect the bioavailability of hydrophilic compounds as well since </w:t>
      </w:r>
      <w:r>
        <w:lastRenderedPageBreak/>
        <w:t xml:space="preserve">there are many polar groups in the SOM. These affinities to SOM will be affected by the soil pH. </w:t>
      </w:r>
      <w:r w:rsidR="00195623">
        <w:t>Generally, i</w:t>
      </w:r>
      <w:r>
        <w:t xml:space="preserve">n acidic soils the polar groups tend to be neutral while in </w:t>
      </w:r>
      <w:r w:rsidR="00195623">
        <w:t xml:space="preserve">basic soils </w:t>
      </w:r>
      <w:r>
        <w:t>the polar groups tend to be more negatively charged. Since irrigation with TWW introduces PCs to the soil/plant on a daily basis</w:t>
      </w:r>
      <w:r w:rsidR="004358B0">
        <w:t xml:space="preserve"> while </w:t>
      </w:r>
      <w:r>
        <w:t xml:space="preserve">biosolids in soils can act as a sink for PCs, we expect that uptake and accumulation of PCs from TWW irrigation treatments will be higher than treatments with biosolids application. </w:t>
      </w:r>
    </w:p>
    <w:p w:rsidR="00C45A4B" w:rsidRPr="006A3C11" w:rsidRDefault="00F747DC" w:rsidP="00534892">
      <w:pPr>
        <w:pStyle w:val="Heading1"/>
        <w:rPr>
          <w:b/>
          <w:bCs/>
        </w:rPr>
      </w:pPr>
      <w:r w:rsidRPr="006A3C11">
        <w:rPr>
          <w:b/>
          <w:bCs/>
        </w:rPr>
        <w:t>Objectives</w:t>
      </w:r>
      <w:r w:rsidR="00C45A4B" w:rsidRPr="006A3C11">
        <w:rPr>
          <w:b/>
          <w:bCs/>
        </w:rPr>
        <w:t xml:space="preserve"> </w:t>
      </w:r>
    </w:p>
    <w:p w:rsidR="00354E05" w:rsidRPr="00E15D84" w:rsidRDefault="004D1CC9" w:rsidP="00195623">
      <w:r w:rsidRPr="00E15D84">
        <w:t xml:space="preserve">The </w:t>
      </w:r>
      <w:r w:rsidR="00235613">
        <w:t xml:space="preserve">main objective of the research is </w:t>
      </w:r>
      <w:r w:rsidR="00195623">
        <w:t xml:space="preserve">to </w:t>
      </w:r>
      <w:r w:rsidR="00235613">
        <w:t>examin</w:t>
      </w:r>
      <w:r w:rsidR="00195623">
        <w:t>e</w:t>
      </w:r>
      <w:r w:rsidR="00235613">
        <w:t xml:space="preserve"> uptake and translocation of several PCs in plants grown in soils </w:t>
      </w:r>
      <w:r w:rsidR="004358B0">
        <w:t xml:space="preserve">amended </w:t>
      </w:r>
      <w:r w:rsidR="00235613">
        <w:t xml:space="preserve">with biosolids </w:t>
      </w:r>
      <w:r w:rsidR="004358B0">
        <w:t xml:space="preserve">and/or </w:t>
      </w:r>
      <w:r w:rsidR="00235613">
        <w:t xml:space="preserve">irrigated with TWW. </w:t>
      </w:r>
      <w:r w:rsidR="004358B0">
        <w:t xml:space="preserve">We also aim </w:t>
      </w:r>
      <w:r w:rsidR="00235613">
        <w:t xml:space="preserve">to </w:t>
      </w:r>
      <w:r w:rsidR="00195623">
        <w:t xml:space="preserve">understand better the plant role in uptake of PCs, planting different types of plants; </w:t>
      </w:r>
      <w:r w:rsidR="00235613">
        <w:t>leafy vegetables versus fruit vegetables</w:t>
      </w:r>
      <w:r w:rsidR="00AF33A8">
        <w:t xml:space="preserve"> </w:t>
      </w:r>
      <w:r w:rsidR="00235613">
        <w:t xml:space="preserve">and to </w:t>
      </w:r>
      <w:r w:rsidR="00583D35">
        <w:t xml:space="preserve">evaluate the uptake in rain-fed plants grown in lysimeters exposed to biosolids and TWW.  </w:t>
      </w:r>
      <w:r w:rsidR="00EC6F31">
        <w:t>Examine metabolism of chosen PCs in different plant parts</w:t>
      </w:r>
      <w:r w:rsidR="00DC01AA">
        <w:t>.</w:t>
      </w:r>
    </w:p>
    <w:p w:rsidR="00F747DC" w:rsidRPr="006A3C11" w:rsidRDefault="00F747DC" w:rsidP="00534892">
      <w:pPr>
        <w:pStyle w:val="Heading1"/>
        <w:rPr>
          <w:b/>
          <w:bCs/>
        </w:rPr>
      </w:pPr>
      <w:r w:rsidRPr="006A3C11">
        <w:rPr>
          <w:b/>
          <w:bCs/>
        </w:rPr>
        <w:t>Materials and Methods</w:t>
      </w:r>
    </w:p>
    <w:p w:rsidR="009E7C13" w:rsidRDefault="009E7C13" w:rsidP="009E7C13">
      <w:pPr>
        <w:pStyle w:val="Heading2"/>
      </w:pPr>
      <w:r>
        <w:t>Research plan</w:t>
      </w:r>
    </w:p>
    <w:p w:rsidR="009E7C13" w:rsidRPr="009E7C13" w:rsidRDefault="009E7C13" w:rsidP="00CE560D">
      <w:r>
        <w:t xml:space="preserve">Three types of plants will be grown in the summers of 2014 and 2015. Plants will be exposed to biosolids and treated wastewater (TWW) containing different pharmaceuticals in a range of concentrations. </w:t>
      </w:r>
      <w:r w:rsidRPr="00ED2CEE">
        <w:t>Treated wastewater and biosolids are provided by a conventional activated-sludge wastewater-treatment facility in the city of Kiryat Gat, Israel.</w:t>
      </w:r>
      <w:r>
        <w:t xml:space="preserve"> </w:t>
      </w:r>
      <w:r w:rsidR="00CE560D">
        <w:t xml:space="preserve">The case of rain-fed cultivation will be checked as well. </w:t>
      </w:r>
      <w:r w:rsidR="00D666F7">
        <w:t xml:space="preserve">Wheat will be grown in lysimeters </w:t>
      </w:r>
      <w:r w:rsidR="00CE560D">
        <w:t>exposed to</w:t>
      </w:r>
      <w:r w:rsidR="00D666F7">
        <w:t xml:space="preserve"> TWW and biosolids application.</w:t>
      </w:r>
      <w:r w:rsidR="00CE560D">
        <w:t xml:space="preserve"> All plants will be analyzed to evaluate and quantify PCs concentrations.</w:t>
      </w:r>
    </w:p>
    <w:p w:rsidR="0068563B" w:rsidRDefault="0068563B" w:rsidP="00337A6E">
      <w:pPr>
        <w:pStyle w:val="Heading2"/>
      </w:pPr>
      <w:r w:rsidRPr="0068563B">
        <w:t xml:space="preserve">Crops, </w:t>
      </w:r>
      <w:r w:rsidR="0048094E">
        <w:t>s</w:t>
      </w:r>
      <w:r w:rsidR="00AF33A8">
        <w:t>oils</w:t>
      </w:r>
      <w:r w:rsidRPr="0068563B">
        <w:t xml:space="preserve"> and </w:t>
      </w:r>
      <w:r w:rsidR="0048094E">
        <w:t>g</w:t>
      </w:r>
      <w:r w:rsidRPr="0068563B">
        <w:t xml:space="preserve">rowing </w:t>
      </w:r>
      <w:r w:rsidR="0048094E">
        <w:t>c</w:t>
      </w:r>
      <w:r w:rsidRPr="0068563B">
        <w:t>onditions.</w:t>
      </w:r>
    </w:p>
    <w:p w:rsidR="004358B0" w:rsidRDefault="00CE560D" w:rsidP="00721DC6">
      <w:pPr>
        <w:rPr>
          <w:szCs w:val="28"/>
        </w:rPr>
      </w:pPr>
      <w:r>
        <w:t>P</w:t>
      </w:r>
      <w:r w:rsidR="00F916C0" w:rsidRPr="00ED2CEE">
        <w:t xml:space="preserve">lants will be grown in </w:t>
      </w:r>
      <w:r w:rsidR="0068563B" w:rsidRPr="00ED2CEE">
        <w:t>lysimeters (</w:t>
      </w:r>
      <w:r>
        <w:t xml:space="preserve">1 m height </w:t>
      </w:r>
      <w:r>
        <w:rPr>
          <w:rFonts w:cs="Times New Roman"/>
        </w:rPr>
        <w:t>×</w:t>
      </w:r>
      <w:r w:rsidR="0068563B" w:rsidRPr="00ED2CEE">
        <w:t xml:space="preserve"> 0.5 m</w:t>
      </w:r>
      <w:r w:rsidR="0068563B" w:rsidRPr="0048094E">
        <w:rPr>
          <w:vertAlign w:val="superscript"/>
        </w:rPr>
        <w:t>2</w:t>
      </w:r>
      <w:r w:rsidR="0068563B" w:rsidRPr="00ED2CEE">
        <w:t xml:space="preserve"> surface area) containing soils</w:t>
      </w:r>
      <w:r>
        <w:t xml:space="preserve"> (</w:t>
      </w:r>
      <w:r w:rsidRPr="00ED2CEE">
        <w:t xml:space="preserve">classified as </w:t>
      </w:r>
      <w:r w:rsidR="000D5596" w:rsidRPr="00ED2CEE">
        <w:t>Lo</w:t>
      </w:r>
      <w:r w:rsidR="000D5596">
        <w:t>essial</w:t>
      </w:r>
      <w:r w:rsidR="000D5596" w:rsidRPr="00ED2CEE">
        <w:t xml:space="preserve"> </w:t>
      </w:r>
      <w:r w:rsidRPr="00ED2CEE">
        <w:t>Arid Brown Calcisol soils</w:t>
      </w:r>
      <w:r>
        <w:t>)</w:t>
      </w:r>
      <w:r w:rsidR="0068563B" w:rsidRPr="00ED2CEE">
        <w:t xml:space="preserve"> from three locations in the northwest Negev region of Israel (S</w:t>
      </w:r>
      <w:r w:rsidR="004A7182" w:rsidRPr="00ED2CEE">
        <w:t>a’ad, Nir Oz and Ein Hashlosha)</w:t>
      </w:r>
      <w:r w:rsidR="0068563B" w:rsidRPr="00ED2CEE">
        <w:t xml:space="preserve">. </w:t>
      </w:r>
      <w:r>
        <w:t xml:space="preserve">Plants will be irrigated with </w:t>
      </w:r>
      <w:r w:rsidRPr="00ED2CEE">
        <w:t>tertiary treated wastewater</w:t>
      </w:r>
      <w:r>
        <w:t xml:space="preserve"> </w:t>
      </w:r>
      <w:r w:rsidR="000D5596">
        <w:t>(</w:t>
      </w:r>
      <w:r>
        <w:t>TWW</w:t>
      </w:r>
      <w:r w:rsidR="000D5596">
        <w:t>)</w:t>
      </w:r>
      <w:r>
        <w:t xml:space="preserve"> or </w:t>
      </w:r>
      <w:r w:rsidR="0068563B" w:rsidRPr="00ED2CEE">
        <w:t xml:space="preserve">fresh water (FW). </w:t>
      </w:r>
      <w:r w:rsidR="004A7182" w:rsidRPr="00ED2CEE">
        <w:t>Biosolids (6</w:t>
      </w:r>
      <w:r w:rsidR="0048094E">
        <w:t>0</w:t>
      </w:r>
      <w:r w:rsidR="004A7182" w:rsidRPr="00ED2CEE">
        <w:t xml:space="preserve"> m</w:t>
      </w:r>
      <w:r w:rsidR="004A7182" w:rsidRPr="00ED2CEE">
        <w:rPr>
          <w:vertAlign w:val="superscript"/>
        </w:rPr>
        <w:t>3</w:t>
      </w:r>
      <w:r w:rsidR="004A7182" w:rsidRPr="00ED2CEE">
        <w:t xml:space="preserve"> </w:t>
      </w:r>
      <w:r w:rsidR="0048094E" w:rsidRPr="0048094E">
        <w:t>hectare</w:t>
      </w:r>
      <w:r w:rsidR="004A7182" w:rsidRPr="00ED2CEE">
        <w:rPr>
          <w:vertAlign w:val="superscript"/>
        </w:rPr>
        <w:t>-1</w:t>
      </w:r>
      <w:r w:rsidR="004A7182" w:rsidRPr="00ED2CEE">
        <w:t xml:space="preserve">) </w:t>
      </w:r>
      <w:r w:rsidR="00AF561A">
        <w:t>will be</w:t>
      </w:r>
      <w:r w:rsidR="00AF561A" w:rsidRPr="00ED2CEE">
        <w:t xml:space="preserve"> </w:t>
      </w:r>
      <w:r w:rsidR="004A7182" w:rsidRPr="00ED2CEE">
        <w:t xml:space="preserve">added to each </w:t>
      </w:r>
      <w:r w:rsidR="003626D9">
        <w:t xml:space="preserve">of the soils irrigated with </w:t>
      </w:r>
      <w:r w:rsidR="004A7182" w:rsidRPr="00ED2CEE">
        <w:t xml:space="preserve">FW. </w:t>
      </w:r>
      <w:r w:rsidR="00AF561A">
        <w:t xml:space="preserve">Two more treatments </w:t>
      </w:r>
      <w:r w:rsidR="004A7182" w:rsidRPr="00ED2CEE">
        <w:t>For Ein Hashlosha soil</w:t>
      </w:r>
      <w:r w:rsidR="00AF561A">
        <w:t xml:space="preserve"> will be added</w:t>
      </w:r>
      <w:r w:rsidR="003626D9">
        <w:t xml:space="preserve">: irrigation with </w:t>
      </w:r>
      <w:r w:rsidR="004A7182" w:rsidRPr="00ED2CEE">
        <w:t xml:space="preserve">TWW and biosolids </w:t>
      </w:r>
      <w:r w:rsidR="003626D9">
        <w:t xml:space="preserve">application </w:t>
      </w:r>
      <w:r w:rsidR="003626D9" w:rsidRPr="00ED2CEE">
        <w:t>(6</w:t>
      </w:r>
      <w:r w:rsidR="0048094E">
        <w:t>0</w:t>
      </w:r>
      <w:r w:rsidR="003626D9" w:rsidRPr="00ED2CEE">
        <w:t xml:space="preserve"> m</w:t>
      </w:r>
      <w:r w:rsidR="003626D9" w:rsidRPr="00ED2CEE">
        <w:rPr>
          <w:vertAlign w:val="superscript"/>
        </w:rPr>
        <w:t>3</w:t>
      </w:r>
      <w:r w:rsidR="003626D9" w:rsidRPr="00ED2CEE">
        <w:t xml:space="preserve"> </w:t>
      </w:r>
      <w:r w:rsidR="0048094E">
        <w:t>hectare</w:t>
      </w:r>
      <w:r w:rsidR="003626D9" w:rsidRPr="00ED2CEE">
        <w:rPr>
          <w:vertAlign w:val="superscript"/>
        </w:rPr>
        <w:t>-1</w:t>
      </w:r>
      <w:r w:rsidR="003626D9" w:rsidRPr="00ED2CEE">
        <w:t>)</w:t>
      </w:r>
      <w:r>
        <w:t>,</w:t>
      </w:r>
      <w:r w:rsidR="003626D9" w:rsidRPr="00ED2CEE">
        <w:t xml:space="preserve"> </w:t>
      </w:r>
      <w:r w:rsidR="004A7182" w:rsidRPr="00ED2CEE">
        <w:t xml:space="preserve">and </w:t>
      </w:r>
      <w:r w:rsidR="003626D9">
        <w:t>higher do</w:t>
      </w:r>
      <w:r w:rsidR="0048094E">
        <w:t>se</w:t>
      </w:r>
      <w:r w:rsidR="003626D9">
        <w:t xml:space="preserve"> of</w:t>
      </w:r>
      <w:r w:rsidR="0048094E">
        <w:t xml:space="preserve"> biosolids</w:t>
      </w:r>
      <w:r w:rsidR="003626D9">
        <w:t xml:space="preserve"> application </w:t>
      </w:r>
      <w:r w:rsidR="004A7182" w:rsidRPr="00ED2CEE">
        <w:t>(18</w:t>
      </w:r>
      <w:r w:rsidR="00745A40">
        <w:t>0</w:t>
      </w:r>
      <w:r w:rsidR="004A7182" w:rsidRPr="00ED2CEE">
        <w:t xml:space="preserve"> m</w:t>
      </w:r>
      <w:r w:rsidR="004A7182" w:rsidRPr="00ED2CEE">
        <w:rPr>
          <w:vertAlign w:val="superscript"/>
        </w:rPr>
        <w:t>3</w:t>
      </w:r>
      <w:r w:rsidR="004A7182" w:rsidRPr="00ED2CEE">
        <w:t xml:space="preserve"> </w:t>
      </w:r>
      <w:r w:rsidR="00745A40">
        <w:t>hectare</w:t>
      </w:r>
      <w:r w:rsidR="004A7182" w:rsidRPr="00ED2CEE">
        <w:rPr>
          <w:vertAlign w:val="superscript"/>
        </w:rPr>
        <w:t>-1</w:t>
      </w:r>
      <w:r w:rsidR="004A7182" w:rsidRPr="00ED2CEE">
        <w:t>) with FW</w:t>
      </w:r>
      <w:r w:rsidR="00745A40">
        <w:t xml:space="preserve"> irrigation</w:t>
      </w:r>
      <w:r w:rsidR="004A7182" w:rsidRPr="00ED2CEE">
        <w:t xml:space="preserve">. </w:t>
      </w:r>
      <w:r w:rsidR="0068563B" w:rsidRPr="00ED2CEE">
        <w:t xml:space="preserve">The experiment </w:t>
      </w:r>
      <w:r w:rsidR="00F916C0" w:rsidRPr="00ED2CEE">
        <w:t xml:space="preserve">will be </w:t>
      </w:r>
      <w:r w:rsidR="0068563B" w:rsidRPr="00ED2CEE">
        <w:t>perform</w:t>
      </w:r>
      <w:r w:rsidR="004A7182" w:rsidRPr="00ED2CEE">
        <w:t xml:space="preserve">ed in triplicates for each soil, </w:t>
      </w:r>
      <w:r w:rsidR="0068563B" w:rsidRPr="00ED2CEE">
        <w:t>water</w:t>
      </w:r>
      <w:r w:rsidR="004A7182" w:rsidRPr="00ED2CEE">
        <w:t xml:space="preserve"> and biosolids combination</w:t>
      </w:r>
      <w:r w:rsidR="0068563B" w:rsidRPr="00ED2CEE">
        <w:t>.</w:t>
      </w:r>
      <w:r w:rsidR="004D2C9A">
        <w:t xml:space="preserve"> </w:t>
      </w:r>
      <w:r w:rsidR="0068563B" w:rsidRPr="00ED2CEE">
        <w:t>To ensure exposure</w:t>
      </w:r>
      <w:r w:rsidR="00F916C0" w:rsidRPr="00ED2CEE">
        <w:t xml:space="preserve"> in the tomato experiment</w:t>
      </w:r>
      <w:r w:rsidR="0068563B" w:rsidRPr="00ED2CEE">
        <w:t xml:space="preserve">, </w:t>
      </w:r>
      <w:r w:rsidR="00283E9A" w:rsidRPr="00ED2CEE">
        <w:t>PCs</w:t>
      </w:r>
      <w:r w:rsidR="0068563B" w:rsidRPr="00ED2CEE">
        <w:t xml:space="preserve"> at environmentally relevant concentrations </w:t>
      </w:r>
      <w:r w:rsidR="00AF561A">
        <w:t>will be</w:t>
      </w:r>
      <w:r w:rsidR="00AF561A" w:rsidRPr="00ED2CEE">
        <w:t xml:space="preserve"> </w:t>
      </w:r>
      <w:r w:rsidR="0068563B" w:rsidRPr="00ED2CEE">
        <w:t>added to the treated wastewate</w:t>
      </w:r>
      <w:r>
        <w:t>r throughout the growing period</w:t>
      </w:r>
      <w:r w:rsidR="0068563B" w:rsidRPr="00ED2CEE">
        <w:t xml:space="preserve">. </w:t>
      </w:r>
      <w:r w:rsidR="00745A40">
        <w:t>C</w:t>
      </w:r>
      <w:r w:rsidR="0068563B" w:rsidRPr="00ED2CEE">
        <w:t>oncentration</w:t>
      </w:r>
      <w:r w:rsidR="00745A40">
        <w:t xml:space="preserve"> of </w:t>
      </w:r>
      <w:r>
        <w:t>the</w:t>
      </w:r>
      <w:r w:rsidR="00745A40">
        <w:t xml:space="preserve"> PC</w:t>
      </w:r>
      <w:r>
        <w:t>s</w:t>
      </w:r>
      <w:r w:rsidR="0068563B" w:rsidRPr="00ED2CEE">
        <w:t xml:space="preserve"> in </w:t>
      </w:r>
      <w:r w:rsidR="0011213C" w:rsidRPr="00ED2CEE">
        <w:t xml:space="preserve">the </w:t>
      </w:r>
      <w:r w:rsidR="0068563B" w:rsidRPr="00ED2CEE">
        <w:t xml:space="preserve">irrigation water </w:t>
      </w:r>
      <w:r w:rsidR="003626D9">
        <w:t>will be</w:t>
      </w:r>
      <w:r w:rsidR="003626D9" w:rsidRPr="00ED2CEE">
        <w:t xml:space="preserve"> </w:t>
      </w:r>
      <w:r w:rsidR="0068563B" w:rsidRPr="00ED2CEE">
        <w:t xml:space="preserve">measured throughout the </w:t>
      </w:r>
      <w:r w:rsidR="0068563B" w:rsidRPr="00ED2CEE">
        <w:lastRenderedPageBreak/>
        <w:t>growing season</w:t>
      </w:r>
      <w:r w:rsidR="004510C4" w:rsidRPr="00ED2CEE">
        <w:t>.</w:t>
      </w:r>
      <w:r w:rsidR="0068563B" w:rsidRPr="00ED2CEE">
        <w:t xml:space="preserve"> </w:t>
      </w:r>
      <w:r w:rsidR="004510C4" w:rsidRPr="00ED2CEE">
        <w:rPr>
          <w:szCs w:val="28"/>
        </w:rPr>
        <w:t xml:space="preserve">At harvest, </w:t>
      </w:r>
      <w:r w:rsidR="003626D9">
        <w:rPr>
          <w:szCs w:val="28"/>
        </w:rPr>
        <w:t xml:space="preserve">plant materials </w:t>
      </w:r>
      <w:r w:rsidR="004510C4" w:rsidRPr="00ED2CEE">
        <w:rPr>
          <w:szCs w:val="28"/>
        </w:rPr>
        <w:t>and soil samples (0−60 cm) will be collected from each lysimeter</w:t>
      </w:r>
      <w:r w:rsidR="003965B9" w:rsidRPr="00ED2CEE">
        <w:rPr>
          <w:szCs w:val="28"/>
        </w:rPr>
        <w:t>.</w:t>
      </w:r>
      <w:r w:rsidR="00D27097" w:rsidRPr="00ED2CEE">
        <w:rPr>
          <w:szCs w:val="28"/>
        </w:rPr>
        <w:t xml:space="preserve"> </w:t>
      </w:r>
    </w:p>
    <w:p w:rsidR="004358B0" w:rsidRDefault="004358B0" w:rsidP="004358B0">
      <w:pPr>
        <w:spacing w:before="240"/>
      </w:pPr>
      <w:r>
        <w:t>Table 1. Selected physicochemical properties of the different PCs investigated.</w:t>
      </w:r>
    </w:p>
    <w:tbl>
      <w:tblPr>
        <w:tblpPr w:leftFromText="180" w:rightFromText="180" w:vertAnchor="text" w:horzAnchor="margin" w:tblpXSpec="center" w:tblpY="14"/>
        <w:tblW w:w="10400" w:type="dxa"/>
        <w:tblLook w:val="04A0" w:firstRow="1" w:lastRow="0" w:firstColumn="1" w:lastColumn="0" w:noHBand="0" w:noVBand="1"/>
      </w:tblPr>
      <w:tblGrid>
        <w:gridCol w:w="1660"/>
        <w:gridCol w:w="1362"/>
        <w:gridCol w:w="1046"/>
        <w:gridCol w:w="1710"/>
        <w:gridCol w:w="748"/>
        <w:gridCol w:w="827"/>
        <w:gridCol w:w="773"/>
        <w:gridCol w:w="794"/>
        <w:gridCol w:w="1480"/>
      </w:tblGrid>
      <w:tr w:rsidR="004358B0" w:rsidRPr="00CE3881" w:rsidTr="00954343">
        <w:trPr>
          <w:trHeight w:val="276"/>
        </w:trPr>
        <w:tc>
          <w:tcPr>
            <w:tcW w:w="1660" w:type="dxa"/>
            <w:vMerge w:val="restart"/>
            <w:tcBorders>
              <w:top w:val="single" w:sz="8" w:space="0" w:color="auto"/>
              <w:bottom w:val="single" w:sz="8" w:space="0" w:color="000000"/>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Chemical</w:t>
            </w:r>
          </w:p>
        </w:tc>
        <w:tc>
          <w:tcPr>
            <w:tcW w:w="1362" w:type="dxa"/>
            <w:vMerge w:val="restart"/>
            <w:tcBorders>
              <w:top w:val="single" w:sz="8" w:space="0" w:color="auto"/>
              <w:left w:val="nil"/>
              <w:bottom w:val="single" w:sz="8" w:space="0" w:color="000000"/>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Formula</w:t>
            </w:r>
          </w:p>
        </w:tc>
        <w:tc>
          <w:tcPr>
            <w:tcW w:w="1046"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MW</w:t>
            </w:r>
          </w:p>
        </w:tc>
        <w:tc>
          <w:tcPr>
            <w:tcW w:w="1710" w:type="dxa"/>
            <w:vMerge w:val="restart"/>
            <w:tcBorders>
              <w:top w:val="single" w:sz="8" w:space="0" w:color="auto"/>
              <w:left w:val="nil"/>
              <w:bottom w:val="single" w:sz="8" w:space="0" w:color="000000"/>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Pr>
                <w:rFonts w:eastAsia="Times New Roman"/>
                <w:sz w:val="20"/>
                <w:szCs w:val="22"/>
              </w:rPr>
              <w:t>A</w:t>
            </w:r>
            <w:r w:rsidRPr="00534892">
              <w:rPr>
                <w:rFonts w:eastAsia="Times New Roman"/>
                <w:sz w:val="20"/>
                <w:szCs w:val="22"/>
              </w:rPr>
              <w:t>queous solubility (mg L</w:t>
            </w:r>
            <w:r w:rsidRPr="00534892">
              <w:rPr>
                <w:rFonts w:eastAsia="Times New Roman"/>
                <w:sz w:val="20"/>
                <w:szCs w:val="22"/>
                <w:vertAlign w:val="superscript"/>
              </w:rPr>
              <w:t>-1</w:t>
            </w:r>
            <w:r w:rsidRPr="00534892">
              <w:rPr>
                <w:rFonts w:eastAsia="Times New Roman"/>
                <w:sz w:val="20"/>
                <w:szCs w:val="22"/>
              </w:rPr>
              <w:t>)</w:t>
            </w:r>
          </w:p>
        </w:tc>
        <w:tc>
          <w:tcPr>
            <w:tcW w:w="748" w:type="dxa"/>
            <w:vMerge w:val="restart"/>
            <w:tcBorders>
              <w:top w:val="single" w:sz="8" w:space="0" w:color="auto"/>
              <w:left w:val="nil"/>
              <w:bottom w:val="single" w:sz="8" w:space="0" w:color="000000"/>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 xml:space="preserve">Log </w:t>
            </w:r>
            <w:r w:rsidRPr="00534892">
              <w:rPr>
                <w:rFonts w:eastAsia="Times New Roman"/>
                <w:i/>
                <w:iCs/>
                <w:sz w:val="20"/>
                <w:szCs w:val="22"/>
              </w:rPr>
              <w:t>K</w:t>
            </w:r>
            <w:r w:rsidRPr="00534892">
              <w:rPr>
                <w:rFonts w:eastAsia="Times New Roman"/>
                <w:sz w:val="20"/>
                <w:szCs w:val="22"/>
                <w:vertAlign w:val="subscript"/>
              </w:rPr>
              <w:t>ow</w:t>
            </w:r>
            <w:r w:rsidRPr="00534892">
              <w:rPr>
                <w:rFonts w:eastAsia="Times New Roman"/>
                <w:sz w:val="20"/>
                <w:szCs w:val="22"/>
              </w:rPr>
              <w:t>*</w:t>
            </w:r>
          </w:p>
        </w:tc>
        <w:tc>
          <w:tcPr>
            <w:tcW w:w="827" w:type="dxa"/>
            <w:vMerge w:val="restart"/>
            <w:tcBorders>
              <w:top w:val="single" w:sz="8" w:space="0" w:color="auto"/>
              <w:left w:val="nil"/>
              <w:bottom w:val="single" w:sz="8" w:space="0" w:color="000000"/>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p</w:t>
            </w:r>
            <w:r w:rsidRPr="00534892">
              <w:rPr>
                <w:rFonts w:eastAsia="Times New Roman"/>
                <w:i/>
                <w:iCs/>
                <w:sz w:val="20"/>
                <w:szCs w:val="22"/>
              </w:rPr>
              <w:t>K</w:t>
            </w:r>
            <w:r w:rsidRPr="00534892">
              <w:rPr>
                <w:rFonts w:eastAsia="Times New Roman"/>
                <w:sz w:val="20"/>
                <w:szCs w:val="22"/>
              </w:rPr>
              <w:t xml:space="preserve">a </w:t>
            </w:r>
          </w:p>
        </w:tc>
        <w:tc>
          <w:tcPr>
            <w:tcW w:w="773" w:type="dxa"/>
            <w:tcBorders>
              <w:top w:val="single" w:sz="8" w:space="0" w:color="auto"/>
              <w:left w:val="nil"/>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Log D</w:t>
            </w:r>
          </w:p>
        </w:tc>
        <w:tc>
          <w:tcPr>
            <w:tcW w:w="794" w:type="dxa"/>
            <w:tcBorders>
              <w:top w:val="single" w:sz="8" w:space="0" w:color="auto"/>
              <w:left w:val="nil"/>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Charge</w:t>
            </w:r>
          </w:p>
        </w:tc>
        <w:tc>
          <w:tcPr>
            <w:tcW w:w="1480" w:type="dxa"/>
            <w:vMerge w:val="restart"/>
            <w:tcBorders>
              <w:top w:val="single" w:sz="8" w:space="0" w:color="auto"/>
              <w:left w:val="nil"/>
              <w:bottom w:val="single" w:sz="8" w:space="0" w:color="000000"/>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Uses</w:t>
            </w:r>
          </w:p>
        </w:tc>
      </w:tr>
      <w:tr w:rsidR="004358B0" w:rsidRPr="00CE3881" w:rsidTr="00954343">
        <w:trPr>
          <w:trHeight w:val="288"/>
        </w:trPr>
        <w:tc>
          <w:tcPr>
            <w:tcW w:w="1660" w:type="dxa"/>
            <w:vMerge/>
            <w:tcBorders>
              <w:top w:val="single" w:sz="8" w:space="0" w:color="auto"/>
              <w:bottom w:val="single" w:sz="8" w:space="0" w:color="000000"/>
              <w:right w:val="nil"/>
            </w:tcBorders>
            <w:vAlign w:val="center"/>
            <w:hideMark/>
          </w:tcPr>
          <w:p w:rsidR="004358B0" w:rsidRPr="00534892" w:rsidRDefault="004358B0" w:rsidP="00954343">
            <w:pPr>
              <w:spacing w:line="276" w:lineRule="auto"/>
              <w:rPr>
                <w:rFonts w:eastAsia="Times New Roman"/>
                <w:sz w:val="20"/>
                <w:szCs w:val="22"/>
              </w:rPr>
            </w:pPr>
          </w:p>
        </w:tc>
        <w:tc>
          <w:tcPr>
            <w:tcW w:w="1362" w:type="dxa"/>
            <w:vMerge/>
            <w:tcBorders>
              <w:top w:val="single" w:sz="8" w:space="0" w:color="auto"/>
              <w:left w:val="nil"/>
              <w:bottom w:val="single" w:sz="8" w:space="0" w:color="000000"/>
              <w:right w:val="nil"/>
            </w:tcBorders>
            <w:vAlign w:val="center"/>
            <w:hideMark/>
          </w:tcPr>
          <w:p w:rsidR="004358B0" w:rsidRPr="00534892" w:rsidRDefault="004358B0" w:rsidP="00954343">
            <w:pPr>
              <w:spacing w:line="276" w:lineRule="auto"/>
              <w:rPr>
                <w:rFonts w:eastAsia="Times New Roman"/>
                <w:sz w:val="20"/>
                <w:szCs w:val="22"/>
              </w:rPr>
            </w:pPr>
          </w:p>
        </w:tc>
        <w:tc>
          <w:tcPr>
            <w:tcW w:w="1046" w:type="dxa"/>
            <w:tcBorders>
              <w:top w:val="nil"/>
              <w:left w:val="nil"/>
              <w:bottom w:val="single" w:sz="8" w:space="0" w:color="auto"/>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 xml:space="preserve"> (g mol</w:t>
            </w:r>
            <w:r w:rsidRPr="00534892">
              <w:rPr>
                <w:rFonts w:eastAsia="Times New Roman"/>
                <w:sz w:val="20"/>
                <w:szCs w:val="22"/>
                <w:vertAlign w:val="superscript"/>
              </w:rPr>
              <w:t>-1</w:t>
            </w:r>
            <w:r w:rsidRPr="00534892">
              <w:rPr>
                <w:rFonts w:eastAsia="Times New Roman"/>
                <w:sz w:val="20"/>
                <w:szCs w:val="22"/>
              </w:rPr>
              <w:t>)</w:t>
            </w:r>
          </w:p>
        </w:tc>
        <w:tc>
          <w:tcPr>
            <w:tcW w:w="1710" w:type="dxa"/>
            <w:vMerge/>
            <w:tcBorders>
              <w:top w:val="single" w:sz="8" w:space="0" w:color="auto"/>
              <w:left w:val="nil"/>
              <w:bottom w:val="single" w:sz="8" w:space="0" w:color="000000"/>
              <w:right w:val="nil"/>
            </w:tcBorders>
            <w:vAlign w:val="center"/>
            <w:hideMark/>
          </w:tcPr>
          <w:p w:rsidR="004358B0" w:rsidRPr="00534892" w:rsidRDefault="004358B0" w:rsidP="00954343">
            <w:pPr>
              <w:spacing w:line="276" w:lineRule="auto"/>
              <w:rPr>
                <w:rFonts w:eastAsia="Times New Roman"/>
                <w:sz w:val="20"/>
                <w:szCs w:val="22"/>
              </w:rPr>
            </w:pPr>
          </w:p>
        </w:tc>
        <w:tc>
          <w:tcPr>
            <w:tcW w:w="748" w:type="dxa"/>
            <w:vMerge/>
            <w:tcBorders>
              <w:top w:val="single" w:sz="8" w:space="0" w:color="auto"/>
              <w:left w:val="nil"/>
              <w:bottom w:val="single" w:sz="8" w:space="0" w:color="000000"/>
              <w:right w:val="nil"/>
            </w:tcBorders>
            <w:vAlign w:val="center"/>
            <w:hideMark/>
          </w:tcPr>
          <w:p w:rsidR="004358B0" w:rsidRPr="00534892" w:rsidRDefault="004358B0" w:rsidP="00954343">
            <w:pPr>
              <w:spacing w:line="276" w:lineRule="auto"/>
              <w:rPr>
                <w:rFonts w:eastAsia="Times New Roman"/>
                <w:sz w:val="20"/>
                <w:szCs w:val="22"/>
              </w:rPr>
            </w:pPr>
          </w:p>
        </w:tc>
        <w:tc>
          <w:tcPr>
            <w:tcW w:w="827" w:type="dxa"/>
            <w:vMerge/>
            <w:tcBorders>
              <w:top w:val="single" w:sz="8" w:space="0" w:color="auto"/>
              <w:left w:val="nil"/>
              <w:bottom w:val="single" w:sz="8" w:space="0" w:color="000000"/>
              <w:right w:val="nil"/>
            </w:tcBorders>
            <w:vAlign w:val="center"/>
            <w:hideMark/>
          </w:tcPr>
          <w:p w:rsidR="004358B0" w:rsidRPr="00534892" w:rsidRDefault="004358B0" w:rsidP="00954343">
            <w:pPr>
              <w:spacing w:line="276" w:lineRule="auto"/>
              <w:rPr>
                <w:rFonts w:eastAsia="Times New Roman"/>
                <w:sz w:val="20"/>
                <w:szCs w:val="22"/>
              </w:rPr>
            </w:pPr>
          </w:p>
        </w:tc>
        <w:tc>
          <w:tcPr>
            <w:tcW w:w="773" w:type="dxa"/>
            <w:tcBorders>
              <w:top w:val="nil"/>
              <w:left w:val="nil"/>
              <w:bottom w:val="single" w:sz="8" w:space="0" w:color="auto"/>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pH 6.5</w:t>
            </w:r>
          </w:p>
        </w:tc>
        <w:tc>
          <w:tcPr>
            <w:tcW w:w="794" w:type="dxa"/>
            <w:tcBorders>
              <w:top w:val="nil"/>
              <w:left w:val="nil"/>
              <w:bottom w:val="single" w:sz="8" w:space="0" w:color="auto"/>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pH 7</w:t>
            </w:r>
          </w:p>
        </w:tc>
        <w:tc>
          <w:tcPr>
            <w:tcW w:w="1480" w:type="dxa"/>
            <w:vMerge/>
            <w:tcBorders>
              <w:top w:val="single" w:sz="8" w:space="0" w:color="auto"/>
              <w:left w:val="nil"/>
              <w:bottom w:val="single" w:sz="8" w:space="0" w:color="000000"/>
            </w:tcBorders>
            <w:vAlign w:val="center"/>
            <w:hideMark/>
          </w:tcPr>
          <w:p w:rsidR="004358B0" w:rsidRPr="00534892" w:rsidRDefault="004358B0" w:rsidP="00954343">
            <w:pPr>
              <w:spacing w:line="276" w:lineRule="auto"/>
              <w:rPr>
                <w:rFonts w:eastAsia="Times New Roman"/>
                <w:sz w:val="20"/>
                <w:szCs w:val="22"/>
              </w:rPr>
            </w:pPr>
          </w:p>
        </w:tc>
      </w:tr>
      <w:tr w:rsidR="004358B0" w:rsidRPr="00CE3881" w:rsidTr="00954343">
        <w:trPr>
          <w:trHeight w:val="300"/>
        </w:trPr>
        <w:tc>
          <w:tcPr>
            <w:tcW w:w="1660" w:type="dxa"/>
            <w:tcBorders>
              <w:top w:val="nil"/>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Bezafibrate</w:t>
            </w:r>
          </w:p>
        </w:tc>
        <w:tc>
          <w:tcPr>
            <w:tcW w:w="1362"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19</w:t>
            </w:r>
            <w:r w:rsidRPr="00534892">
              <w:rPr>
                <w:rFonts w:eastAsia="Times New Roman"/>
                <w:sz w:val="20"/>
                <w:szCs w:val="22"/>
              </w:rPr>
              <w:t>H</w:t>
            </w:r>
            <w:r w:rsidRPr="00534892">
              <w:rPr>
                <w:rFonts w:eastAsia="Times New Roman"/>
                <w:sz w:val="20"/>
                <w:szCs w:val="22"/>
                <w:vertAlign w:val="subscript"/>
              </w:rPr>
              <w:t>20</w:t>
            </w:r>
            <w:r w:rsidRPr="00534892">
              <w:rPr>
                <w:rFonts w:eastAsia="Times New Roman"/>
                <w:sz w:val="20"/>
                <w:szCs w:val="22"/>
              </w:rPr>
              <w:t>ClNO</w:t>
            </w:r>
            <w:r w:rsidRPr="00534892">
              <w:rPr>
                <w:rFonts w:eastAsia="Times New Roman"/>
                <w:sz w:val="20"/>
                <w:szCs w:val="22"/>
                <w:vertAlign w:val="subscript"/>
              </w:rPr>
              <w:t>4</w:t>
            </w:r>
          </w:p>
        </w:tc>
        <w:tc>
          <w:tcPr>
            <w:tcW w:w="1046"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361.83</w:t>
            </w:r>
          </w:p>
        </w:tc>
        <w:tc>
          <w:tcPr>
            <w:tcW w:w="1710"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0.355</w:t>
            </w:r>
          </w:p>
        </w:tc>
        <w:tc>
          <w:tcPr>
            <w:tcW w:w="748"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4.25</w:t>
            </w:r>
          </w:p>
        </w:tc>
        <w:tc>
          <w:tcPr>
            <w:tcW w:w="827"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3.73</w:t>
            </w:r>
          </w:p>
        </w:tc>
        <w:tc>
          <w:tcPr>
            <w:tcW w:w="773"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1.13</w:t>
            </w:r>
          </w:p>
        </w:tc>
        <w:tc>
          <w:tcPr>
            <w:tcW w:w="794"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w:t>
            </w:r>
          </w:p>
        </w:tc>
        <w:tc>
          <w:tcPr>
            <w:tcW w:w="1480" w:type="dxa"/>
            <w:vMerge w:val="restart"/>
            <w:tcBorders>
              <w:top w:val="nil"/>
              <w:left w:val="nil"/>
              <w:bottom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Anti- lipedemic</w:t>
            </w:r>
          </w:p>
        </w:tc>
      </w:tr>
      <w:tr w:rsidR="004358B0" w:rsidRPr="00CE3881" w:rsidTr="00954343">
        <w:trPr>
          <w:trHeight w:val="300"/>
        </w:trPr>
        <w:tc>
          <w:tcPr>
            <w:tcW w:w="1660" w:type="dxa"/>
            <w:tcBorders>
              <w:top w:val="nil"/>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Pr>
                <w:rFonts w:eastAsia="Times New Roman"/>
                <w:sz w:val="20"/>
                <w:szCs w:val="22"/>
              </w:rPr>
              <w:t>C</w:t>
            </w:r>
            <w:r w:rsidRPr="00534892">
              <w:rPr>
                <w:rFonts w:eastAsia="Times New Roman"/>
                <w:sz w:val="20"/>
                <w:szCs w:val="22"/>
              </w:rPr>
              <w:t>lofibric acid</w:t>
            </w:r>
          </w:p>
        </w:tc>
        <w:tc>
          <w:tcPr>
            <w:tcW w:w="1362"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10</w:t>
            </w:r>
            <w:r w:rsidRPr="00534892">
              <w:rPr>
                <w:rFonts w:eastAsia="Times New Roman"/>
                <w:sz w:val="20"/>
                <w:szCs w:val="22"/>
              </w:rPr>
              <w:t>H</w:t>
            </w:r>
            <w:r w:rsidRPr="00534892">
              <w:rPr>
                <w:rFonts w:eastAsia="Times New Roman"/>
                <w:sz w:val="20"/>
                <w:szCs w:val="22"/>
                <w:vertAlign w:val="subscript"/>
              </w:rPr>
              <w:t>11</w:t>
            </w:r>
            <w:r w:rsidRPr="00534892">
              <w:rPr>
                <w:rFonts w:eastAsia="Times New Roman"/>
                <w:sz w:val="20"/>
                <w:szCs w:val="22"/>
              </w:rPr>
              <w:t>ClO</w:t>
            </w:r>
            <w:r w:rsidRPr="00534892">
              <w:rPr>
                <w:rFonts w:eastAsia="Times New Roman"/>
                <w:sz w:val="20"/>
                <w:szCs w:val="22"/>
                <w:vertAlign w:val="subscript"/>
              </w:rPr>
              <w:t>3</w:t>
            </w:r>
          </w:p>
        </w:tc>
        <w:tc>
          <w:tcPr>
            <w:tcW w:w="1046"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214.65</w:t>
            </w:r>
          </w:p>
        </w:tc>
        <w:tc>
          <w:tcPr>
            <w:tcW w:w="1710"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583</w:t>
            </w:r>
          </w:p>
        </w:tc>
        <w:tc>
          <w:tcPr>
            <w:tcW w:w="748"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2.57</w:t>
            </w:r>
          </w:p>
        </w:tc>
        <w:tc>
          <w:tcPr>
            <w:tcW w:w="827"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3.2</w:t>
            </w:r>
          </w:p>
        </w:tc>
        <w:tc>
          <w:tcPr>
            <w:tcW w:w="773"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0.14</w:t>
            </w:r>
          </w:p>
        </w:tc>
        <w:tc>
          <w:tcPr>
            <w:tcW w:w="794"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w:t>
            </w:r>
          </w:p>
        </w:tc>
        <w:tc>
          <w:tcPr>
            <w:tcW w:w="1480" w:type="dxa"/>
            <w:vMerge/>
            <w:tcBorders>
              <w:top w:val="nil"/>
              <w:left w:val="nil"/>
              <w:bottom w:val="nil"/>
            </w:tcBorders>
            <w:vAlign w:val="center"/>
            <w:hideMark/>
          </w:tcPr>
          <w:p w:rsidR="004358B0" w:rsidRPr="00534892" w:rsidRDefault="004358B0" w:rsidP="00954343">
            <w:pPr>
              <w:spacing w:line="276" w:lineRule="auto"/>
              <w:rPr>
                <w:rFonts w:eastAsia="Times New Roman"/>
                <w:sz w:val="20"/>
                <w:szCs w:val="22"/>
              </w:rPr>
            </w:pPr>
          </w:p>
        </w:tc>
      </w:tr>
      <w:tr w:rsidR="004358B0" w:rsidRPr="00CE3881" w:rsidTr="00954343">
        <w:trPr>
          <w:trHeight w:val="312"/>
        </w:trPr>
        <w:tc>
          <w:tcPr>
            <w:tcW w:w="1660" w:type="dxa"/>
            <w:tcBorders>
              <w:top w:val="nil"/>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Gemfibrozil</w:t>
            </w:r>
          </w:p>
        </w:tc>
        <w:tc>
          <w:tcPr>
            <w:tcW w:w="1362"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15</w:t>
            </w:r>
            <w:r w:rsidRPr="00534892">
              <w:rPr>
                <w:rFonts w:eastAsia="Times New Roman"/>
                <w:sz w:val="20"/>
                <w:szCs w:val="22"/>
              </w:rPr>
              <w:t>H</w:t>
            </w:r>
            <w:r w:rsidRPr="00534892">
              <w:rPr>
                <w:rFonts w:eastAsia="Times New Roman"/>
                <w:sz w:val="20"/>
                <w:szCs w:val="22"/>
                <w:vertAlign w:val="subscript"/>
              </w:rPr>
              <w:t>22</w:t>
            </w:r>
            <w:r w:rsidRPr="00534892">
              <w:rPr>
                <w:rFonts w:eastAsia="Times New Roman"/>
                <w:sz w:val="20"/>
                <w:szCs w:val="22"/>
              </w:rPr>
              <w:t>O</w:t>
            </w:r>
            <w:r w:rsidRPr="00534892">
              <w:rPr>
                <w:rFonts w:eastAsia="Times New Roman"/>
                <w:sz w:val="20"/>
                <w:szCs w:val="22"/>
                <w:vertAlign w:val="subscript"/>
              </w:rPr>
              <w:t>3</w:t>
            </w:r>
          </w:p>
        </w:tc>
        <w:tc>
          <w:tcPr>
            <w:tcW w:w="1046"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250.34</w:t>
            </w:r>
          </w:p>
        </w:tc>
        <w:tc>
          <w:tcPr>
            <w:tcW w:w="1710"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10.9</w:t>
            </w:r>
          </w:p>
        </w:tc>
        <w:tc>
          <w:tcPr>
            <w:tcW w:w="748"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4.77</w:t>
            </w:r>
          </w:p>
        </w:tc>
        <w:tc>
          <w:tcPr>
            <w:tcW w:w="827"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4.48</w:t>
            </w:r>
          </w:p>
        </w:tc>
        <w:tc>
          <w:tcPr>
            <w:tcW w:w="773"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2.23</w:t>
            </w:r>
          </w:p>
        </w:tc>
        <w:tc>
          <w:tcPr>
            <w:tcW w:w="794"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w:t>
            </w:r>
          </w:p>
        </w:tc>
        <w:tc>
          <w:tcPr>
            <w:tcW w:w="1480" w:type="dxa"/>
            <w:vMerge/>
            <w:tcBorders>
              <w:top w:val="nil"/>
              <w:left w:val="nil"/>
              <w:bottom w:val="nil"/>
            </w:tcBorders>
            <w:vAlign w:val="center"/>
            <w:hideMark/>
          </w:tcPr>
          <w:p w:rsidR="004358B0" w:rsidRPr="00534892" w:rsidRDefault="004358B0" w:rsidP="00954343">
            <w:pPr>
              <w:spacing w:line="276" w:lineRule="auto"/>
              <w:rPr>
                <w:rFonts w:eastAsia="Times New Roman"/>
                <w:sz w:val="20"/>
                <w:szCs w:val="22"/>
              </w:rPr>
            </w:pPr>
          </w:p>
        </w:tc>
      </w:tr>
      <w:tr w:rsidR="004358B0" w:rsidRPr="00CE3881" w:rsidTr="00954343">
        <w:trPr>
          <w:trHeight w:val="735"/>
        </w:trPr>
        <w:tc>
          <w:tcPr>
            <w:tcW w:w="1660" w:type="dxa"/>
            <w:tcBorders>
              <w:top w:val="single" w:sz="8" w:space="0" w:color="auto"/>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Diclofenac</w:t>
            </w:r>
          </w:p>
        </w:tc>
        <w:tc>
          <w:tcPr>
            <w:tcW w:w="1362"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14</w:t>
            </w:r>
            <w:r w:rsidRPr="00534892">
              <w:rPr>
                <w:rFonts w:eastAsia="Times New Roman"/>
                <w:sz w:val="20"/>
                <w:szCs w:val="22"/>
              </w:rPr>
              <w:t>H</w:t>
            </w:r>
            <w:r w:rsidRPr="00534892">
              <w:rPr>
                <w:rFonts w:eastAsia="Times New Roman"/>
                <w:sz w:val="20"/>
                <w:szCs w:val="22"/>
                <w:vertAlign w:val="subscript"/>
              </w:rPr>
              <w:t>11</w:t>
            </w:r>
            <w:r w:rsidRPr="00534892">
              <w:rPr>
                <w:rFonts w:eastAsia="Times New Roman"/>
                <w:sz w:val="20"/>
                <w:szCs w:val="22"/>
              </w:rPr>
              <w:t>Cl</w:t>
            </w:r>
            <w:r w:rsidRPr="00534892">
              <w:rPr>
                <w:rFonts w:eastAsia="Times New Roman"/>
                <w:sz w:val="20"/>
                <w:szCs w:val="22"/>
                <w:vertAlign w:val="subscript"/>
              </w:rPr>
              <w:t>2</w:t>
            </w:r>
            <w:r w:rsidRPr="00534892">
              <w:rPr>
                <w:rFonts w:eastAsia="Times New Roman"/>
                <w:sz w:val="20"/>
                <w:szCs w:val="22"/>
              </w:rPr>
              <w:t>NO</w:t>
            </w:r>
            <w:r w:rsidRPr="00534892">
              <w:rPr>
                <w:rFonts w:eastAsia="Times New Roman"/>
                <w:sz w:val="20"/>
                <w:szCs w:val="22"/>
                <w:vertAlign w:val="subscript"/>
              </w:rPr>
              <w:t>2</w:t>
            </w:r>
          </w:p>
        </w:tc>
        <w:tc>
          <w:tcPr>
            <w:tcW w:w="1046"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296.16</w:t>
            </w:r>
          </w:p>
        </w:tc>
        <w:tc>
          <w:tcPr>
            <w:tcW w:w="1710"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2.37</w:t>
            </w:r>
          </w:p>
        </w:tc>
        <w:tc>
          <w:tcPr>
            <w:tcW w:w="748"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4.51</w:t>
            </w:r>
          </w:p>
        </w:tc>
        <w:tc>
          <w:tcPr>
            <w:tcW w:w="827"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4.15</w:t>
            </w:r>
          </w:p>
        </w:tc>
        <w:tc>
          <w:tcPr>
            <w:tcW w:w="773"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2.43</w:t>
            </w:r>
          </w:p>
        </w:tc>
        <w:tc>
          <w:tcPr>
            <w:tcW w:w="794"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w:t>
            </w:r>
          </w:p>
        </w:tc>
        <w:tc>
          <w:tcPr>
            <w:tcW w:w="1480" w:type="dxa"/>
            <w:vMerge w:val="restart"/>
            <w:tcBorders>
              <w:top w:val="single" w:sz="8" w:space="0" w:color="auto"/>
              <w:left w:val="nil"/>
              <w:bottom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Anti-inflammatory agent</w:t>
            </w:r>
          </w:p>
        </w:tc>
      </w:tr>
      <w:tr w:rsidR="004358B0" w:rsidRPr="00CE3881" w:rsidTr="00954343">
        <w:trPr>
          <w:trHeight w:val="300"/>
        </w:trPr>
        <w:tc>
          <w:tcPr>
            <w:tcW w:w="1660" w:type="dxa"/>
            <w:tcBorders>
              <w:top w:val="nil"/>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Ibuprofen</w:t>
            </w:r>
          </w:p>
        </w:tc>
        <w:tc>
          <w:tcPr>
            <w:tcW w:w="1362"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13</w:t>
            </w:r>
            <w:r w:rsidRPr="00534892">
              <w:rPr>
                <w:rFonts w:eastAsia="Times New Roman"/>
                <w:sz w:val="20"/>
                <w:szCs w:val="22"/>
              </w:rPr>
              <w:t>H</w:t>
            </w:r>
            <w:r w:rsidRPr="00534892">
              <w:rPr>
                <w:rFonts w:eastAsia="Times New Roman"/>
                <w:sz w:val="20"/>
                <w:szCs w:val="22"/>
                <w:vertAlign w:val="subscript"/>
              </w:rPr>
              <w:t>19</w:t>
            </w:r>
            <w:r w:rsidRPr="00534892">
              <w:rPr>
                <w:rFonts w:eastAsia="Times New Roman"/>
                <w:sz w:val="20"/>
                <w:szCs w:val="22"/>
              </w:rPr>
              <w:t>O</w:t>
            </w:r>
            <w:r w:rsidRPr="00534892">
              <w:rPr>
                <w:rFonts w:eastAsia="Times New Roman"/>
                <w:sz w:val="20"/>
                <w:szCs w:val="22"/>
                <w:vertAlign w:val="subscript"/>
              </w:rPr>
              <w:t>2</w:t>
            </w:r>
          </w:p>
        </w:tc>
        <w:tc>
          <w:tcPr>
            <w:tcW w:w="1046"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206.29</w:t>
            </w:r>
          </w:p>
        </w:tc>
        <w:tc>
          <w:tcPr>
            <w:tcW w:w="1710"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21</w:t>
            </w:r>
          </w:p>
        </w:tc>
        <w:tc>
          <w:tcPr>
            <w:tcW w:w="748"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3.97</w:t>
            </w:r>
          </w:p>
        </w:tc>
        <w:tc>
          <w:tcPr>
            <w:tcW w:w="827"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4.91</w:t>
            </w:r>
          </w:p>
        </w:tc>
        <w:tc>
          <w:tcPr>
            <w:tcW w:w="773"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1.44</w:t>
            </w:r>
          </w:p>
        </w:tc>
        <w:tc>
          <w:tcPr>
            <w:tcW w:w="794"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w:t>
            </w:r>
          </w:p>
        </w:tc>
        <w:tc>
          <w:tcPr>
            <w:tcW w:w="1480" w:type="dxa"/>
            <w:vMerge/>
            <w:tcBorders>
              <w:top w:val="single" w:sz="8" w:space="0" w:color="auto"/>
              <w:left w:val="nil"/>
              <w:bottom w:val="nil"/>
            </w:tcBorders>
            <w:vAlign w:val="center"/>
            <w:hideMark/>
          </w:tcPr>
          <w:p w:rsidR="004358B0" w:rsidRPr="00534892" w:rsidRDefault="004358B0" w:rsidP="00954343">
            <w:pPr>
              <w:spacing w:line="276" w:lineRule="auto"/>
              <w:rPr>
                <w:rFonts w:eastAsia="Times New Roman"/>
                <w:sz w:val="20"/>
                <w:szCs w:val="22"/>
              </w:rPr>
            </w:pPr>
          </w:p>
        </w:tc>
      </w:tr>
      <w:tr w:rsidR="004358B0" w:rsidRPr="00CE3881" w:rsidTr="00954343">
        <w:trPr>
          <w:trHeight w:val="495"/>
        </w:trPr>
        <w:tc>
          <w:tcPr>
            <w:tcW w:w="1660" w:type="dxa"/>
            <w:tcBorders>
              <w:top w:val="nil"/>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Ketoprofen</w:t>
            </w:r>
          </w:p>
        </w:tc>
        <w:tc>
          <w:tcPr>
            <w:tcW w:w="1362"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16</w:t>
            </w:r>
            <w:r w:rsidRPr="00534892">
              <w:rPr>
                <w:rFonts w:eastAsia="Times New Roman"/>
                <w:sz w:val="20"/>
                <w:szCs w:val="22"/>
              </w:rPr>
              <w:t>H</w:t>
            </w:r>
            <w:r w:rsidRPr="00534892">
              <w:rPr>
                <w:rFonts w:eastAsia="Times New Roman"/>
                <w:sz w:val="20"/>
                <w:szCs w:val="22"/>
                <w:vertAlign w:val="subscript"/>
              </w:rPr>
              <w:t>14</w:t>
            </w:r>
            <w:r w:rsidRPr="00534892">
              <w:rPr>
                <w:rFonts w:eastAsia="Times New Roman"/>
                <w:sz w:val="20"/>
                <w:szCs w:val="22"/>
              </w:rPr>
              <w:t>O</w:t>
            </w:r>
            <w:r w:rsidRPr="00534892">
              <w:rPr>
                <w:rFonts w:eastAsia="Times New Roman"/>
                <w:sz w:val="20"/>
                <w:szCs w:val="22"/>
                <w:vertAlign w:val="subscript"/>
              </w:rPr>
              <w:t>3</w:t>
            </w:r>
          </w:p>
        </w:tc>
        <w:tc>
          <w:tcPr>
            <w:tcW w:w="1046"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254.29</w:t>
            </w:r>
          </w:p>
        </w:tc>
        <w:tc>
          <w:tcPr>
            <w:tcW w:w="1710"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51</w:t>
            </w:r>
          </w:p>
        </w:tc>
        <w:tc>
          <w:tcPr>
            <w:tcW w:w="748"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3.12</w:t>
            </w:r>
          </w:p>
        </w:tc>
        <w:tc>
          <w:tcPr>
            <w:tcW w:w="827"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4.45</w:t>
            </w:r>
          </w:p>
        </w:tc>
        <w:tc>
          <w:tcPr>
            <w:tcW w:w="773"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0.51</w:t>
            </w:r>
          </w:p>
        </w:tc>
        <w:tc>
          <w:tcPr>
            <w:tcW w:w="794"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w:t>
            </w:r>
          </w:p>
        </w:tc>
        <w:tc>
          <w:tcPr>
            <w:tcW w:w="1480" w:type="dxa"/>
            <w:vMerge/>
            <w:tcBorders>
              <w:top w:val="single" w:sz="8" w:space="0" w:color="auto"/>
              <w:left w:val="nil"/>
              <w:bottom w:val="nil"/>
            </w:tcBorders>
            <w:vAlign w:val="center"/>
            <w:hideMark/>
          </w:tcPr>
          <w:p w:rsidR="004358B0" w:rsidRPr="00534892" w:rsidRDefault="004358B0" w:rsidP="00954343">
            <w:pPr>
              <w:spacing w:line="276" w:lineRule="auto"/>
              <w:rPr>
                <w:rFonts w:eastAsia="Times New Roman"/>
                <w:sz w:val="20"/>
                <w:szCs w:val="22"/>
              </w:rPr>
            </w:pPr>
          </w:p>
        </w:tc>
      </w:tr>
      <w:tr w:rsidR="004358B0" w:rsidRPr="00CE3881" w:rsidTr="00954343">
        <w:trPr>
          <w:trHeight w:val="312"/>
        </w:trPr>
        <w:tc>
          <w:tcPr>
            <w:tcW w:w="1660" w:type="dxa"/>
            <w:tcBorders>
              <w:top w:val="nil"/>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Naproxen</w:t>
            </w:r>
          </w:p>
        </w:tc>
        <w:tc>
          <w:tcPr>
            <w:tcW w:w="1362"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14</w:t>
            </w:r>
            <w:r w:rsidRPr="00534892">
              <w:rPr>
                <w:rFonts w:eastAsia="Times New Roman"/>
                <w:sz w:val="20"/>
                <w:szCs w:val="22"/>
              </w:rPr>
              <w:t>H</w:t>
            </w:r>
            <w:r w:rsidRPr="00534892">
              <w:rPr>
                <w:rFonts w:eastAsia="Times New Roman"/>
                <w:sz w:val="20"/>
                <w:szCs w:val="22"/>
                <w:vertAlign w:val="subscript"/>
              </w:rPr>
              <w:t>14</w:t>
            </w:r>
            <w:r w:rsidRPr="00534892">
              <w:rPr>
                <w:rFonts w:eastAsia="Times New Roman"/>
                <w:sz w:val="20"/>
                <w:szCs w:val="22"/>
              </w:rPr>
              <w:t>O</w:t>
            </w:r>
            <w:r w:rsidRPr="00534892">
              <w:rPr>
                <w:rFonts w:eastAsia="Times New Roman"/>
                <w:sz w:val="20"/>
                <w:szCs w:val="22"/>
                <w:vertAlign w:val="subscript"/>
              </w:rPr>
              <w:t>3</w:t>
            </w:r>
          </w:p>
        </w:tc>
        <w:tc>
          <w:tcPr>
            <w:tcW w:w="1046"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230.27</w:t>
            </w:r>
          </w:p>
        </w:tc>
        <w:tc>
          <w:tcPr>
            <w:tcW w:w="1710"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15.9</w:t>
            </w:r>
          </w:p>
        </w:tc>
        <w:tc>
          <w:tcPr>
            <w:tcW w:w="748"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3.18</w:t>
            </w:r>
          </w:p>
        </w:tc>
        <w:tc>
          <w:tcPr>
            <w:tcW w:w="827"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4.15</w:t>
            </w:r>
          </w:p>
        </w:tc>
        <w:tc>
          <w:tcPr>
            <w:tcW w:w="773"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1.12</w:t>
            </w:r>
          </w:p>
        </w:tc>
        <w:tc>
          <w:tcPr>
            <w:tcW w:w="794"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w:t>
            </w:r>
          </w:p>
        </w:tc>
        <w:tc>
          <w:tcPr>
            <w:tcW w:w="1480" w:type="dxa"/>
            <w:vMerge/>
            <w:tcBorders>
              <w:top w:val="single" w:sz="8" w:space="0" w:color="auto"/>
              <w:left w:val="nil"/>
              <w:bottom w:val="nil"/>
            </w:tcBorders>
            <w:vAlign w:val="center"/>
            <w:hideMark/>
          </w:tcPr>
          <w:p w:rsidR="004358B0" w:rsidRPr="00534892" w:rsidRDefault="004358B0" w:rsidP="00954343">
            <w:pPr>
              <w:spacing w:line="276" w:lineRule="auto"/>
              <w:rPr>
                <w:rFonts w:eastAsia="Times New Roman"/>
                <w:sz w:val="20"/>
                <w:szCs w:val="22"/>
              </w:rPr>
            </w:pPr>
          </w:p>
        </w:tc>
      </w:tr>
      <w:tr w:rsidR="004358B0" w:rsidRPr="00CE3881" w:rsidTr="00954343">
        <w:trPr>
          <w:trHeight w:val="495"/>
        </w:trPr>
        <w:tc>
          <w:tcPr>
            <w:tcW w:w="1660" w:type="dxa"/>
            <w:tcBorders>
              <w:top w:val="single" w:sz="8" w:space="0" w:color="auto"/>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Carbamazepine</w:t>
            </w:r>
          </w:p>
        </w:tc>
        <w:tc>
          <w:tcPr>
            <w:tcW w:w="1362"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15</w:t>
            </w:r>
            <w:r w:rsidRPr="00534892">
              <w:rPr>
                <w:rFonts w:eastAsia="Times New Roman"/>
                <w:sz w:val="20"/>
                <w:szCs w:val="22"/>
              </w:rPr>
              <w:t>H</w:t>
            </w:r>
            <w:r w:rsidRPr="00534892">
              <w:rPr>
                <w:rFonts w:eastAsia="Times New Roman"/>
                <w:sz w:val="20"/>
                <w:szCs w:val="22"/>
                <w:vertAlign w:val="subscript"/>
              </w:rPr>
              <w:t>12</w:t>
            </w:r>
            <w:r w:rsidRPr="00534892">
              <w:rPr>
                <w:rFonts w:eastAsia="Times New Roman"/>
                <w:sz w:val="20"/>
                <w:szCs w:val="22"/>
              </w:rPr>
              <w:t>N</w:t>
            </w:r>
            <w:r w:rsidRPr="00534892">
              <w:rPr>
                <w:rFonts w:eastAsia="Times New Roman"/>
                <w:sz w:val="20"/>
                <w:szCs w:val="22"/>
                <w:vertAlign w:val="subscript"/>
              </w:rPr>
              <w:t>2</w:t>
            </w:r>
            <w:r w:rsidRPr="00534892">
              <w:rPr>
                <w:rFonts w:eastAsia="Times New Roman"/>
                <w:sz w:val="20"/>
                <w:szCs w:val="22"/>
              </w:rPr>
              <w:t>O</w:t>
            </w:r>
          </w:p>
        </w:tc>
        <w:tc>
          <w:tcPr>
            <w:tcW w:w="1046"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236.27</w:t>
            </w:r>
          </w:p>
        </w:tc>
        <w:tc>
          <w:tcPr>
            <w:tcW w:w="1710"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112</w:t>
            </w:r>
          </w:p>
        </w:tc>
        <w:tc>
          <w:tcPr>
            <w:tcW w:w="748"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2.45</w:t>
            </w:r>
          </w:p>
        </w:tc>
        <w:tc>
          <w:tcPr>
            <w:tcW w:w="827"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w:t>
            </w:r>
          </w:p>
        </w:tc>
        <w:tc>
          <w:tcPr>
            <w:tcW w:w="773"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2.23</w:t>
            </w:r>
          </w:p>
        </w:tc>
        <w:tc>
          <w:tcPr>
            <w:tcW w:w="794"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w:t>
            </w:r>
          </w:p>
        </w:tc>
        <w:tc>
          <w:tcPr>
            <w:tcW w:w="1480" w:type="dxa"/>
            <w:vMerge w:val="restart"/>
            <w:tcBorders>
              <w:top w:val="single" w:sz="8" w:space="0" w:color="auto"/>
              <w:left w:val="nil"/>
              <w:bottom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 xml:space="preserve">Anti-convulsant </w:t>
            </w:r>
          </w:p>
        </w:tc>
      </w:tr>
      <w:tr w:rsidR="004358B0" w:rsidRPr="00CE3881" w:rsidTr="00954343">
        <w:trPr>
          <w:trHeight w:val="312"/>
        </w:trPr>
        <w:tc>
          <w:tcPr>
            <w:tcW w:w="1660" w:type="dxa"/>
            <w:tcBorders>
              <w:top w:val="nil"/>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Lamotrigine</w:t>
            </w:r>
          </w:p>
        </w:tc>
        <w:tc>
          <w:tcPr>
            <w:tcW w:w="1362"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9</w:t>
            </w:r>
            <w:r w:rsidRPr="00534892">
              <w:rPr>
                <w:rFonts w:eastAsia="Times New Roman"/>
                <w:sz w:val="20"/>
                <w:szCs w:val="22"/>
              </w:rPr>
              <w:t>H</w:t>
            </w:r>
            <w:r w:rsidRPr="00534892">
              <w:rPr>
                <w:rFonts w:eastAsia="Times New Roman"/>
                <w:sz w:val="20"/>
                <w:szCs w:val="22"/>
                <w:vertAlign w:val="subscript"/>
              </w:rPr>
              <w:t>7</w:t>
            </w:r>
            <w:r w:rsidRPr="00534892">
              <w:rPr>
                <w:rFonts w:eastAsia="Times New Roman"/>
                <w:sz w:val="20"/>
                <w:szCs w:val="22"/>
              </w:rPr>
              <w:t>Cl</w:t>
            </w:r>
            <w:r w:rsidRPr="00534892">
              <w:rPr>
                <w:rFonts w:eastAsia="Times New Roman"/>
                <w:sz w:val="20"/>
                <w:szCs w:val="22"/>
                <w:vertAlign w:val="subscript"/>
              </w:rPr>
              <w:t>2</w:t>
            </w:r>
            <w:r w:rsidRPr="00534892">
              <w:rPr>
                <w:rFonts w:eastAsia="Times New Roman"/>
                <w:sz w:val="20"/>
                <w:szCs w:val="22"/>
              </w:rPr>
              <w:t>N</w:t>
            </w:r>
            <w:r w:rsidRPr="00534892">
              <w:rPr>
                <w:rFonts w:eastAsia="Times New Roman"/>
                <w:sz w:val="20"/>
                <w:szCs w:val="22"/>
                <w:vertAlign w:val="subscript"/>
              </w:rPr>
              <w:t>5</w:t>
            </w:r>
          </w:p>
        </w:tc>
        <w:tc>
          <w:tcPr>
            <w:tcW w:w="1046"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256.1</w:t>
            </w:r>
          </w:p>
        </w:tc>
        <w:tc>
          <w:tcPr>
            <w:tcW w:w="1710"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488</w:t>
            </w:r>
          </w:p>
        </w:tc>
        <w:tc>
          <w:tcPr>
            <w:tcW w:w="748"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2.57</w:t>
            </w:r>
          </w:p>
        </w:tc>
        <w:tc>
          <w:tcPr>
            <w:tcW w:w="827"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5.3</w:t>
            </w:r>
          </w:p>
        </w:tc>
        <w:tc>
          <w:tcPr>
            <w:tcW w:w="773"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2.08</w:t>
            </w:r>
          </w:p>
        </w:tc>
        <w:tc>
          <w:tcPr>
            <w:tcW w:w="794"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w:t>
            </w:r>
          </w:p>
        </w:tc>
        <w:tc>
          <w:tcPr>
            <w:tcW w:w="1480" w:type="dxa"/>
            <w:vMerge/>
            <w:tcBorders>
              <w:top w:val="single" w:sz="8" w:space="0" w:color="auto"/>
              <w:left w:val="nil"/>
              <w:bottom w:val="nil"/>
            </w:tcBorders>
            <w:vAlign w:val="center"/>
            <w:hideMark/>
          </w:tcPr>
          <w:p w:rsidR="004358B0" w:rsidRPr="00534892" w:rsidRDefault="004358B0" w:rsidP="00954343">
            <w:pPr>
              <w:spacing w:line="276" w:lineRule="auto"/>
              <w:rPr>
                <w:rFonts w:eastAsia="Times New Roman"/>
                <w:sz w:val="20"/>
                <w:szCs w:val="22"/>
              </w:rPr>
            </w:pPr>
          </w:p>
        </w:tc>
      </w:tr>
      <w:tr w:rsidR="004358B0" w:rsidRPr="00CE3881" w:rsidTr="00954343">
        <w:trPr>
          <w:trHeight w:val="312"/>
        </w:trPr>
        <w:tc>
          <w:tcPr>
            <w:tcW w:w="1660" w:type="dxa"/>
            <w:tcBorders>
              <w:top w:val="single" w:sz="8" w:space="0" w:color="auto"/>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Caffeine</w:t>
            </w:r>
          </w:p>
        </w:tc>
        <w:tc>
          <w:tcPr>
            <w:tcW w:w="1362"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8</w:t>
            </w:r>
            <w:r w:rsidRPr="00534892">
              <w:rPr>
                <w:rFonts w:eastAsia="Times New Roman"/>
                <w:sz w:val="20"/>
                <w:szCs w:val="22"/>
              </w:rPr>
              <w:t>H</w:t>
            </w:r>
            <w:r w:rsidRPr="00534892">
              <w:rPr>
                <w:rFonts w:eastAsia="Times New Roman"/>
                <w:sz w:val="20"/>
                <w:szCs w:val="22"/>
                <w:vertAlign w:val="subscript"/>
              </w:rPr>
              <w:t>10</w:t>
            </w:r>
            <w:r w:rsidRPr="00534892">
              <w:rPr>
                <w:rFonts w:eastAsia="Times New Roman"/>
                <w:sz w:val="20"/>
                <w:szCs w:val="22"/>
              </w:rPr>
              <w:t>N</w:t>
            </w:r>
            <w:r w:rsidRPr="00534892">
              <w:rPr>
                <w:rFonts w:eastAsia="Times New Roman"/>
                <w:sz w:val="20"/>
                <w:szCs w:val="22"/>
                <w:vertAlign w:val="subscript"/>
              </w:rPr>
              <w:t>4</w:t>
            </w:r>
            <w:r w:rsidRPr="00534892">
              <w:rPr>
                <w:rFonts w:eastAsia="Times New Roman"/>
                <w:sz w:val="20"/>
                <w:szCs w:val="22"/>
              </w:rPr>
              <w:t>O</w:t>
            </w:r>
            <w:r w:rsidRPr="00534892">
              <w:rPr>
                <w:rFonts w:eastAsia="Times New Roman"/>
                <w:sz w:val="20"/>
                <w:szCs w:val="22"/>
                <w:vertAlign w:val="subscript"/>
              </w:rPr>
              <w:t>2</w:t>
            </w:r>
          </w:p>
        </w:tc>
        <w:tc>
          <w:tcPr>
            <w:tcW w:w="1046"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194.19</w:t>
            </w:r>
          </w:p>
        </w:tc>
        <w:tc>
          <w:tcPr>
            <w:tcW w:w="1710"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2.06</w:t>
            </w:r>
            <w:r>
              <w:rPr>
                <w:rFonts w:eastAsia="Times New Roman" w:cs="Times New Roman"/>
                <w:sz w:val="20"/>
                <w:szCs w:val="22"/>
              </w:rPr>
              <w:t>×</w:t>
            </w:r>
            <w:r w:rsidRPr="00534892">
              <w:rPr>
                <w:rFonts w:eastAsia="Times New Roman"/>
                <w:sz w:val="20"/>
                <w:szCs w:val="22"/>
              </w:rPr>
              <w:t>10</w:t>
            </w:r>
            <w:r w:rsidRPr="00405190">
              <w:rPr>
                <w:rFonts w:eastAsia="Times New Roman"/>
                <w:sz w:val="20"/>
                <w:szCs w:val="22"/>
                <w:vertAlign w:val="superscript"/>
              </w:rPr>
              <w:t>4</w:t>
            </w:r>
          </w:p>
        </w:tc>
        <w:tc>
          <w:tcPr>
            <w:tcW w:w="748"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-0.07</w:t>
            </w:r>
          </w:p>
        </w:tc>
        <w:tc>
          <w:tcPr>
            <w:tcW w:w="827"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10.4</w:t>
            </w:r>
          </w:p>
        </w:tc>
        <w:tc>
          <w:tcPr>
            <w:tcW w:w="773"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0.11</w:t>
            </w:r>
          </w:p>
        </w:tc>
        <w:tc>
          <w:tcPr>
            <w:tcW w:w="794"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w:t>
            </w:r>
          </w:p>
        </w:tc>
        <w:tc>
          <w:tcPr>
            <w:tcW w:w="1480" w:type="dxa"/>
            <w:tcBorders>
              <w:top w:val="single" w:sz="8" w:space="0" w:color="auto"/>
              <w:left w:val="nil"/>
              <w:bottom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stimulant</w:t>
            </w:r>
          </w:p>
        </w:tc>
      </w:tr>
      <w:tr w:rsidR="004358B0" w:rsidRPr="00CE3881" w:rsidTr="00954343">
        <w:trPr>
          <w:trHeight w:val="315"/>
        </w:trPr>
        <w:tc>
          <w:tcPr>
            <w:tcW w:w="1660" w:type="dxa"/>
            <w:tcBorders>
              <w:top w:val="single" w:sz="8" w:space="0" w:color="auto"/>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Metoprolol</w:t>
            </w:r>
          </w:p>
        </w:tc>
        <w:tc>
          <w:tcPr>
            <w:tcW w:w="1362"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15</w:t>
            </w:r>
            <w:r w:rsidRPr="00534892">
              <w:rPr>
                <w:rFonts w:eastAsia="Times New Roman"/>
                <w:sz w:val="20"/>
                <w:szCs w:val="22"/>
              </w:rPr>
              <w:t>H</w:t>
            </w:r>
            <w:r w:rsidRPr="00534892">
              <w:rPr>
                <w:rFonts w:eastAsia="Times New Roman"/>
                <w:sz w:val="20"/>
                <w:szCs w:val="22"/>
                <w:vertAlign w:val="subscript"/>
              </w:rPr>
              <w:t>25</w:t>
            </w:r>
            <w:r w:rsidRPr="00534892">
              <w:rPr>
                <w:rFonts w:eastAsia="Times New Roman"/>
                <w:sz w:val="20"/>
                <w:szCs w:val="22"/>
              </w:rPr>
              <w:softHyphen/>
              <w:t>NO</w:t>
            </w:r>
            <w:r w:rsidRPr="00534892">
              <w:rPr>
                <w:rFonts w:eastAsia="Times New Roman"/>
                <w:sz w:val="20"/>
                <w:szCs w:val="22"/>
                <w:vertAlign w:val="subscript"/>
              </w:rPr>
              <w:t>3</w:t>
            </w:r>
          </w:p>
        </w:tc>
        <w:tc>
          <w:tcPr>
            <w:tcW w:w="1046"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267.36</w:t>
            </w:r>
          </w:p>
        </w:tc>
        <w:tc>
          <w:tcPr>
            <w:tcW w:w="1710"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4780</w:t>
            </w:r>
          </w:p>
        </w:tc>
        <w:tc>
          <w:tcPr>
            <w:tcW w:w="748"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1.88</w:t>
            </w:r>
          </w:p>
        </w:tc>
        <w:tc>
          <w:tcPr>
            <w:tcW w:w="827"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9.68</w:t>
            </w:r>
          </w:p>
        </w:tc>
        <w:tc>
          <w:tcPr>
            <w:tcW w:w="773"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-0.7</w:t>
            </w:r>
          </w:p>
        </w:tc>
        <w:tc>
          <w:tcPr>
            <w:tcW w:w="794"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w:t>
            </w:r>
          </w:p>
        </w:tc>
        <w:tc>
          <w:tcPr>
            <w:tcW w:w="1480" w:type="dxa"/>
            <w:tcBorders>
              <w:top w:val="single" w:sz="8" w:space="0" w:color="auto"/>
              <w:left w:val="nil"/>
              <w:bottom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β blocker</w:t>
            </w:r>
          </w:p>
        </w:tc>
      </w:tr>
      <w:tr w:rsidR="004358B0" w:rsidRPr="00CE3881" w:rsidTr="00954343">
        <w:trPr>
          <w:trHeight w:val="315"/>
        </w:trPr>
        <w:tc>
          <w:tcPr>
            <w:tcW w:w="1660" w:type="dxa"/>
            <w:tcBorders>
              <w:top w:val="single" w:sz="8" w:space="0" w:color="auto"/>
              <w:bottom w:val="single" w:sz="8" w:space="0" w:color="auto"/>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Sildenafil</w:t>
            </w:r>
          </w:p>
        </w:tc>
        <w:tc>
          <w:tcPr>
            <w:tcW w:w="1362" w:type="dxa"/>
            <w:tcBorders>
              <w:top w:val="single" w:sz="8" w:space="0" w:color="auto"/>
              <w:left w:val="nil"/>
              <w:bottom w:val="single" w:sz="8" w:space="0" w:color="auto"/>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22</w:t>
            </w:r>
            <w:r w:rsidRPr="00534892">
              <w:rPr>
                <w:rFonts w:eastAsia="Times New Roman"/>
                <w:sz w:val="20"/>
                <w:szCs w:val="22"/>
              </w:rPr>
              <w:t>H</w:t>
            </w:r>
            <w:r w:rsidRPr="00534892">
              <w:rPr>
                <w:rFonts w:eastAsia="Times New Roman"/>
                <w:sz w:val="20"/>
                <w:szCs w:val="22"/>
                <w:vertAlign w:val="subscript"/>
              </w:rPr>
              <w:t>30</w:t>
            </w:r>
            <w:r w:rsidRPr="00534892">
              <w:rPr>
                <w:rFonts w:eastAsia="Times New Roman"/>
                <w:sz w:val="20"/>
                <w:szCs w:val="22"/>
              </w:rPr>
              <w:t>N</w:t>
            </w:r>
            <w:r w:rsidRPr="00534892">
              <w:rPr>
                <w:rFonts w:eastAsia="Times New Roman"/>
                <w:sz w:val="20"/>
                <w:szCs w:val="22"/>
                <w:vertAlign w:val="subscript"/>
              </w:rPr>
              <w:t>6</w:t>
            </w:r>
            <w:r w:rsidRPr="00534892">
              <w:rPr>
                <w:rFonts w:eastAsia="Times New Roman"/>
                <w:sz w:val="20"/>
                <w:szCs w:val="22"/>
              </w:rPr>
              <w:t>O</w:t>
            </w:r>
            <w:r w:rsidRPr="00534892">
              <w:rPr>
                <w:rFonts w:eastAsia="Times New Roman"/>
                <w:sz w:val="20"/>
                <w:szCs w:val="22"/>
                <w:vertAlign w:val="subscript"/>
              </w:rPr>
              <w:t>4</w:t>
            </w:r>
            <w:r w:rsidRPr="00534892">
              <w:rPr>
                <w:rFonts w:eastAsia="Times New Roman"/>
                <w:sz w:val="20"/>
                <w:szCs w:val="22"/>
              </w:rPr>
              <w:t>S</w:t>
            </w:r>
          </w:p>
        </w:tc>
        <w:tc>
          <w:tcPr>
            <w:tcW w:w="1046" w:type="dxa"/>
            <w:tcBorders>
              <w:top w:val="single" w:sz="8" w:space="0" w:color="auto"/>
              <w:left w:val="nil"/>
              <w:bottom w:val="single" w:sz="8" w:space="0" w:color="auto"/>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474.59</w:t>
            </w:r>
          </w:p>
        </w:tc>
        <w:tc>
          <w:tcPr>
            <w:tcW w:w="1710" w:type="dxa"/>
            <w:tcBorders>
              <w:top w:val="single" w:sz="8" w:space="0" w:color="auto"/>
              <w:left w:val="nil"/>
              <w:bottom w:val="single" w:sz="8" w:space="0" w:color="auto"/>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3.2</w:t>
            </w:r>
            <w:r>
              <w:rPr>
                <w:rFonts w:eastAsia="Times New Roman" w:cs="Times New Roman"/>
                <w:sz w:val="20"/>
                <w:szCs w:val="22"/>
              </w:rPr>
              <w:t>×</w:t>
            </w:r>
            <w:r w:rsidRPr="00534892">
              <w:rPr>
                <w:rFonts w:eastAsia="Times New Roman"/>
                <w:sz w:val="20"/>
                <w:szCs w:val="22"/>
              </w:rPr>
              <w:t>10</w:t>
            </w:r>
            <w:r w:rsidRPr="00405190">
              <w:rPr>
                <w:rFonts w:eastAsia="Times New Roman"/>
                <w:sz w:val="22"/>
                <w:szCs w:val="24"/>
                <w:vertAlign w:val="superscript"/>
              </w:rPr>
              <w:t>3</w:t>
            </w:r>
          </w:p>
        </w:tc>
        <w:tc>
          <w:tcPr>
            <w:tcW w:w="748" w:type="dxa"/>
            <w:tcBorders>
              <w:top w:val="single" w:sz="8" w:space="0" w:color="auto"/>
              <w:left w:val="nil"/>
              <w:bottom w:val="single" w:sz="8" w:space="0" w:color="auto"/>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2.75</w:t>
            </w:r>
          </w:p>
        </w:tc>
        <w:tc>
          <w:tcPr>
            <w:tcW w:w="827" w:type="dxa"/>
            <w:tcBorders>
              <w:top w:val="single" w:sz="8" w:space="0" w:color="auto"/>
              <w:left w:val="nil"/>
              <w:bottom w:val="single" w:sz="8" w:space="0" w:color="auto"/>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6.4; 7.4</w:t>
            </w:r>
          </w:p>
        </w:tc>
        <w:tc>
          <w:tcPr>
            <w:tcW w:w="773" w:type="dxa"/>
            <w:tcBorders>
              <w:top w:val="single" w:sz="8" w:space="0" w:color="auto"/>
              <w:left w:val="nil"/>
              <w:bottom w:val="single" w:sz="8" w:space="0" w:color="auto"/>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0.35</w:t>
            </w:r>
          </w:p>
        </w:tc>
        <w:tc>
          <w:tcPr>
            <w:tcW w:w="794" w:type="dxa"/>
            <w:tcBorders>
              <w:top w:val="single" w:sz="8" w:space="0" w:color="auto"/>
              <w:left w:val="nil"/>
              <w:bottom w:val="single" w:sz="8" w:space="0" w:color="auto"/>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w:t>
            </w:r>
          </w:p>
        </w:tc>
        <w:tc>
          <w:tcPr>
            <w:tcW w:w="1480" w:type="dxa"/>
            <w:tcBorders>
              <w:top w:val="single" w:sz="8" w:space="0" w:color="auto"/>
              <w:left w:val="nil"/>
              <w:bottom w:val="single" w:sz="8" w:space="0" w:color="auto"/>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vasoactive agent</w:t>
            </w:r>
          </w:p>
        </w:tc>
      </w:tr>
      <w:tr w:rsidR="004358B0" w:rsidRPr="00CE3881" w:rsidTr="00954343">
        <w:trPr>
          <w:trHeight w:val="300"/>
        </w:trPr>
        <w:tc>
          <w:tcPr>
            <w:tcW w:w="1660" w:type="dxa"/>
            <w:tcBorders>
              <w:top w:val="single" w:sz="8" w:space="0" w:color="auto"/>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Sulfapyridine</w:t>
            </w:r>
          </w:p>
        </w:tc>
        <w:tc>
          <w:tcPr>
            <w:tcW w:w="1362"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11</w:t>
            </w:r>
            <w:r w:rsidRPr="00534892">
              <w:rPr>
                <w:rFonts w:eastAsia="Times New Roman"/>
                <w:sz w:val="20"/>
                <w:szCs w:val="22"/>
              </w:rPr>
              <w:t>H</w:t>
            </w:r>
            <w:r w:rsidRPr="00534892">
              <w:rPr>
                <w:rFonts w:eastAsia="Times New Roman"/>
                <w:sz w:val="20"/>
                <w:szCs w:val="22"/>
                <w:vertAlign w:val="subscript"/>
              </w:rPr>
              <w:t>11</w:t>
            </w:r>
            <w:r w:rsidRPr="00534892">
              <w:rPr>
                <w:rFonts w:eastAsia="Times New Roman"/>
                <w:sz w:val="20"/>
                <w:szCs w:val="22"/>
              </w:rPr>
              <w:t>N</w:t>
            </w:r>
            <w:r w:rsidRPr="00534892">
              <w:rPr>
                <w:rFonts w:eastAsia="Times New Roman"/>
                <w:sz w:val="20"/>
                <w:szCs w:val="22"/>
                <w:vertAlign w:val="subscript"/>
              </w:rPr>
              <w:t>3</w:t>
            </w:r>
            <w:r w:rsidRPr="00534892">
              <w:rPr>
                <w:rFonts w:eastAsia="Times New Roman"/>
                <w:sz w:val="20"/>
                <w:szCs w:val="22"/>
              </w:rPr>
              <w:t>O</w:t>
            </w:r>
            <w:r w:rsidRPr="00534892">
              <w:rPr>
                <w:rFonts w:eastAsia="Times New Roman"/>
                <w:sz w:val="20"/>
                <w:szCs w:val="22"/>
                <w:vertAlign w:val="subscript"/>
              </w:rPr>
              <w:t>2</w:t>
            </w:r>
            <w:r w:rsidRPr="00534892">
              <w:rPr>
                <w:rFonts w:eastAsia="Times New Roman"/>
                <w:sz w:val="20"/>
                <w:szCs w:val="22"/>
              </w:rPr>
              <w:t>S</w:t>
            </w:r>
          </w:p>
        </w:tc>
        <w:tc>
          <w:tcPr>
            <w:tcW w:w="1046"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249.29</w:t>
            </w:r>
          </w:p>
        </w:tc>
        <w:tc>
          <w:tcPr>
            <w:tcW w:w="1710"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268</w:t>
            </w:r>
          </w:p>
        </w:tc>
        <w:tc>
          <w:tcPr>
            <w:tcW w:w="748"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0.35</w:t>
            </w:r>
          </w:p>
        </w:tc>
        <w:tc>
          <w:tcPr>
            <w:tcW w:w="827"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2.45; 5.6</w:t>
            </w:r>
          </w:p>
        </w:tc>
        <w:tc>
          <w:tcPr>
            <w:tcW w:w="773"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0.15</w:t>
            </w:r>
          </w:p>
        </w:tc>
        <w:tc>
          <w:tcPr>
            <w:tcW w:w="794" w:type="dxa"/>
            <w:tcBorders>
              <w:top w:val="single" w:sz="8" w:space="0" w:color="auto"/>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-1</w:t>
            </w:r>
          </w:p>
        </w:tc>
        <w:tc>
          <w:tcPr>
            <w:tcW w:w="1480" w:type="dxa"/>
            <w:vMerge w:val="restart"/>
            <w:tcBorders>
              <w:top w:val="single" w:sz="8" w:space="0" w:color="auto"/>
              <w:left w:val="nil"/>
              <w:bottom w:val="single" w:sz="8" w:space="0" w:color="000000"/>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Antibacterial agent</w:t>
            </w:r>
          </w:p>
        </w:tc>
      </w:tr>
      <w:tr w:rsidR="004358B0" w:rsidRPr="00CE3881" w:rsidTr="00954343">
        <w:trPr>
          <w:trHeight w:val="330"/>
        </w:trPr>
        <w:tc>
          <w:tcPr>
            <w:tcW w:w="1660" w:type="dxa"/>
            <w:tcBorders>
              <w:top w:val="nil"/>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Sulfamethoxazole</w:t>
            </w:r>
          </w:p>
        </w:tc>
        <w:tc>
          <w:tcPr>
            <w:tcW w:w="1362" w:type="dxa"/>
            <w:tcBorders>
              <w:top w:val="nil"/>
              <w:left w:val="nil"/>
              <w:bottom w:val="nil"/>
              <w:right w:val="nil"/>
            </w:tcBorders>
            <w:shd w:val="clear" w:color="auto" w:fill="auto"/>
            <w:noWrap/>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C</w:t>
            </w:r>
            <w:r w:rsidRPr="00534892">
              <w:rPr>
                <w:rFonts w:eastAsia="Times New Roman"/>
                <w:sz w:val="20"/>
                <w:szCs w:val="22"/>
                <w:vertAlign w:val="subscript"/>
              </w:rPr>
              <w:t>10</w:t>
            </w:r>
            <w:r w:rsidRPr="00534892">
              <w:rPr>
                <w:rFonts w:eastAsia="Times New Roman"/>
                <w:sz w:val="20"/>
                <w:szCs w:val="22"/>
              </w:rPr>
              <w:t>H</w:t>
            </w:r>
            <w:r w:rsidRPr="00534892">
              <w:rPr>
                <w:rFonts w:eastAsia="Times New Roman"/>
                <w:sz w:val="20"/>
                <w:szCs w:val="22"/>
                <w:vertAlign w:val="subscript"/>
              </w:rPr>
              <w:t>11</w:t>
            </w:r>
            <w:r w:rsidRPr="00534892">
              <w:rPr>
                <w:rFonts w:eastAsia="Times New Roman"/>
                <w:sz w:val="20"/>
                <w:szCs w:val="22"/>
              </w:rPr>
              <w:t>N</w:t>
            </w:r>
            <w:r w:rsidRPr="00534892">
              <w:rPr>
                <w:rFonts w:eastAsia="Times New Roman"/>
                <w:sz w:val="20"/>
                <w:szCs w:val="22"/>
                <w:vertAlign w:val="subscript"/>
              </w:rPr>
              <w:t>3</w:t>
            </w:r>
            <w:r w:rsidRPr="00534892">
              <w:rPr>
                <w:rFonts w:eastAsia="Times New Roman"/>
                <w:sz w:val="20"/>
                <w:szCs w:val="22"/>
              </w:rPr>
              <w:t>O</w:t>
            </w:r>
            <w:r w:rsidRPr="00534892">
              <w:rPr>
                <w:rFonts w:eastAsia="Times New Roman"/>
                <w:sz w:val="20"/>
                <w:szCs w:val="22"/>
                <w:vertAlign w:val="subscript"/>
              </w:rPr>
              <w:t>3</w:t>
            </w:r>
            <w:r w:rsidRPr="00534892">
              <w:rPr>
                <w:rFonts w:eastAsia="Times New Roman"/>
                <w:sz w:val="20"/>
                <w:szCs w:val="22"/>
              </w:rPr>
              <w:t>S</w:t>
            </w:r>
          </w:p>
        </w:tc>
        <w:tc>
          <w:tcPr>
            <w:tcW w:w="1046"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253.28</w:t>
            </w:r>
          </w:p>
        </w:tc>
        <w:tc>
          <w:tcPr>
            <w:tcW w:w="1710"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910</w:t>
            </w:r>
          </w:p>
        </w:tc>
        <w:tc>
          <w:tcPr>
            <w:tcW w:w="748"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0.89</w:t>
            </w:r>
          </w:p>
        </w:tc>
        <w:tc>
          <w:tcPr>
            <w:tcW w:w="827"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 xml:space="preserve">2.3 </w:t>
            </w:r>
          </w:p>
        </w:tc>
        <w:tc>
          <w:tcPr>
            <w:tcW w:w="773"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0.58</w:t>
            </w:r>
          </w:p>
        </w:tc>
        <w:tc>
          <w:tcPr>
            <w:tcW w:w="794" w:type="dxa"/>
            <w:tcBorders>
              <w:top w:val="nil"/>
              <w:left w:val="nil"/>
              <w:bottom w:val="nil"/>
              <w:right w:val="nil"/>
            </w:tcBorders>
            <w:shd w:val="clear" w:color="auto" w:fill="auto"/>
            <w:vAlign w:val="center"/>
            <w:hideMark/>
          </w:tcPr>
          <w:p w:rsidR="004358B0" w:rsidRPr="00534892" w:rsidRDefault="004358B0" w:rsidP="00954343">
            <w:pPr>
              <w:spacing w:line="276" w:lineRule="auto"/>
              <w:rPr>
                <w:rFonts w:eastAsia="Times New Roman"/>
                <w:sz w:val="20"/>
                <w:szCs w:val="22"/>
              </w:rPr>
            </w:pPr>
            <w:r w:rsidRPr="00534892">
              <w:rPr>
                <w:rFonts w:eastAsia="Times New Roman"/>
                <w:sz w:val="20"/>
                <w:szCs w:val="22"/>
              </w:rPr>
              <w:t>0</w:t>
            </w:r>
          </w:p>
        </w:tc>
        <w:tc>
          <w:tcPr>
            <w:tcW w:w="1480" w:type="dxa"/>
            <w:vMerge/>
            <w:tcBorders>
              <w:top w:val="nil"/>
              <w:left w:val="nil"/>
              <w:bottom w:val="nil"/>
            </w:tcBorders>
            <w:vAlign w:val="center"/>
            <w:hideMark/>
          </w:tcPr>
          <w:p w:rsidR="004358B0" w:rsidRPr="00534892" w:rsidRDefault="004358B0" w:rsidP="00954343">
            <w:pPr>
              <w:spacing w:line="276" w:lineRule="auto"/>
              <w:rPr>
                <w:rFonts w:eastAsia="Times New Roman"/>
                <w:sz w:val="20"/>
                <w:szCs w:val="22"/>
              </w:rPr>
            </w:pPr>
          </w:p>
        </w:tc>
      </w:tr>
      <w:tr w:rsidR="004358B0" w:rsidRPr="00CE3881" w:rsidTr="00954343">
        <w:trPr>
          <w:trHeight w:val="54"/>
        </w:trPr>
        <w:tc>
          <w:tcPr>
            <w:tcW w:w="1660" w:type="dxa"/>
            <w:tcBorders>
              <w:top w:val="nil"/>
              <w:bottom w:val="single" w:sz="8" w:space="0" w:color="auto"/>
              <w:right w:val="nil"/>
            </w:tcBorders>
            <w:shd w:val="clear" w:color="auto" w:fill="auto"/>
            <w:noWrap/>
            <w:vAlign w:val="center"/>
          </w:tcPr>
          <w:p w:rsidR="004358B0" w:rsidRPr="00534892" w:rsidRDefault="004358B0" w:rsidP="00954343">
            <w:pPr>
              <w:spacing w:line="276" w:lineRule="auto"/>
              <w:rPr>
                <w:rFonts w:eastAsia="Times New Roman"/>
                <w:sz w:val="20"/>
                <w:szCs w:val="22"/>
              </w:rPr>
            </w:pPr>
          </w:p>
        </w:tc>
        <w:tc>
          <w:tcPr>
            <w:tcW w:w="1362" w:type="dxa"/>
            <w:tcBorders>
              <w:top w:val="nil"/>
              <w:left w:val="nil"/>
              <w:bottom w:val="single" w:sz="8" w:space="0" w:color="auto"/>
              <w:right w:val="nil"/>
            </w:tcBorders>
            <w:shd w:val="clear" w:color="auto" w:fill="auto"/>
            <w:noWrap/>
            <w:vAlign w:val="center"/>
          </w:tcPr>
          <w:p w:rsidR="004358B0" w:rsidRPr="00534892" w:rsidRDefault="004358B0" w:rsidP="00954343">
            <w:pPr>
              <w:spacing w:line="276" w:lineRule="auto"/>
              <w:rPr>
                <w:rFonts w:eastAsia="Times New Roman"/>
                <w:sz w:val="20"/>
                <w:szCs w:val="22"/>
              </w:rPr>
            </w:pPr>
          </w:p>
        </w:tc>
        <w:tc>
          <w:tcPr>
            <w:tcW w:w="1046" w:type="dxa"/>
            <w:tcBorders>
              <w:top w:val="nil"/>
              <w:left w:val="nil"/>
              <w:bottom w:val="single" w:sz="8" w:space="0" w:color="auto"/>
              <w:right w:val="nil"/>
            </w:tcBorders>
            <w:shd w:val="clear" w:color="auto" w:fill="auto"/>
            <w:vAlign w:val="center"/>
          </w:tcPr>
          <w:p w:rsidR="004358B0" w:rsidRPr="00534892" w:rsidRDefault="004358B0" w:rsidP="00954343">
            <w:pPr>
              <w:spacing w:line="276" w:lineRule="auto"/>
              <w:rPr>
                <w:rFonts w:eastAsia="Times New Roman"/>
                <w:sz w:val="20"/>
                <w:szCs w:val="22"/>
              </w:rPr>
            </w:pPr>
          </w:p>
        </w:tc>
        <w:tc>
          <w:tcPr>
            <w:tcW w:w="1710" w:type="dxa"/>
            <w:tcBorders>
              <w:top w:val="nil"/>
              <w:left w:val="nil"/>
              <w:bottom w:val="single" w:sz="8" w:space="0" w:color="auto"/>
              <w:right w:val="nil"/>
            </w:tcBorders>
            <w:shd w:val="clear" w:color="auto" w:fill="auto"/>
            <w:vAlign w:val="center"/>
          </w:tcPr>
          <w:p w:rsidR="004358B0" w:rsidRPr="00534892" w:rsidRDefault="004358B0" w:rsidP="00954343">
            <w:pPr>
              <w:spacing w:line="276" w:lineRule="auto"/>
              <w:rPr>
                <w:rFonts w:eastAsia="Times New Roman"/>
                <w:sz w:val="20"/>
                <w:szCs w:val="22"/>
              </w:rPr>
            </w:pPr>
          </w:p>
        </w:tc>
        <w:tc>
          <w:tcPr>
            <w:tcW w:w="748" w:type="dxa"/>
            <w:tcBorders>
              <w:top w:val="nil"/>
              <w:left w:val="nil"/>
              <w:bottom w:val="single" w:sz="8" w:space="0" w:color="auto"/>
              <w:right w:val="nil"/>
            </w:tcBorders>
            <w:shd w:val="clear" w:color="auto" w:fill="auto"/>
            <w:vAlign w:val="center"/>
          </w:tcPr>
          <w:p w:rsidR="004358B0" w:rsidRPr="00534892" w:rsidRDefault="004358B0" w:rsidP="00954343">
            <w:pPr>
              <w:spacing w:line="276" w:lineRule="auto"/>
              <w:rPr>
                <w:rFonts w:eastAsia="Times New Roman"/>
                <w:sz w:val="20"/>
                <w:szCs w:val="22"/>
              </w:rPr>
            </w:pPr>
          </w:p>
        </w:tc>
        <w:tc>
          <w:tcPr>
            <w:tcW w:w="827" w:type="dxa"/>
            <w:tcBorders>
              <w:top w:val="nil"/>
              <w:left w:val="nil"/>
              <w:bottom w:val="single" w:sz="8" w:space="0" w:color="auto"/>
              <w:right w:val="nil"/>
            </w:tcBorders>
            <w:shd w:val="clear" w:color="auto" w:fill="auto"/>
            <w:vAlign w:val="center"/>
          </w:tcPr>
          <w:p w:rsidR="004358B0" w:rsidRPr="00534892" w:rsidRDefault="004358B0" w:rsidP="00954343">
            <w:pPr>
              <w:spacing w:line="276" w:lineRule="auto"/>
              <w:rPr>
                <w:rFonts w:eastAsia="Times New Roman"/>
                <w:sz w:val="20"/>
                <w:szCs w:val="22"/>
              </w:rPr>
            </w:pPr>
          </w:p>
        </w:tc>
        <w:tc>
          <w:tcPr>
            <w:tcW w:w="773" w:type="dxa"/>
            <w:tcBorders>
              <w:top w:val="nil"/>
              <w:left w:val="nil"/>
              <w:bottom w:val="single" w:sz="8" w:space="0" w:color="auto"/>
              <w:right w:val="nil"/>
            </w:tcBorders>
            <w:shd w:val="clear" w:color="auto" w:fill="auto"/>
            <w:vAlign w:val="center"/>
          </w:tcPr>
          <w:p w:rsidR="004358B0" w:rsidRPr="00534892" w:rsidRDefault="004358B0" w:rsidP="00954343">
            <w:pPr>
              <w:spacing w:line="276" w:lineRule="auto"/>
              <w:rPr>
                <w:rFonts w:eastAsia="Times New Roman"/>
                <w:sz w:val="20"/>
                <w:szCs w:val="22"/>
              </w:rPr>
            </w:pPr>
          </w:p>
        </w:tc>
        <w:tc>
          <w:tcPr>
            <w:tcW w:w="794" w:type="dxa"/>
            <w:tcBorders>
              <w:top w:val="nil"/>
              <w:left w:val="nil"/>
              <w:bottom w:val="single" w:sz="8" w:space="0" w:color="auto"/>
              <w:right w:val="nil"/>
            </w:tcBorders>
            <w:shd w:val="clear" w:color="auto" w:fill="auto"/>
            <w:vAlign w:val="center"/>
          </w:tcPr>
          <w:p w:rsidR="004358B0" w:rsidRPr="00534892" w:rsidRDefault="004358B0" w:rsidP="00954343">
            <w:pPr>
              <w:spacing w:line="276" w:lineRule="auto"/>
              <w:rPr>
                <w:rFonts w:eastAsia="Times New Roman"/>
                <w:sz w:val="20"/>
                <w:szCs w:val="22"/>
              </w:rPr>
            </w:pPr>
          </w:p>
        </w:tc>
        <w:tc>
          <w:tcPr>
            <w:tcW w:w="1480" w:type="dxa"/>
            <w:tcBorders>
              <w:top w:val="nil"/>
              <w:left w:val="nil"/>
              <w:bottom w:val="single" w:sz="8" w:space="0" w:color="000000"/>
            </w:tcBorders>
            <w:vAlign w:val="center"/>
          </w:tcPr>
          <w:p w:rsidR="004358B0" w:rsidRPr="00534892" w:rsidRDefault="004358B0" w:rsidP="00954343">
            <w:pPr>
              <w:spacing w:line="276" w:lineRule="auto"/>
              <w:rPr>
                <w:rFonts w:eastAsia="Times New Roman"/>
                <w:sz w:val="20"/>
                <w:szCs w:val="22"/>
              </w:rPr>
            </w:pPr>
          </w:p>
        </w:tc>
      </w:tr>
    </w:tbl>
    <w:p w:rsidR="009B7F37" w:rsidRPr="00ED2CEE" w:rsidRDefault="009B7F37" w:rsidP="00AF561A"/>
    <w:p w:rsidR="0068563B" w:rsidRDefault="0068563B" w:rsidP="007B7AB9">
      <w:pPr>
        <w:pStyle w:val="Heading2"/>
      </w:pPr>
      <w:r w:rsidRPr="0068563B">
        <w:t xml:space="preserve">Sample </w:t>
      </w:r>
      <w:r w:rsidR="003626D9">
        <w:t>p</w:t>
      </w:r>
      <w:r w:rsidR="003626D9" w:rsidRPr="0068563B">
        <w:t>reparation</w:t>
      </w:r>
      <w:r w:rsidRPr="0068563B">
        <w:t xml:space="preserve">, </w:t>
      </w:r>
      <w:r w:rsidR="003626D9">
        <w:t>e</w:t>
      </w:r>
      <w:r w:rsidR="003626D9" w:rsidRPr="0068563B">
        <w:t>xtraction</w:t>
      </w:r>
      <w:r w:rsidRPr="0068563B">
        <w:t xml:space="preserve">, and </w:t>
      </w:r>
      <w:r w:rsidR="003626D9">
        <w:t>a</w:t>
      </w:r>
      <w:r w:rsidR="003626D9" w:rsidRPr="0068563B">
        <w:t>nalysis</w:t>
      </w:r>
      <w:r w:rsidRPr="0068563B">
        <w:t xml:space="preserve">. </w:t>
      </w:r>
    </w:p>
    <w:p w:rsidR="00CE3881" w:rsidRDefault="0068563B" w:rsidP="00FD0927">
      <w:r w:rsidRPr="0074543F">
        <w:t xml:space="preserve">Freeze-dried plant material </w:t>
      </w:r>
      <w:r w:rsidR="0048094E">
        <w:t>will be</w:t>
      </w:r>
      <w:r w:rsidR="0048094E" w:rsidRPr="0074543F">
        <w:t xml:space="preserve"> </w:t>
      </w:r>
      <w:r w:rsidRPr="0074543F">
        <w:t>ground to a fine powder (magic bullet 17, Homeland Housewares, USA) and extract</w:t>
      </w:r>
      <w:r w:rsidR="00721DC6">
        <w:t>ed</w:t>
      </w:r>
      <w:r w:rsidRPr="0074543F">
        <w:t xml:space="preserve"> using an accelerated solvent extractor (ASE350, Dionex, Sunnyvale, CA). Ground plant material (1 g) </w:t>
      </w:r>
      <w:r w:rsidR="0048094E">
        <w:t>will be</w:t>
      </w:r>
      <w:r w:rsidR="0048094E" w:rsidRPr="0074543F">
        <w:t xml:space="preserve"> </w:t>
      </w:r>
      <w:r w:rsidRPr="0074543F">
        <w:t xml:space="preserve">placed in 10 mL extraction cells between two layers of </w:t>
      </w:r>
      <w:r w:rsidR="00FD0927">
        <w:t>f</w:t>
      </w:r>
      <w:r w:rsidRPr="0074543F">
        <w:t xml:space="preserve">lorisil (2 g) (Mg2O4Si, Alfa Aesar, Ward Hill, MA). Glass-fiber filters (27 mm) </w:t>
      </w:r>
      <w:r w:rsidR="0048094E">
        <w:t>will be</w:t>
      </w:r>
      <w:r w:rsidR="0048094E" w:rsidRPr="0074543F">
        <w:t xml:space="preserve"> </w:t>
      </w:r>
      <w:r w:rsidRPr="0074543F">
        <w:t xml:space="preserve">placed at the bottom of the cells. The packed cells </w:t>
      </w:r>
      <w:r w:rsidR="00FD0927">
        <w:t>will be</w:t>
      </w:r>
      <w:r w:rsidRPr="0074543F">
        <w:t xml:space="preserve"> extracted in two static cycles (5 min) with 100% methanol at 80 °C under a constant pressure of 10.34 MPa. Freeze-dried soil samples (5 g) </w:t>
      </w:r>
      <w:r w:rsidR="0048094E">
        <w:t>will be</w:t>
      </w:r>
      <w:r w:rsidR="0048094E" w:rsidRPr="0074543F">
        <w:t xml:space="preserve"> </w:t>
      </w:r>
      <w:r w:rsidRPr="0074543F">
        <w:t xml:space="preserve">similarly prepared and extracted with three static cycles (15 min) with acetonitrile/water (70:30, v/v) at 100 °C under a constant pressure of 10.34 MPa. All extracts </w:t>
      </w:r>
      <w:r w:rsidR="0048094E">
        <w:t>will be</w:t>
      </w:r>
      <w:r w:rsidR="0048094E" w:rsidRPr="0074543F">
        <w:t xml:space="preserve"> </w:t>
      </w:r>
      <w:r w:rsidRPr="0074543F">
        <w:t xml:space="preserve">evaporated to dryness and redissolved in 980 μL acetonitrile/water/acetic acid (30;70;0.1), </w:t>
      </w:r>
      <w:r w:rsidRPr="0074543F">
        <w:lastRenderedPageBreak/>
        <w:t>thereafter spiked with 20 μL of a mixture of stable isotope labeled internal standards in acetonitrile, sonicated (37 kHz, 1</w:t>
      </w:r>
      <w:r w:rsidR="00FD0927">
        <w:t>5</w:t>
      </w:r>
      <w:r w:rsidRPr="0074543F">
        <w:t xml:space="preserve"> min), centrifuged at 17,000 g for 20 min, and filtered (0.22 μm PTFE). The final solutions </w:t>
      </w:r>
      <w:r w:rsidR="0048094E">
        <w:t>will be</w:t>
      </w:r>
      <w:r w:rsidR="0048094E" w:rsidRPr="0074543F">
        <w:t xml:space="preserve"> </w:t>
      </w:r>
      <w:r w:rsidRPr="0074543F">
        <w:t xml:space="preserve">analyzed by an Agilent 1200 Rapid Resolution LC system (Agilent Technologies Inc., Santa Clara, CA) equipped with a Gemini C-18 column (150 × 2 mm, 3-μm particle size; Phenomenex, Torrance, CA, USA), coupled to an Agilent 6410 triple quadruple mass spectrometer with an ESI ion source (Agilent). A binary gradient of 1.5% acetic acid in deionized water and 0.05% acetic acid in acetonitrile </w:t>
      </w:r>
      <w:r w:rsidR="0048094E">
        <w:t>will be</w:t>
      </w:r>
      <w:r w:rsidR="0048094E" w:rsidRPr="0074543F">
        <w:t xml:space="preserve"> </w:t>
      </w:r>
      <w:r w:rsidRPr="0074543F">
        <w:t>used for separation of the PCs</w:t>
      </w:r>
      <w:r w:rsidR="00446AB2" w:rsidRPr="0074543F">
        <w:t xml:space="preserve"> </w:t>
      </w:r>
      <w:r w:rsidR="00F36F4D">
        <w:fldChar w:fldCharType="begin" w:fldLock="1"/>
      </w:r>
      <w:r w:rsidR="006D619D">
        <w:instrText>ADDIN CSL_CITATION { "citationItems" : [ { "id" : "ITEM-1", "itemData" : { "ISSN" : "1520-5851", "abstract" : "An increasing number of reports on plant uptake of pharmaceutical compounds (PCs) have been recently published, raising concerns of human exposure through dietary intake. In this study, PC uptake and translocation were evaluated in cucumber and tomato plants to elucidate the effects of PC physicochemical properties, soil type, and irrigation-water quality. Nonionic PCs were taken up and accumulated at higher levels in plants grown in soils of lower organic matter and clay content. While the concentration of most PCs in cucumber and tomato leaves were of similar order, their concentrations in the tomato fruit were much lower than in the cucumber fruit. This is related to differences in fruit physiology. Our data suggest that irrigation with treated wastewater reduces the bioavailability of acidic PCs for uptake by cucumber plants as compared to fresh water irrigation. This study sheds light on factors affecting the uptake of PCs by crops irrigated with treated wastewater, the governing role of PCs' physicochemical properties along with the physiological nature of the plant, soil properties and water quality that together determine uptake, translocation, and accumulation within plant organs. Occurrence of metabolites in plant suggests that PC metabolism has to be evaluated to reveal the total uptake.", "author" : [ { "dropping-particle" : "", "family" : "Goldstein", "given" : "Myah", "non-dropping-particle" : "", "parse-names" : false, "suffix" : "" }, { "dropping-particle" : "", "family" : "Shenker", "given" : "Moshe", "non-dropping-particle" : "", "parse-names" : false, "suffix" : "" }, { "dropping-particle" : "", "family" : "Chefetz", "given" : "Benny", "non-dropping-particle" : "", "parse-names" : false, "suffix" : "" } ], "container-title" : "Environmental Science &amp; Technology", "id" : "ITEM-1", "issue" : "10", "issued" : { "date-parts" : [ [ "2014", "5", "20" ] ] }, "page" : "5593-600", "title" : "Insights into the uptake processes of wastewater-borne pharmaceuticals by vegetables.", "type" : "article-journal", "volume" : "48" }, "uris" : [ "http://www.mendeley.com/documents/?uuid=c885bc85-097c-43cf-85ed-fce0864e94e0" ] }, { "id" : "ITEM-2", "itemData" : { "DOI" : "10.1021/es5017894", "ISSN" : "1520-5851", "PMID" : "25026038", "abstract" : "To meet mounting water demands, treated wastewater has become an important source of irrigation. Thus, contamination of treated wastewater by pharmaceutical compounds (PCs) and the fate of these compounds in the agricultural environment are of increasing concern. This field study aimed to quantify PC uptake by treated wastewater-irrigated root crops (carrots and sweet potatoes) grown in lysimeters and to evaluate potential risks. In both crops, the nonionic PCs (carbamazepine, caffeine, and lamotrigine) were detected at significantly higher concentrations than ionic PCs (metoprolol, bezafibrate, clofibric acid, diclofenac, gemfibrozil, ibuprofen, ketoprofen, naproxen, sulfamethoxazole, and sildenafil). PCs in leaves were found at higher concentrations than in the roots. Carbamazepine metabolites were found mainly in the leaves, where the concentration of the metabolite 10,11-epoxycarbamazepine was significantly higher than the parent compound. The health risk associated with consumption of wastewater-irrigated root vegetables was estimated using the threshold of toxicological concern (TTC) approach. Our data show that the TTC value of lamotrigine can be reached for a child at a daily consumption of half a carrot (\u223c60 g). This study highlights that certain PCs accumulated in edible organs at concentrations above the TTC value should be categorized as contaminants of emerging concern.", "author" : [ { "dropping-particle" : "", "family" : "Malchi", "given" : "Tomer", "non-dropping-particle" : "", "parse-names" : false, "suffix" : "" }, { "dropping-particle" : "", "family" : "Maor", "given" : "Yehoshua", "non-dropping-particle" : "", "parse-names" : false, "suffix" : "" }, { "dropping-particle" : "", "family" : "Tadmor", "given" : "Galit", "non-dropping-particle" : "", "parse-names" : false, "suffix" : "" }, { "dropping-particle" : "", "family" : "Shenker", "given" : "Moshe", "non-dropping-particle" : "", "parse-names" : false, "suffix" : "" }, { "dropping-particle" : "", "family" : "Chefetz", "given" : "Benny", "non-dropping-particle" : "", "parse-names" : false, "suffix" : "" } ], "container-title" : "Environmental science &amp; technology", "id" : "ITEM-2", "issue" : "16", "issued" : { "date-parts" : [ [ "2014", "8", "19" ] ] }, "page" : "9325-33", "title" : "Irrigation of root vegetables with treated wastewater: evaluating uptake of pharmaceuticals and the associated human health risks.", "type" : "article-journal", "volume" : "48" }, "uris" : [ "http://www.mendeley.com/documents/?uuid=feceb97c-c39f-465c-9f8e-5c9e177d8490" ] } ], "mendeley" : { "formattedCitation" : "(Goldstein et al., 2014; Malchi et al., 2014)", "plainTextFormattedCitation" : "(Goldstein et al., 2014; Malchi et al., 2014)", "previouslyFormattedCitation" : "(Goldstein et al., 2014; Malchi et al., 2014)" }, "properties" : { "noteIndex" : 0 }, "schema" : "https://github.com/citation-style-language/schema/raw/master/csl-citation.json" }</w:instrText>
      </w:r>
      <w:r w:rsidR="00F36F4D">
        <w:fldChar w:fldCharType="separate"/>
      </w:r>
      <w:r w:rsidR="003965B9" w:rsidRPr="003965B9">
        <w:rPr>
          <w:noProof/>
        </w:rPr>
        <w:t>(Goldstein et al., 2014; Malchi et al., 2014)</w:t>
      </w:r>
      <w:r w:rsidR="00F36F4D">
        <w:fldChar w:fldCharType="end"/>
      </w:r>
      <w:r w:rsidR="003965B9">
        <w:t>.</w:t>
      </w:r>
      <w:r w:rsidRPr="0074543F">
        <w:t xml:space="preserve"> </w:t>
      </w:r>
    </w:p>
    <w:p w:rsidR="00F747DC" w:rsidRPr="006A3C11" w:rsidRDefault="00C34B7D" w:rsidP="00534892">
      <w:pPr>
        <w:pStyle w:val="Heading1"/>
        <w:rPr>
          <w:b/>
          <w:bCs/>
        </w:rPr>
      </w:pPr>
      <w:r w:rsidRPr="006A3C11">
        <w:rPr>
          <w:b/>
          <w:bCs/>
        </w:rPr>
        <w:t>Preliminary results</w:t>
      </w:r>
    </w:p>
    <w:p w:rsidR="006637FE" w:rsidRPr="00110E80" w:rsidRDefault="00A25836" w:rsidP="00721DC6">
      <w:r w:rsidRPr="00D73BE6">
        <w:t xml:space="preserve">Tomato plants were exposed to 14 PCs through the irrigation </w:t>
      </w:r>
      <w:r w:rsidR="00125760">
        <w:t xml:space="preserve">with TWW </w:t>
      </w:r>
      <w:r w:rsidRPr="00D73BE6">
        <w:t xml:space="preserve">and </w:t>
      </w:r>
      <w:r w:rsidRPr="00110E80">
        <w:t xml:space="preserve">biosolids application. </w:t>
      </w:r>
      <w:r w:rsidR="00125760">
        <w:t xml:space="preserve">The </w:t>
      </w:r>
      <w:r w:rsidR="00721DC6">
        <w:t>treatments</w:t>
      </w:r>
      <w:r w:rsidR="005F40BA">
        <w:t xml:space="preserve"> in the experiment were</w:t>
      </w:r>
      <w:r w:rsidRPr="00110E80">
        <w:t xml:space="preserve">: </w:t>
      </w:r>
      <w:r w:rsidR="00745A40">
        <w:t xml:space="preserve">1. </w:t>
      </w:r>
      <w:r w:rsidRPr="00110E80">
        <w:t xml:space="preserve">irrigation - fresh water </w:t>
      </w:r>
      <w:r w:rsidR="00125760">
        <w:t>(</w:t>
      </w:r>
      <w:r w:rsidRPr="00110E80">
        <w:t>F</w:t>
      </w:r>
      <w:r w:rsidR="00721DC6">
        <w:t>W</w:t>
      </w:r>
      <w:r w:rsidR="00125760">
        <w:t>)</w:t>
      </w:r>
      <w:r w:rsidR="00171DC7">
        <w:t xml:space="preserve"> and</w:t>
      </w:r>
      <w:r w:rsidRPr="00110E80">
        <w:t xml:space="preserve"> TWW</w:t>
      </w:r>
      <w:r w:rsidR="00721DC6">
        <w:t xml:space="preserve">. </w:t>
      </w:r>
      <w:r w:rsidR="00745A40">
        <w:t xml:space="preserve">2. </w:t>
      </w:r>
      <w:r w:rsidR="00125760">
        <w:t xml:space="preserve"> Soils – Sa'ad</w:t>
      </w:r>
      <w:r w:rsidRPr="00110E80">
        <w:t xml:space="preserve"> </w:t>
      </w:r>
      <w:r w:rsidR="00125760">
        <w:t>(</w:t>
      </w:r>
      <w:r w:rsidRPr="00110E80">
        <w:t>H</w:t>
      </w:r>
      <w:r w:rsidR="00125760">
        <w:t>)</w:t>
      </w:r>
      <w:r w:rsidRPr="00110E80">
        <w:t xml:space="preserve">, Ein Hashlosha </w:t>
      </w:r>
      <w:r w:rsidR="00125760">
        <w:t>(</w:t>
      </w:r>
      <w:r w:rsidRPr="00110E80">
        <w:t>M</w:t>
      </w:r>
      <w:r w:rsidR="00125760">
        <w:t>), and Nir Oz (</w:t>
      </w:r>
      <w:r w:rsidRPr="00110E80">
        <w:t>L</w:t>
      </w:r>
      <w:r w:rsidR="00125760">
        <w:t>)</w:t>
      </w:r>
      <w:r w:rsidRPr="00110E80">
        <w:t xml:space="preserve">. </w:t>
      </w:r>
      <w:r w:rsidR="00745A40">
        <w:t xml:space="preserve">3. </w:t>
      </w:r>
      <w:r w:rsidRPr="00110E80">
        <w:t>Biosolids</w:t>
      </w:r>
      <w:r w:rsidR="00125760">
        <w:t xml:space="preserve"> </w:t>
      </w:r>
      <w:r w:rsidR="00125760" w:rsidRPr="00110E80">
        <w:t>application</w:t>
      </w:r>
      <w:r w:rsidRPr="00110E80">
        <w:t>- 6</w:t>
      </w:r>
      <w:r w:rsidR="00745A40">
        <w:t>0</w:t>
      </w:r>
      <w:r w:rsidRPr="00110E80">
        <w:t xml:space="preserve"> m</w:t>
      </w:r>
      <w:r w:rsidRPr="00110E80">
        <w:rPr>
          <w:vertAlign w:val="superscript"/>
        </w:rPr>
        <w:t>3</w:t>
      </w:r>
      <w:r w:rsidRPr="00110E80">
        <w:t xml:space="preserve"> </w:t>
      </w:r>
      <w:r w:rsidR="00745A40">
        <w:t>hectare</w:t>
      </w:r>
      <w:r w:rsidR="00745A40" w:rsidRPr="00ED2CEE" w:rsidDel="0048094E">
        <w:t xml:space="preserve"> </w:t>
      </w:r>
      <w:r w:rsidRPr="00110E80">
        <w:rPr>
          <w:vertAlign w:val="superscript"/>
        </w:rPr>
        <w:t>-1</w:t>
      </w:r>
      <w:r w:rsidR="00125760" w:rsidRPr="00125760">
        <w:t xml:space="preserve"> </w:t>
      </w:r>
      <w:r w:rsidR="00125760">
        <w:t>(</w:t>
      </w:r>
      <w:r w:rsidR="00125760" w:rsidRPr="00110E80">
        <w:t>BS</w:t>
      </w:r>
      <w:r w:rsidR="00125760">
        <w:t xml:space="preserve">), </w:t>
      </w:r>
      <w:r w:rsidRPr="00110E80">
        <w:t>18</w:t>
      </w:r>
      <w:r w:rsidR="00745A40">
        <w:t>0</w:t>
      </w:r>
      <w:r w:rsidRPr="00110E80">
        <w:t xml:space="preserve"> m</w:t>
      </w:r>
      <w:r w:rsidRPr="00110E80">
        <w:rPr>
          <w:vertAlign w:val="superscript"/>
        </w:rPr>
        <w:t>3</w:t>
      </w:r>
      <w:r w:rsidRPr="00110E80">
        <w:t xml:space="preserve"> </w:t>
      </w:r>
      <w:r w:rsidR="00745A40">
        <w:t>hectare</w:t>
      </w:r>
      <w:r w:rsidR="00745A40" w:rsidRPr="00ED2CEE" w:rsidDel="0048094E">
        <w:t xml:space="preserve"> </w:t>
      </w:r>
      <w:r w:rsidRPr="00110E80">
        <w:rPr>
          <w:vertAlign w:val="superscript"/>
        </w:rPr>
        <w:t>-1</w:t>
      </w:r>
      <w:r w:rsidR="00125760" w:rsidRPr="00125760">
        <w:t xml:space="preserve"> </w:t>
      </w:r>
      <w:r w:rsidR="00125760">
        <w:t>(BSS)</w:t>
      </w:r>
      <w:r w:rsidRPr="00110E80">
        <w:t>.</w:t>
      </w:r>
      <w:r w:rsidR="00C34B7D" w:rsidRPr="00110E80">
        <w:t xml:space="preserve"> </w:t>
      </w:r>
      <w:r w:rsidRPr="00110E80">
        <w:t xml:space="preserve">Uptake was </w:t>
      </w:r>
      <w:r w:rsidR="00C34B7D" w:rsidRPr="00110E80">
        <w:t xml:space="preserve">observed </w:t>
      </w:r>
      <w:r w:rsidRPr="00110E80">
        <w:t>mainly for the nonionic compounds</w:t>
      </w:r>
      <w:r w:rsidR="00F534AD" w:rsidRPr="00110E80">
        <w:t xml:space="preserve"> that can</w:t>
      </w:r>
      <w:r w:rsidR="00721DC6">
        <w:t xml:space="preserve"> cross the cell membrane easily</w:t>
      </w:r>
      <w:r w:rsidRPr="00110E80">
        <w:t xml:space="preserve">. </w:t>
      </w:r>
      <w:r w:rsidR="00125760">
        <w:t>I</w:t>
      </w:r>
      <w:r w:rsidR="00125760" w:rsidRPr="00110E80">
        <w:t xml:space="preserve">n the tomato leaves </w:t>
      </w:r>
      <w:r w:rsidR="00125760">
        <w:t>t</w:t>
      </w:r>
      <w:r w:rsidR="0051489B" w:rsidRPr="00110E80">
        <w:t>hree</w:t>
      </w:r>
      <w:r w:rsidRPr="00110E80">
        <w:t xml:space="preserve"> compounds were found: </w:t>
      </w:r>
      <w:r w:rsidR="0051489B" w:rsidRPr="00110E80">
        <w:t>carbamazepine,</w:t>
      </w:r>
      <w:r w:rsidRPr="00110E80">
        <w:t xml:space="preserve"> lamotrigine</w:t>
      </w:r>
      <w:r w:rsidR="0051489B" w:rsidRPr="00110E80">
        <w:t xml:space="preserve"> and caffeine,</w:t>
      </w:r>
      <w:r w:rsidRPr="00110E80">
        <w:t xml:space="preserve"> </w:t>
      </w:r>
      <w:r w:rsidR="0051489B" w:rsidRPr="00110E80">
        <w:t>35.45 ± 2.25; 9.91 ± 2.62; 14.67 ± 10.33</w:t>
      </w:r>
      <w:r w:rsidR="009E5B9A" w:rsidRPr="00110E80">
        <w:t xml:space="preserve"> ng g</w:t>
      </w:r>
      <w:r w:rsidR="009E5B9A" w:rsidRPr="00110E80">
        <w:rPr>
          <w:vertAlign w:val="superscript"/>
        </w:rPr>
        <w:t>-1</w:t>
      </w:r>
      <w:r w:rsidR="00C34B7D" w:rsidRPr="00110E80">
        <w:t xml:space="preserve">, </w:t>
      </w:r>
      <w:r w:rsidR="0051489B" w:rsidRPr="00110E80">
        <w:t xml:space="preserve">respectively. The amount of PCs that were taken up </w:t>
      </w:r>
      <w:r w:rsidR="009E5B9A" w:rsidRPr="00110E80">
        <w:t>with</w:t>
      </w:r>
      <w:r w:rsidR="0051489B" w:rsidRPr="00110E80">
        <w:t xml:space="preserve"> biosolids </w:t>
      </w:r>
      <w:r w:rsidR="00125760" w:rsidRPr="00110E80">
        <w:t xml:space="preserve">application </w:t>
      </w:r>
      <w:r w:rsidR="009E5B9A" w:rsidRPr="00110E80">
        <w:t>was</w:t>
      </w:r>
      <w:r w:rsidR="00125760">
        <w:t xml:space="preserve"> smaller</w:t>
      </w:r>
      <w:r w:rsidR="0051489B" w:rsidRPr="00110E80">
        <w:t>:</w:t>
      </w:r>
      <w:r w:rsidR="00125760">
        <w:t xml:space="preserve"> carbamazepine,</w:t>
      </w:r>
      <w:r w:rsidR="009E5B9A" w:rsidRPr="00110E80">
        <w:t xml:space="preserve"> 5.92</w:t>
      </w:r>
      <w:r w:rsidR="0051489B" w:rsidRPr="00110E80">
        <w:t xml:space="preserve"> </w:t>
      </w:r>
      <w:r w:rsidR="009E5B9A" w:rsidRPr="00110E80">
        <w:t>± 1.78 ng g</w:t>
      </w:r>
      <w:r w:rsidR="000349F4" w:rsidRPr="00110E80">
        <w:rPr>
          <w:vertAlign w:val="superscript"/>
        </w:rPr>
        <w:t>-1</w:t>
      </w:r>
      <w:r w:rsidR="009E5B9A" w:rsidRPr="00110E80">
        <w:t xml:space="preserve"> and caffeine</w:t>
      </w:r>
      <w:r w:rsidR="00125760">
        <w:t>,</w:t>
      </w:r>
      <w:r w:rsidR="009E5B9A" w:rsidRPr="00110E80">
        <w:t xml:space="preserve"> 5.7 ± 1.15 ng g</w:t>
      </w:r>
      <w:r w:rsidR="000349F4" w:rsidRPr="00110E80">
        <w:rPr>
          <w:vertAlign w:val="superscript"/>
        </w:rPr>
        <w:t>-1</w:t>
      </w:r>
      <w:r w:rsidR="00252C48">
        <w:t xml:space="preserve"> (</w:t>
      </w:r>
      <w:r w:rsidR="00745A40">
        <w:t>F</w:t>
      </w:r>
      <w:r w:rsidR="00252C48">
        <w:t>igure 1).</w:t>
      </w:r>
      <w:r w:rsidR="009E5B9A" w:rsidRPr="00110E80">
        <w:t xml:space="preserve"> In the fruit </w:t>
      </w:r>
      <w:r w:rsidR="00171DC7">
        <w:t>only carbamazepine was found</w:t>
      </w:r>
      <w:r w:rsidR="009E5B9A" w:rsidRPr="00110E80">
        <w:t>: 1.29 ± 0.25 ng g</w:t>
      </w:r>
      <w:r w:rsidR="000349F4" w:rsidRPr="00110E80">
        <w:rPr>
          <w:vertAlign w:val="superscript"/>
        </w:rPr>
        <w:t>-1</w:t>
      </w:r>
      <w:r w:rsidR="00171DC7">
        <w:t xml:space="preserve"> with TWW irrigation</w:t>
      </w:r>
      <w:r w:rsidR="009E5B9A" w:rsidRPr="00110E80">
        <w:t xml:space="preserve"> and 0.21 ± 0.03</w:t>
      </w:r>
      <w:r w:rsidR="000349F4" w:rsidRPr="00110E80">
        <w:t xml:space="preserve"> </w:t>
      </w:r>
      <w:r w:rsidR="00171DC7" w:rsidRPr="00110E80">
        <w:t>ng g</w:t>
      </w:r>
      <w:r w:rsidR="00171DC7" w:rsidRPr="00110E80">
        <w:rPr>
          <w:vertAlign w:val="superscript"/>
        </w:rPr>
        <w:t>-1</w:t>
      </w:r>
      <w:r w:rsidR="00171DC7">
        <w:t xml:space="preserve"> with biosolids application </w:t>
      </w:r>
      <w:r w:rsidR="00252C48">
        <w:t>(</w:t>
      </w:r>
      <w:r w:rsidR="00745A40">
        <w:t>F</w:t>
      </w:r>
      <w:r w:rsidR="00252C48">
        <w:t>igure 2).</w:t>
      </w:r>
      <w:r w:rsidR="009E5B9A" w:rsidRPr="00110E80">
        <w:t xml:space="preserve"> Since the analyzed PCs are not volatile under the experiment</w:t>
      </w:r>
      <w:r w:rsidR="00171DC7">
        <w:t>al</w:t>
      </w:r>
      <w:r w:rsidR="009E5B9A" w:rsidRPr="00110E80">
        <w:t xml:space="preserve"> conditions and there was no direct contact between the </w:t>
      </w:r>
      <w:r w:rsidR="00171DC7">
        <w:t>TWW</w:t>
      </w:r>
      <w:r w:rsidR="009E5B9A" w:rsidRPr="00110E80">
        <w:t xml:space="preserve"> </w:t>
      </w:r>
      <w:r w:rsidR="006B2F0B" w:rsidRPr="00110E80">
        <w:t>or</w:t>
      </w:r>
      <w:r w:rsidR="009E5B9A" w:rsidRPr="00110E80">
        <w:t xml:space="preserve"> the biosolids </w:t>
      </w:r>
      <w:r w:rsidR="006B2F0B" w:rsidRPr="00110E80">
        <w:t>and</w:t>
      </w:r>
      <w:r w:rsidR="009E5B9A" w:rsidRPr="00110E80">
        <w:t xml:space="preserve"> the plants upper part </w:t>
      </w:r>
      <w:r w:rsidR="006B2F0B" w:rsidRPr="00110E80">
        <w:t xml:space="preserve">we can assume that the seen PCs were taken up and translocated by the plant. The other compounds </w:t>
      </w:r>
      <w:r w:rsidR="00721DC6">
        <w:t xml:space="preserve">(mostly acidic PCs) </w:t>
      </w:r>
      <w:r w:rsidR="006B2F0B" w:rsidRPr="00110E80">
        <w:t>were not taken up probably due to percolation, degradation or sorption</w:t>
      </w:r>
      <w:r w:rsidR="006637FE" w:rsidRPr="00110E80">
        <w:t xml:space="preserve"> to the soil</w:t>
      </w:r>
      <w:r w:rsidR="00171DC7">
        <w:t xml:space="preserve"> according to their physicochemical properties</w:t>
      </w:r>
      <w:r w:rsidR="00721DC6">
        <w:t xml:space="preserve"> and for that reason were not taken up by the plant</w:t>
      </w:r>
      <w:r w:rsidR="006637FE" w:rsidRPr="00110E80">
        <w:t xml:space="preserve">. </w:t>
      </w:r>
    </w:p>
    <w:p w:rsidR="00782E2B" w:rsidRPr="00110E80" w:rsidRDefault="00721DC6" w:rsidP="00721DC6">
      <w:r>
        <w:t>PCs concentration was higher under</w:t>
      </w:r>
      <w:r w:rsidR="00782E2B" w:rsidRPr="00110E80">
        <w:t xml:space="preserve"> TWW irrigation than biosolids </w:t>
      </w:r>
      <w:r w:rsidR="00C34B7D" w:rsidRPr="00110E80">
        <w:t>application</w:t>
      </w:r>
      <w:r w:rsidR="00252C48">
        <w:t xml:space="preserve"> (figure 1 and 2)</w:t>
      </w:r>
      <w:r w:rsidR="00782E2B" w:rsidRPr="00110E80">
        <w:t xml:space="preserve">. </w:t>
      </w:r>
      <w:r w:rsidR="00702D09" w:rsidRPr="00110E80">
        <w:t>Probably due to lower loading of the biosolids compared with TWW irrigation that added PCs to the soil solution on a daily basis.</w:t>
      </w:r>
      <w:r>
        <w:t xml:space="preserve"> T</w:t>
      </w:r>
      <w:r w:rsidR="00782E2B" w:rsidRPr="00110E80">
        <w:t xml:space="preserve">he </w:t>
      </w:r>
      <w:r w:rsidR="00702D09">
        <w:t xml:space="preserve">number of PCs in the fruit and their </w:t>
      </w:r>
      <w:r w:rsidR="00782E2B" w:rsidRPr="00110E80">
        <w:t xml:space="preserve">concentrations were </w:t>
      </w:r>
      <w:r w:rsidR="004D2C9A">
        <w:t>lower than</w:t>
      </w:r>
      <w:r w:rsidR="00702D09">
        <w:t xml:space="preserve"> in the leaves.</w:t>
      </w:r>
      <w:r w:rsidR="00782E2B" w:rsidRPr="00110E80">
        <w:t xml:space="preserve"> </w:t>
      </w:r>
      <w:r w:rsidR="006637FE" w:rsidRPr="00110E80">
        <w:t xml:space="preserve"> </w:t>
      </w:r>
    </w:p>
    <w:p w:rsidR="006637FE" w:rsidRPr="00110E80" w:rsidRDefault="00782E2B" w:rsidP="00B60127">
      <w:r w:rsidRPr="00110E80">
        <w:t xml:space="preserve">Carbamazepine metabolites were </w:t>
      </w:r>
      <w:r w:rsidR="00D46518" w:rsidRPr="00110E80">
        <w:t xml:space="preserve">observed </w:t>
      </w:r>
      <w:r w:rsidRPr="00110E80">
        <w:t xml:space="preserve">in the fruit and leaves of the </w:t>
      </w:r>
      <w:r w:rsidR="00B60127">
        <w:t>tomato</w:t>
      </w:r>
      <w:r w:rsidRPr="00110E80">
        <w:t>.</w:t>
      </w:r>
      <w:r w:rsidR="00446FC1" w:rsidRPr="00110E80">
        <w:t xml:space="preserve"> In the</w:t>
      </w:r>
      <w:r w:rsidR="00B60127">
        <w:t xml:space="preserve"> plants</w:t>
      </w:r>
      <w:r w:rsidR="00446FC1" w:rsidRPr="00110E80">
        <w:t xml:space="preserve"> leaves </w:t>
      </w:r>
      <w:r w:rsidR="00B60127">
        <w:t xml:space="preserve">irrigated with TWW, </w:t>
      </w:r>
      <w:r w:rsidR="00446FC1" w:rsidRPr="00110E80">
        <w:t xml:space="preserve">two main metabolites were </w:t>
      </w:r>
      <w:r w:rsidR="00D46518" w:rsidRPr="00110E80">
        <w:t>detected</w:t>
      </w:r>
      <w:r w:rsidR="00446FC1" w:rsidRPr="00110E80">
        <w:t>: 10, 11-epoxide-carbamazepine (</w:t>
      </w:r>
      <w:r w:rsidR="00B60127">
        <w:t>ep</w:t>
      </w:r>
      <w:r w:rsidR="00446FC1" w:rsidRPr="00110E80">
        <w:t>-CBZ) and 10, 11-dihydro-10, 11-dihydroxy-carbamazepine (</w:t>
      </w:r>
      <w:r w:rsidR="00D46518" w:rsidRPr="00110E80">
        <w:t>diOH</w:t>
      </w:r>
      <w:r w:rsidR="00446FC1" w:rsidRPr="00110E80">
        <w:t xml:space="preserve">-CBZ), 86.99 ± 8.38 and </w:t>
      </w:r>
      <w:r w:rsidR="00446FC1" w:rsidRPr="00110E80">
        <w:lastRenderedPageBreak/>
        <w:t>13.22 ± 1.24 ng g</w:t>
      </w:r>
      <w:r w:rsidR="00446FC1" w:rsidRPr="00110E80">
        <w:rPr>
          <w:vertAlign w:val="superscript"/>
        </w:rPr>
        <w:t>-1</w:t>
      </w:r>
      <w:r w:rsidR="00446FC1" w:rsidRPr="00110E80">
        <w:t xml:space="preserve"> respectively. The </w:t>
      </w:r>
      <w:r w:rsidR="004D2C9A">
        <w:t xml:space="preserve">molar </w:t>
      </w:r>
      <w:r w:rsidR="00B60127">
        <w:t xml:space="preserve">fraction of the </w:t>
      </w:r>
      <w:r w:rsidR="00446FC1" w:rsidRPr="00110E80">
        <w:t>two compou</w:t>
      </w:r>
      <w:r w:rsidR="00B60127">
        <w:t>nds together were approximately 0.74</w:t>
      </w:r>
      <w:r w:rsidR="00446FC1" w:rsidRPr="00110E80">
        <w:t xml:space="preserve"> while carbam</w:t>
      </w:r>
      <w:r w:rsidR="00745A40">
        <w:t>azepine was ~</w:t>
      </w:r>
      <w:r w:rsidR="00B60127">
        <w:t>0.24</w:t>
      </w:r>
      <w:r w:rsidR="00745A40">
        <w:t xml:space="preserve">. In the fruit irrigated with TWW </w:t>
      </w:r>
      <w:r w:rsidR="00446FC1" w:rsidRPr="00110E80">
        <w:t xml:space="preserve">only </w:t>
      </w:r>
      <w:r w:rsidR="00D46518" w:rsidRPr="00110E80">
        <w:t>diOH-CBZ</w:t>
      </w:r>
      <w:r w:rsidR="00D46518" w:rsidRPr="00110E80" w:rsidDel="00D46518">
        <w:rPr>
          <w:rFonts w:hint="cs"/>
        </w:rPr>
        <w:t xml:space="preserve"> </w:t>
      </w:r>
      <w:r w:rsidR="00446FC1" w:rsidRPr="00110E80">
        <w:t>was found: 2.3 ± 0.6 ng g</w:t>
      </w:r>
      <w:r w:rsidR="00446FC1" w:rsidRPr="00110E80">
        <w:rPr>
          <w:vertAlign w:val="superscript"/>
        </w:rPr>
        <w:t>-1</w:t>
      </w:r>
      <w:r w:rsidR="00446FC1" w:rsidRPr="00110E80">
        <w:t>. The metabolite</w:t>
      </w:r>
      <w:r w:rsidR="004D2C9A">
        <w:t xml:space="preserve"> molar</w:t>
      </w:r>
      <w:r w:rsidR="00446FC1" w:rsidRPr="00110E80">
        <w:t xml:space="preserve"> fraction was approximately </w:t>
      </w:r>
      <w:r w:rsidR="00B60127">
        <w:t>0.64</w:t>
      </w:r>
      <w:r w:rsidR="00D04B51" w:rsidRPr="00110E80">
        <w:t>. It is observable that the metabolit</w:t>
      </w:r>
      <w:r w:rsidR="00B60127">
        <w:t>es contribute a</w:t>
      </w:r>
      <w:r w:rsidR="00B60127" w:rsidRPr="00110E80">
        <w:t xml:space="preserve"> lot</w:t>
      </w:r>
      <w:r w:rsidR="00D04B51" w:rsidRPr="00110E80">
        <w:t xml:space="preserve"> to the amount of PCs in the plant and cannot be neglected. With biosolids addition uptake was smaller, thus assessing the metabolism was</w:t>
      </w:r>
      <w:r w:rsidR="001E426F">
        <w:t xml:space="preserve"> more</w:t>
      </w:r>
      <w:r w:rsidR="00D04B51" w:rsidRPr="00110E80">
        <w:t xml:space="preserve"> problematic. </w:t>
      </w:r>
      <w:r w:rsidR="00446FC1" w:rsidRPr="00110E80">
        <w:t xml:space="preserve">  </w:t>
      </w:r>
    </w:p>
    <w:p w:rsidR="004D5271" w:rsidRDefault="00D955AB" w:rsidP="00534892">
      <w:r w:rsidRPr="00D955AB">
        <w:rPr>
          <w:noProof/>
        </w:rPr>
        <w:drawing>
          <wp:inline distT="0" distB="0" distL="0" distR="0">
            <wp:extent cx="5537485" cy="2286000"/>
            <wp:effectExtent l="19050" t="0" r="25115"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04B51" w:rsidRDefault="00D86E69" w:rsidP="004358B0">
      <w:pPr>
        <w:spacing w:line="240" w:lineRule="auto"/>
        <w:rPr>
          <w:sz w:val="22"/>
          <w:szCs w:val="24"/>
        </w:rPr>
      </w:pPr>
      <w:r>
        <w:rPr>
          <w:sz w:val="22"/>
          <w:szCs w:val="24"/>
        </w:rPr>
        <w:t>Figure 1</w:t>
      </w:r>
      <w:r w:rsidR="004358B0">
        <w:rPr>
          <w:sz w:val="22"/>
          <w:szCs w:val="24"/>
        </w:rPr>
        <w:t>.</w:t>
      </w:r>
      <w:r>
        <w:rPr>
          <w:sz w:val="22"/>
          <w:szCs w:val="24"/>
        </w:rPr>
        <w:t xml:space="preserve"> Concentration of 3 </w:t>
      </w:r>
      <w:r w:rsidR="00D67BAC">
        <w:rPr>
          <w:sz w:val="22"/>
          <w:szCs w:val="24"/>
        </w:rPr>
        <w:t>pharmaceuticals</w:t>
      </w:r>
      <w:r>
        <w:rPr>
          <w:sz w:val="22"/>
          <w:szCs w:val="24"/>
        </w:rPr>
        <w:t>:</w:t>
      </w:r>
      <w:r w:rsidR="00D04B51" w:rsidRPr="00534892">
        <w:rPr>
          <w:sz w:val="22"/>
          <w:szCs w:val="24"/>
        </w:rPr>
        <w:t xml:space="preserve"> carbamaz</w:t>
      </w:r>
      <w:r>
        <w:rPr>
          <w:sz w:val="22"/>
          <w:szCs w:val="24"/>
        </w:rPr>
        <w:t>epine, lamotrigine and caffeine,</w:t>
      </w:r>
      <w:r w:rsidR="00D04B51" w:rsidRPr="00534892">
        <w:rPr>
          <w:sz w:val="22"/>
          <w:szCs w:val="24"/>
        </w:rPr>
        <w:t xml:space="preserve"> and 2 </w:t>
      </w:r>
      <w:r w:rsidRPr="00534892">
        <w:rPr>
          <w:sz w:val="22"/>
          <w:szCs w:val="24"/>
        </w:rPr>
        <w:t>carbamaz</w:t>
      </w:r>
      <w:r>
        <w:rPr>
          <w:sz w:val="22"/>
          <w:szCs w:val="24"/>
        </w:rPr>
        <w:t>epine</w:t>
      </w:r>
      <w:r w:rsidRPr="00534892">
        <w:rPr>
          <w:sz w:val="22"/>
          <w:szCs w:val="24"/>
        </w:rPr>
        <w:t xml:space="preserve"> </w:t>
      </w:r>
      <w:r w:rsidR="00D04B51" w:rsidRPr="00534892">
        <w:rPr>
          <w:sz w:val="22"/>
          <w:szCs w:val="24"/>
        </w:rPr>
        <w:t>metabolites</w:t>
      </w:r>
      <w:r>
        <w:rPr>
          <w:sz w:val="22"/>
          <w:szCs w:val="24"/>
        </w:rPr>
        <w:t>:</w:t>
      </w:r>
      <w:r w:rsidR="00D04B51" w:rsidRPr="00534892">
        <w:rPr>
          <w:sz w:val="22"/>
          <w:szCs w:val="24"/>
        </w:rPr>
        <w:t xml:space="preserve"> </w:t>
      </w:r>
      <w:r w:rsidRPr="00D86E69">
        <w:rPr>
          <w:sz w:val="22"/>
          <w:szCs w:val="24"/>
        </w:rPr>
        <w:t>10, 11-epoxide-carbamazepine</w:t>
      </w:r>
      <w:r w:rsidR="00D955AB">
        <w:rPr>
          <w:sz w:val="22"/>
          <w:szCs w:val="24"/>
        </w:rPr>
        <w:t xml:space="preserve"> (ep-CBZ)</w:t>
      </w:r>
      <w:r w:rsidRPr="00D86E69">
        <w:rPr>
          <w:sz w:val="22"/>
          <w:szCs w:val="24"/>
        </w:rPr>
        <w:t xml:space="preserve"> and 10, 11-dihydro-10, 11-dihydroxy-carbamazepine</w:t>
      </w:r>
      <w:r w:rsidR="00D04B51" w:rsidRPr="00534892">
        <w:rPr>
          <w:sz w:val="22"/>
          <w:szCs w:val="24"/>
        </w:rPr>
        <w:t xml:space="preserve"> </w:t>
      </w:r>
      <w:r w:rsidR="00D955AB">
        <w:rPr>
          <w:sz w:val="22"/>
          <w:szCs w:val="24"/>
        </w:rPr>
        <w:t>(</w:t>
      </w:r>
      <w:r w:rsidR="0042161E">
        <w:rPr>
          <w:sz w:val="22"/>
          <w:szCs w:val="24"/>
        </w:rPr>
        <w:t xml:space="preserve">trans </w:t>
      </w:r>
      <w:r w:rsidR="00D955AB">
        <w:rPr>
          <w:sz w:val="22"/>
          <w:szCs w:val="24"/>
        </w:rPr>
        <w:t xml:space="preserve">diOH-CBZ) </w:t>
      </w:r>
      <w:r w:rsidR="00D04B51" w:rsidRPr="00534892">
        <w:rPr>
          <w:sz w:val="22"/>
          <w:szCs w:val="24"/>
        </w:rPr>
        <w:t xml:space="preserve">in the tomato leaves under </w:t>
      </w:r>
      <w:r w:rsidR="005F40BA">
        <w:rPr>
          <w:sz w:val="22"/>
          <w:szCs w:val="24"/>
        </w:rPr>
        <w:t>different variables combinations-</w:t>
      </w:r>
      <w:r>
        <w:rPr>
          <w:sz w:val="22"/>
          <w:szCs w:val="24"/>
        </w:rPr>
        <w:t xml:space="preserve"> </w:t>
      </w:r>
      <w:r w:rsidR="0042161E">
        <w:rPr>
          <w:sz w:val="22"/>
          <w:szCs w:val="24"/>
        </w:rPr>
        <w:t>water</w:t>
      </w:r>
      <w:r>
        <w:rPr>
          <w:sz w:val="22"/>
          <w:szCs w:val="24"/>
        </w:rPr>
        <w:t xml:space="preserve"> irrigation</w:t>
      </w:r>
      <w:r w:rsidR="0042161E">
        <w:rPr>
          <w:sz w:val="22"/>
          <w:szCs w:val="24"/>
        </w:rPr>
        <w:t>:</w:t>
      </w:r>
      <w:r>
        <w:rPr>
          <w:sz w:val="22"/>
          <w:szCs w:val="24"/>
        </w:rPr>
        <w:t xml:space="preserve"> treated wastewater (T) and fresh water (F</w:t>
      </w:r>
      <w:r w:rsidR="005F40BA">
        <w:rPr>
          <w:sz w:val="22"/>
          <w:szCs w:val="24"/>
        </w:rPr>
        <w:t xml:space="preserve">); </w:t>
      </w:r>
      <w:r>
        <w:rPr>
          <w:sz w:val="22"/>
          <w:szCs w:val="24"/>
        </w:rPr>
        <w:t xml:space="preserve">soils: Sa’ad (H), Ein Hashlosha </w:t>
      </w:r>
      <w:r w:rsidR="00D04B51" w:rsidRPr="00534892">
        <w:rPr>
          <w:sz w:val="22"/>
          <w:szCs w:val="24"/>
        </w:rPr>
        <w:t>(M</w:t>
      </w:r>
      <w:r>
        <w:rPr>
          <w:sz w:val="22"/>
          <w:szCs w:val="24"/>
        </w:rPr>
        <w:t>)</w:t>
      </w:r>
      <w:r w:rsidR="00D04B51" w:rsidRPr="00534892">
        <w:rPr>
          <w:sz w:val="22"/>
          <w:szCs w:val="24"/>
        </w:rPr>
        <w:t xml:space="preserve"> and</w:t>
      </w:r>
      <w:r>
        <w:rPr>
          <w:sz w:val="22"/>
          <w:szCs w:val="24"/>
        </w:rPr>
        <w:t xml:space="preserve"> Nir Oz</w:t>
      </w:r>
      <w:r w:rsidR="00D04B51" w:rsidRPr="00534892">
        <w:rPr>
          <w:sz w:val="22"/>
          <w:szCs w:val="24"/>
        </w:rPr>
        <w:t xml:space="preserve"> </w:t>
      </w:r>
      <w:r>
        <w:rPr>
          <w:sz w:val="22"/>
          <w:szCs w:val="24"/>
        </w:rPr>
        <w:t>(</w:t>
      </w:r>
      <w:r w:rsidR="00D04B51" w:rsidRPr="00534892">
        <w:rPr>
          <w:sz w:val="22"/>
          <w:szCs w:val="24"/>
        </w:rPr>
        <w:t>L</w:t>
      </w:r>
      <w:r w:rsidR="005F40BA" w:rsidRPr="00534892">
        <w:rPr>
          <w:sz w:val="22"/>
          <w:szCs w:val="24"/>
        </w:rPr>
        <w:t>)</w:t>
      </w:r>
      <w:r w:rsidR="005F40BA">
        <w:rPr>
          <w:sz w:val="22"/>
          <w:szCs w:val="24"/>
        </w:rPr>
        <w:t xml:space="preserve">; </w:t>
      </w:r>
      <w:r w:rsidR="0042161E">
        <w:rPr>
          <w:sz w:val="22"/>
          <w:szCs w:val="24"/>
        </w:rPr>
        <w:t>and b</w:t>
      </w:r>
      <w:r w:rsidR="00D04B51" w:rsidRPr="00534892">
        <w:rPr>
          <w:sz w:val="22"/>
          <w:szCs w:val="24"/>
        </w:rPr>
        <w:t>iosolids</w:t>
      </w:r>
      <w:r>
        <w:rPr>
          <w:sz w:val="22"/>
          <w:szCs w:val="24"/>
        </w:rPr>
        <w:t xml:space="preserve"> application: </w:t>
      </w:r>
      <w:r w:rsidR="00D67BAC">
        <w:rPr>
          <w:sz w:val="22"/>
          <w:szCs w:val="24"/>
        </w:rPr>
        <w:t>60 m</w:t>
      </w:r>
      <w:r w:rsidR="00D67BAC" w:rsidRPr="00D67BAC">
        <w:rPr>
          <w:sz w:val="22"/>
          <w:szCs w:val="24"/>
          <w:vertAlign w:val="superscript"/>
        </w:rPr>
        <w:t>3</w:t>
      </w:r>
      <w:r w:rsidR="00D67BAC">
        <w:rPr>
          <w:sz w:val="22"/>
          <w:szCs w:val="24"/>
        </w:rPr>
        <w:t xml:space="preserve"> hectare</w:t>
      </w:r>
      <w:r w:rsidR="00D67BAC" w:rsidRPr="00D67BAC">
        <w:rPr>
          <w:sz w:val="22"/>
          <w:szCs w:val="24"/>
          <w:vertAlign w:val="superscript"/>
        </w:rPr>
        <w:t>-1</w:t>
      </w:r>
      <w:r w:rsidR="00D67BAC">
        <w:rPr>
          <w:sz w:val="22"/>
          <w:szCs w:val="24"/>
        </w:rPr>
        <w:t xml:space="preserve"> (BS) and 180 m</w:t>
      </w:r>
      <w:r w:rsidR="00D67BAC" w:rsidRPr="00D67BAC">
        <w:rPr>
          <w:sz w:val="22"/>
          <w:szCs w:val="24"/>
          <w:vertAlign w:val="superscript"/>
        </w:rPr>
        <w:t>3</w:t>
      </w:r>
      <w:r w:rsidR="00D67BAC">
        <w:rPr>
          <w:sz w:val="22"/>
          <w:szCs w:val="24"/>
        </w:rPr>
        <w:t xml:space="preserve"> hectare</w:t>
      </w:r>
      <w:r w:rsidR="00D67BAC" w:rsidRPr="00D67BAC">
        <w:rPr>
          <w:sz w:val="22"/>
          <w:szCs w:val="24"/>
          <w:vertAlign w:val="superscript"/>
        </w:rPr>
        <w:t>-1</w:t>
      </w:r>
      <w:r w:rsidR="00D04B51" w:rsidRPr="00534892">
        <w:rPr>
          <w:sz w:val="22"/>
          <w:szCs w:val="24"/>
        </w:rPr>
        <w:t xml:space="preserve"> (BSS).</w:t>
      </w:r>
      <w:r w:rsidR="00721DC6">
        <w:rPr>
          <w:sz w:val="22"/>
          <w:szCs w:val="24"/>
        </w:rPr>
        <w:t xml:space="preserve"> The bars are standard deviations for 3 repeats.</w:t>
      </w:r>
    </w:p>
    <w:p w:rsidR="0042161E" w:rsidRPr="00534892" w:rsidRDefault="0042161E" w:rsidP="0042161E">
      <w:pPr>
        <w:spacing w:line="240" w:lineRule="auto"/>
        <w:rPr>
          <w:sz w:val="22"/>
          <w:szCs w:val="24"/>
        </w:rPr>
      </w:pPr>
    </w:p>
    <w:p w:rsidR="004D5271" w:rsidRPr="004D5271" w:rsidRDefault="00D955AB" w:rsidP="00534892">
      <w:r w:rsidRPr="00D955AB">
        <w:rPr>
          <w:noProof/>
        </w:rPr>
        <w:drawing>
          <wp:inline distT="0" distB="0" distL="0" distR="0">
            <wp:extent cx="5595251" cy="2101755"/>
            <wp:effectExtent l="19050" t="0" r="24499"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21DC6" w:rsidRDefault="00D67BAC" w:rsidP="00721DC6">
      <w:pPr>
        <w:spacing w:line="240" w:lineRule="auto"/>
        <w:rPr>
          <w:sz w:val="22"/>
          <w:szCs w:val="24"/>
        </w:rPr>
      </w:pPr>
      <w:r>
        <w:rPr>
          <w:sz w:val="22"/>
          <w:szCs w:val="24"/>
        </w:rPr>
        <w:t xml:space="preserve">Figure </w:t>
      </w:r>
      <w:r w:rsidR="004358B0">
        <w:rPr>
          <w:sz w:val="22"/>
          <w:szCs w:val="24"/>
        </w:rPr>
        <w:t>2.</w:t>
      </w:r>
      <w:r>
        <w:rPr>
          <w:sz w:val="22"/>
          <w:szCs w:val="24"/>
        </w:rPr>
        <w:t xml:space="preserve"> Concentration of </w:t>
      </w:r>
      <w:r w:rsidRPr="00534892">
        <w:rPr>
          <w:sz w:val="22"/>
          <w:szCs w:val="24"/>
        </w:rPr>
        <w:t>carbamaz</w:t>
      </w:r>
      <w:r>
        <w:rPr>
          <w:sz w:val="22"/>
          <w:szCs w:val="24"/>
        </w:rPr>
        <w:t>epine and</w:t>
      </w:r>
      <w:r w:rsidRPr="00534892">
        <w:rPr>
          <w:sz w:val="22"/>
          <w:szCs w:val="24"/>
        </w:rPr>
        <w:t xml:space="preserve"> </w:t>
      </w:r>
      <w:r>
        <w:rPr>
          <w:sz w:val="22"/>
          <w:szCs w:val="24"/>
        </w:rPr>
        <w:t xml:space="preserve">its metabolite: </w:t>
      </w:r>
      <w:r w:rsidRPr="00D86E69">
        <w:rPr>
          <w:sz w:val="22"/>
          <w:szCs w:val="24"/>
        </w:rPr>
        <w:t>10, 11-dihydro-10, 11-dihydroxy-carbamazepine</w:t>
      </w:r>
      <w:r w:rsidR="0042161E">
        <w:rPr>
          <w:sz w:val="22"/>
          <w:szCs w:val="24"/>
        </w:rPr>
        <w:t xml:space="preserve"> (</w:t>
      </w:r>
      <w:proofErr w:type="gramStart"/>
      <w:r w:rsidR="0042161E">
        <w:rPr>
          <w:sz w:val="22"/>
          <w:szCs w:val="24"/>
        </w:rPr>
        <w:t>trans</w:t>
      </w:r>
      <w:proofErr w:type="gramEnd"/>
      <w:r w:rsidR="0042161E">
        <w:rPr>
          <w:sz w:val="22"/>
          <w:szCs w:val="24"/>
        </w:rPr>
        <w:t xml:space="preserve"> diOH-CBZ)</w:t>
      </w:r>
      <w:r w:rsidRPr="00534892">
        <w:rPr>
          <w:sz w:val="22"/>
          <w:szCs w:val="24"/>
        </w:rPr>
        <w:t xml:space="preserve"> in the tomato </w:t>
      </w:r>
      <w:r>
        <w:rPr>
          <w:sz w:val="22"/>
          <w:szCs w:val="24"/>
        </w:rPr>
        <w:t>fruit</w:t>
      </w:r>
      <w:r w:rsidRPr="00534892">
        <w:rPr>
          <w:sz w:val="22"/>
          <w:szCs w:val="24"/>
        </w:rPr>
        <w:t xml:space="preserve"> </w:t>
      </w:r>
      <w:r w:rsidR="005F40BA" w:rsidRPr="00534892">
        <w:rPr>
          <w:sz w:val="22"/>
          <w:szCs w:val="24"/>
        </w:rPr>
        <w:t xml:space="preserve">under </w:t>
      </w:r>
      <w:r w:rsidR="005F40BA">
        <w:rPr>
          <w:sz w:val="22"/>
          <w:szCs w:val="24"/>
        </w:rPr>
        <w:t xml:space="preserve">different variables combinations- water irrigation: treated wastewater (T) and fresh water (F); soils: Sa’ad (H), Ein Hashlosha </w:t>
      </w:r>
      <w:r w:rsidR="005F40BA" w:rsidRPr="00534892">
        <w:rPr>
          <w:sz w:val="22"/>
          <w:szCs w:val="24"/>
        </w:rPr>
        <w:t>(M</w:t>
      </w:r>
      <w:r w:rsidR="005F40BA">
        <w:rPr>
          <w:sz w:val="22"/>
          <w:szCs w:val="24"/>
        </w:rPr>
        <w:t>)</w:t>
      </w:r>
      <w:r w:rsidR="005F40BA" w:rsidRPr="00534892">
        <w:rPr>
          <w:sz w:val="22"/>
          <w:szCs w:val="24"/>
        </w:rPr>
        <w:t xml:space="preserve"> and</w:t>
      </w:r>
      <w:r w:rsidR="005F40BA">
        <w:rPr>
          <w:sz w:val="22"/>
          <w:szCs w:val="24"/>
        </w:rPr>
        <w:t xml:space="preserve"> Nir Oz</w:t>
      </w:r>
      <w:r w:rsidR="005F40BA" w:rsidRPr="00534892">
        <w:rPr>
          <w:sz w:val="22"/>
          <w:szCs w:val="24"/>
        </w:rPr>
        <w:t xml:space="preserve"> </w:t>
      </w:r>
      <w:r w:rsidR="005F40BA">
        <w:rPr>
          <w:sz w:val="22"/>
          <w:szCs w:val="24"/>
        </w:rPr>
        <w:t>(</w:t>
      </w:r>
      <w:r w:rsidR="005F40BA" w:rsidRPr="00534892">
        <w:rPr>
          <w:sz w:val="22"/>
          <w:szCs w:val="24"/>
        </w:rPr>
        <w:t>L)</w:t>
      </w:r>
      <w:r w:rsidR="005F40BA">
        <w:rPr>
          <w:sz w:val="22"/>
          <w:szCs w:val="24"/>
        </w:rPr>
        <w:t>; and b</w:t>
      </w:r>
      <w:r w:rsidR="005F40BA" w:rsidRPr="00534892">
        <w:rPr>
          <w:sz w:val="22"/>
          <w:szCs w:val="24"/>
        </w:rPr>
        <w:t>iosolids</w:t>
      </w:r>
      <w:r w:rsidR="005F40BA">
        <w:rPr>
          <w:sz w:val="22"/>
          <w:szCs w:val="24"/>
        </w:rPr>
        <w:t xml:space="preserve"> application: 60 m</w:t>
      </w:r>
      <w:r w:rsidR="005F40BA" w:rsidRPr="00D67BAC">
        <w:rPr>
          <w:sz w:val="22"/>
          <w:szCs w:val="24"/>
          <w:vertAlign w:val="superscript"/>
        </w:rPr>
        <w:t>3</w:t>
      </w:r>
      <w:r w:rsidR="005F40BA">
        <w:rPr>
          <w:sz w:val="22"/>
          <w:szCs w:val="24"/>
        </w:rPr>
        <w:t xml:space="preserve"> hectare</w:t>
      </w:r>
      <w:r w:rsidR="005F40BA" w:rsidRPr="00D67BAC">
        <w:rPr>
          <w:sz w:val="22"/>
          <w:szCs w:val="24"/>
          <w:vertAlign w:val="superscript"/>
        </w:rPr>
        <w:t>-1</w:t>
      </w:r>
      <w:r w:rsidR="005F40BA">
        <w:rPr>
          <w:sz w:val="22"/>
          <w:szCs w:val="24"/>
        </w:rPr>
        <w:t xml:space="preserve"> (BS) and 180 m</w:t>
      </w:r>
      <w:r w:rsidR="005F40BA" w:rsidRPr="00D67BAC">
        <w:rPr>
          <w:sz w:val="22"/>
          <w:szCs w:val="24"/>
          <w:vertAlign w:val="superscript"/>
        </w:rPr>
        <w:t>3</w:t>
      </w:r>
      <w:r w:rsidR="005F40BA">
        <w:rPr>
          <w:sz w:val="22"/>
          <w:szCs w:val="24"/>
        </w:rPr>
        <w:t xml:space="preserve"> hectare</w:t>
      </w:r>
      <w:r w:rsidR="005F40BA" w:rsidRPr="00D67BAC">
        <w:rPr>
          <w:sz w:val="22"/>
          <w:szCs w:val="24"/>
          <w:vertAlign w:val="superscript"/>
        </w:rPr>
        <w:t>-1</w:t>
      </w:r>
      <w:r w:rsidR="005F40BA" w:rsidRPr="00534892">
        <w:rPr>
          <w:sz w:val="22"/>
          <w:szCs w:val="24"/>
        </w:rPr>
        <w:t xml:space="preserve"> (BSS).</w:t>
      </w:r>
      <w:r w:rsidR="00721DC6" w:rsidRPr="00721DC6">
        <w:rPr>
          <w:sz w:val="22"/>
          <w:szCs w:val="24"/>
        </w:rPr>
        <w:t xml:space="preserve"> </w:t>
      </w:r>
      <w:r w:rsidR="00721DC6">
        <w:rPr>
          <w:sz w:val="22"/>
          <w:szCs w:val="24"/>
        </w:rPr>
        <w:t>The bars are standard deviations for 3 repeats.</w:t>
      </w:r>
    </w:p>
    <w:p w:rsidR="005F40BA" w:rsidRDefault="005F40BA" w:rsidP="004358B0">
      <w:pPr>
        <w:spacing w:line="240" w:lineRule="auto"/>
        <w:rPr>
          <w:sz w:val="22"/>
          <w:szCs w:val="24"/>
        </w:rPr>
      </w:pPr>
    </w:p>
    <w:p w:rsidR="00F747DC" w:rsidRPr="006A3C11" w:rsidRDefault="00F747DC" w:rsidP="00FD1D53">
      <w:pPr>
        <w:pStyle w:val="Heading1"/>
        <w:rPr>
          <w:b/>
          <w:bCs/>
        </w:rPr>
      </w:pPr>
      <w:r w:rsidRPr="006A3C11">
        <w:rPr>
          <w:b/>
          <w:bCs/>
        </w:rPr>
        <w:lastRenderedPageBreak/>
        <w:t>References</w:t>
      </w:r>
    </w:p>
    <w:p w:rsidR="00233E06" w:rsidRPr="00233E06" w:rsidRDefault="00F36F4D" w:rsidP="001E2E8D">
      <w:pPr>
        <w:pStyle w:val="NormalWeb"/>
        <w:spacing w:before="0" w:beforeAutospacing="0" w:after="0" w:afterAutospacing="0" w:line="360" w:lineRule="auto"/>
        <w:divId w:val="1158611943"/>
        <w:rPr>
          <w:rFonts w:eastAsiaTheme="minorEastAsia"/>
          <w:noProof/>
        </w:rPr>
      </w:pPr>
      <w:r>
        <w:rPr>
          <w:rFonts w:asciiTheme="majorBidi" w:hAnsiTheme="majorBidi" w:cstheme="majorBidi"/>
        </w:rPr>
        <w:fldChar w:fldCharType="begin" w:fldLock="1"/>
      </w:r>
      <w:r w:rsidR="00ED3019">
        <w:rPr>
          <w:rFonts w:asciiTheme="majorBidi" w:hAnsiTheme="majorBidi" w:cstheme="majorBidi"/>
        </w:rPr>
        <w:instrText xml:space="preserve">ADDIN Mendeley Bibliography CSL_BIBLIOGRAPHY </w:instrText>
      </w:r>
      <w:r>
        <w:rPr>
          <w:rFonts w:asciiTheme="majorBidi" w:hAnsiTheme="majorBidi" w:cstheme="majorBidi"/>
        </w:rPr>
        <w:fldChar w:fldCharType="separate"/>
      </w:r>
      <w:r w:rsidR="00233E06" w:rsidRPr="00233E06">
        <w:rPr>
          <w:noProof/>
        </w:rPr>
        <w:t xml:space="preserve">Boeckel, V.T.P., S. Gandra, A. Ashok, Q. Caudron, B.T. Grenfell, S. </w:t>
      </w:r>
      <w:r w:rsidR="00684381">
        <w:rPr>
          <w:noProof/>
        </w:rPr>
        <w:t>A</w:t>
      </w:r>
      <w:r w:rsidR="00233E06" w:rsidRPr="00233E06">
        <w:rPr>
          <w:noProof/>
        </w:rPr>
        <w:t>. Levin, and R. Laxminarayan. 2014. Global antibi</w:t>
      </w:r>
      <w:r w:rsidR="00614D5F">
        <w:rPr>
          <w:noProof/>
        </w:rPr>
        <w:t>otic consumption 2000 to 2010: a</w:t>
      </w:r>
      <w:r w:rsidR="00233E06" w:rsidRPr="00233E06">
        <w:rPr>
          <w:noProof/>
        </w:rPr>
        <w:t>n analysis of national pharmaceutical sal</w:t>
      </w:r>
      <w:r w:rsidR="00751C83">
        <w:rPr>
          <w:noProof/>
        </w:rPr>
        <w:t>es data. Lancet Infect. Dis. 14</w:t>
      </w:r>
      <w:r w:rsidR="00233E06" w:rsidRPr="00233E06">
        <w:rPr>
          <w:noProof/>
        </w:rPr>
        <w:t>: 742–750.</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Borgman, O., and B. Chefetz. 2013. Combined effects of biosolids application and irrigation with reclaimed wastewater on transport of pharmaceutical compounds</w:t>
      </w:r>
      <w:r w:rsidR="00751C83">
        <w:rPr>
          <w:noProof/>
        </w:rPr>
        <w:t xml:space="preserve"> in arable soils. Water Res. 47</w:t>
      </w:r>
      <w:r w:rsidRPr="00233E06">
        <w:rPr>
          <w:noProof/>
        </w:rPr>
        <w:t>: 3431–3443.</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Briggs, G.G., R.H. Bromilow, and A.A. Evans. 1982. Relationships between lipophilicity and root uptake and translocation of non-ionised chemi</w:t>
      </w:r>
      <w:r w:rsidR="00751C83">
        <w:rPr>
          <w:noProof/>
        </w:rPr>
        <w:t>cals by barley. Pestic. Sci. 13</w:t>
      </w:r>
      <w:r w:rsidRPr="00233E06">
        <w:rPr>
          <w:noProof/>
        </w:rPr>
        <w:t>: 495–504.</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Chefetz, B., T. Mualem, and J. Ben-Ari. 2008. Sorption and mobility of pharmaceutical compounds in soil irrigated with reclaimed wastewater. Chemosphere</w:t>
      </w:r>
      <w:r w:rsidR="00684381">
        <w:rPr>
          <w:noProof/>
        </w:rPr>
        <w:t>.</w:t>
      </w:r>
      <w:r w:rsidRPr="00233E06">
        <w:rPr>
          <w:noProof/>
        </w:rPr>
        <w:t xml:space="preserve"> 73</w:t>
      </w:r>
      <w:r w:rsidR="00751C83">
        <w:rPr>
          <w:noProof/>
        </w:rPr>
        <w:t>:</w:t>
      </w:r>
      <w:r w:rsidRPr="00233E06">
        <w:rPr>
          <w:noProof/>
        </w:rPr>
        <w:t>1335–1343.</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Chen, W., J. Xu, S. Lu, W. Jiao, L. Wu, and A.C. Chang. 2013. Fates and transport of PPCPs in soil receiving reclaimed w</w:t>
      </w:r>
      <w:r w:rsidR="00751C83">
        <w:rPr>
          <w:noProof/>
        </w:rPr>
        <w:t>ater irrigation. Chemosphere</w:t>
      </w:r>
      <w:r w:rsidR="00684381">
        <w:rPr>
          <w:noProof/>
        </w:rPr>
        <w:t>.</w:t>
      </w:r>
      <w:r w:rsidR="00751C83">
        <w:rPr>
          <w:noProof/>
        </w:rPr>
        <w:t xml:space="preserve"> 93</w:t>
      </w:r>
      <w:r w:rsidRPr="00233E06">
        <w:rPr>
          <w:noProof/>
        </w:rPr>
        <w:t>: 2621–2630.</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Dobbs, R.A., L. Wang, and R. Govind. 1989. Sorption of toxic organic compounds on wastewater solids: Mechanism and mode</w:t>
      </w:r>
      <w:r w:rsidR="00751C83">
        <w:rPr>
          <w:noProof/>
        </w:rPr>
        <w:t>ling. Environ. Sci. Technol. 23</w:t>
      </w:r>
      <w:r w:rsidRPr="00233E06">
        <w:rPr>
          <w:noProof/>
        </w:rPr>
        <w:t>: 1092–1097.</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Dodgen, L.K., J. Li, D. Parker, and J.J. Gan. 2013. Uptake and accumulation of four PPCP/EDCs in two leafy vegetables. Environ. Pollut. 182: 150–156.</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 xml:space="preserve">Enstone, D.E., </w:t>
      </w:r>
      <w:r w:rsidR="00FE4D3E" w:rsidRPr="00233E06">
        <w:rPr>
          <w:noProof/>
        </w:rPr>
        <w:t>Peterson</w:t>
      </w:r>
      <w:r w:rsidR="00FE4D3E">
        <w:rPr>
          <w:noProof/>
        </w:rPr>
        <w:t>,</w:t>
      </w:r>
      <w:r w:rsidR="00FE4D3E" w:rsidRPr="00233E06">
        <w:rPr>
          <w:noProof/>
        </w:rPr>
        <w:t xml:space="preserve"> </w:t>
      </w:r>
      <w:r w:rsidRPr="00233E06">
        <w:rPr>
          <w:noProof/>
        </w:rPr>
        <w:t xml:space="preserve">C. </w:t>
      </w:r>
      <w:r w:rsidR="00FE4D3E">
        <w:rPr>
          <w:noProof/>
        </w:rPr>
        <w:t>A</w:t>
      </w:r>
      <w:r w:rsidRPr="00233E06">
        <w:rPr>
          <w:noProof/>
        </w:rPr>
        <w:t xml:space="preserve">., and F. </w:t>
      </w:r>
      <w:r w:rsidR="00FE4D3E" w:rsidRPr="00233E06">
        <w:rPr>
          <w:noProof/>
        </w:rPr>
        <w:t>Ma</w:t>
      </w:r>
      <w:r w:rsidR="00FE4D3E">
        <w:rPr>
          <w:noProof/>
        </w:rPr>
        <w:t xml:space="preserve">. </w:t>
      </w:r>
      <w:r w:rsidRPr="00233E06">
        <w:rPr>
          <w:noProof/>
        </w:rPr>
        <w:t>2003. Root endodermis and exodermis: Structure, function, and responses to the environ</w:t>
      </w:r>
      <w:r w:rsidR="00751C83">
        <w:rPr>
          <w:noProof/>
        </w:rPr>
        <w:t>ment. J. Plant Growth Regul. 21</w:t>
      </w:r>
      <w:r w:rsidRPr="00233E06">
        <w:rPr>
          <w:noProof/>
        </w:rPr>
        <w:t>: 335–351.</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Goldstein, M., M. Shenker, and B. Chefetz. 2014. Insights into the uptake processes of wastewater-borne pharmaceuticals by vegeta</w:t>
      </w:r>
      <w:r w:rsidR="00751C83">
        <w:rPr>
          <w:noProof/>
        </w:rPr>
        <w:t>bles. Environ. Sci. Technol. 48</w:t>
      </w:r>
      <w:r w:rsidRPr="00233E06">
        <w:rPr>
          <w:noProof/>
        </w:rPr>
        <w:t>: 5593–600.</w:t>
      </w:r>
    </w:p>
    <w:p w:rsidR="00233E06" w:rsidRDefault="00233E06" w:rsidP="001E2E8D">
      <w:pPr>
        <w:pStyle w:val="NormalWeb"/>
        <w:spacing w:before="0" w:beforeAutospacing="0" w:after="0" w:afterAutospacing="0" w:line="360" w:lineRule="auto"/>
        <w:divId w:val="1158611943"/>
        <w:rPr>
          <w:noProof/>
        </w:rPr>
      </w:pPr>
      <w:r w:rsidRPr="00233E06">
        <w:rPr>
          <w:noProof/>
        </w:rPr>
        <w:t>Golovko, O., V. Kumar, G. Fedorova, T. Randak, and R. Grabic. 2014. Seasonal changes in antibiotics, antidepressants/psychiatric drugs, antihistamines and lipid regulators in a wastewater treatment plant. Chemosphere</w:t>
      </w:r>
      <w:r w:rsidR="00684381">
        <w:rPr>
          <w:noProof/>
        </w:rPr>
        <w:t>.</w:t>
      </w:r>
      <w:r w:rsidRPr="00233E06">
        <w:rPr>
          <w:noProof/>
        </w:rPr>
        <w:t xml:space="preserve"> 111: 418–426.</w:t>
      </w:r>
    </w:p>
    <w:p w:rsidR="00EE7A7F" w:rsidRPr="00233E06" w:rsidRDefault="00EE7A7F" w:rsidP="001E2E8D">
      <w:pPr>
        <w:pStyle w:val="NormalWeb"/>
        <w:spacing w:before="0" w:beforeAutospacing="0" w:after="0" w:afterAutospacing="0" w:line="360" w:lineRule="auto"/>
        <w:divId w:val="1158611943"/>
        <w:rPr>
          <w:noProof/>
        </w:rPr>
      </w:pPr>
      <w:r>
        <w:rPr>
          <w:noProof/>
        </w:rPr>
        <w:t xml:space="preserve">Gregory, P.J. 2008. Plant roots. Growth, activity and interaction with soils. </w:t>
      </w:r>
      <w:r w:rsidR="003D740C">
        <w:rPr>
          <w:noProof/>
        </w:rPr>
        <w:t>Blackwell. Oxford.</w:t>
      </w:r>
    </w:p>
    <w:p w:rsidR="00233E06" w:rsidRDefault="00233E06" w:rsidP="001E2E8D">
      <w:pPr>
        <w:pStyle w:val="NormalWeb"/>
        <w:spacing w:before="0" w:beforeAutospacing="0" w:after="0" w:afterAutospacing="0" w:line="360" w:lineRule="auto"/>
        <w:divId w:val="1158611943"/>
        <w:rPr>
          <w:noProof/>
        </w:rPr>
      </w:pPr>
      <w:r w:rsidRPr="00233E06">
        <w:rPr>
          <w:noProof/>
        </w:rPr>
        <w:t>Herklotz, P.A., P. Gurung, B. Vanden, and C.A. Kinney. 2010. Uptake of human pharmaceuticals by plants grown under hydrop</w:t>
      </w:r>
      <w:r w:rsidR="00751C83">
        <w:rPr>
          <w:noProof/>
        </w:rPr>
        <w:t>onic conditions. Chemosphere</w:t>
      </w:r>
      <w:r w:rsidR="00684381">
        <w:rPr>
          <w:noProof/>
        </w:rPr>
        <w:t>.</w:t>
      </w:r>
      <w:r w:rsidR="00751C83">
        <w:rPr>
          <w:noProof/>
        </w:rPr>
        <w:t xml:space="preserve"> 78</w:t>
      </w:r>
      <w:r w:rsidRPr="00233E06">
        <w:rPr>
          <w:noProof/>
        </w:rPr>
        <w:t>: 1416–1421.</w:t>
      </w:r>
    </w:p>
    <w:p w:rsidR="00FE4D3E" w:rsidRPr="00233E06" w:rsidRDefault="00FE4D3E" w:rsidP="001E2E8D">
      <w:pPr>
        <w:pStyle w:val="NormalWeb"/>
        <w:spacing w:before="0" w:beforeAutospacing="0" w:after="0" w:afterAutospacing="0" w:line="360" w:lineRule="auto"/>
        <w:divId w:val="1158611943"/>
        <w:rPr>
          <w:noProof/>
        </w:rPr>
      </w:pPr>
      <w:r>
        <w:rPr>
          <w:noProof/>
        </w:rPr>
        <w:t xml:space="preserve">Hock B., </w:t>
      </w:r>
      <w:r w:rsidR="00634131">
        <w:rPr>
          <w:noProof/>
        </w:rPr>
        <w:t>E.F., Elstner. 20014. Plant toxicology. Taylor &amp; Francis. New York.</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 xml:space="preserve">Karnjanapiboonwong, A., J.G. Suski, A. </w:t>
      </w:r>
      <w:r w:rsidR="00684381">
        <w:rPr>
          <w:noProof/>
        </w:rPr>
        <w:t>A</w:t>
      </w:r>
      <w:r w:rsidRPr="00233E06">
        <w:rPr>
          <w:noProof/>
        </w:rPr>
        <w:t xml:space="preserve">. Shah, Q. Cai, A.N. Morse, and T. </w:t>
      </w:r>
      <w:r w:rsidR="00684381">
        <w:rPr>
          <w:noProof/>
        </w:rPr>
        <w:t>A</w:t>
      </w:r>
      <w:r w:rsidRPr="00233E06">
        <w:rPr>
          <w:noProof/>
        </w:rPr>
        <w:t>. Anderson. 2011. Occurrence of PPCPs at a wastewater treatment plant and in soil and groundwater at a land application site</w:t>
      </w:r>
      <w:r w:rsidR="00751C83">
        <w:rPr>
          <w:noProof/>
        </w:rPr>
        <w:t>. Water, Air, Soil Pollut. 216</w:t>
      </w:r>
      <w:r w:rsidRPr="00233E06">
        <w:rPr>
          <w:noProof/>
        </w:rPr>
        <w:t>: 257–273.</w:t>
      </w:r>
    </w:p>
    <w:p w:rsidR="00233E06" w:rsidRDefault="00233E06" w:rsidP="001E2E8D">
      <w:pPr>
        <w:pStyle w:val="NormalWeb"/>
        <w:spacing w:before="0" w:beforeAutospacing="0" w:after="0" w:afterAutospacing="0" w:line="360" w:lineRule="auto"/>
        <w:divId w:val="1158611943"/>
        <w:rPr>
          <w:noProof/>
        </w:rPr>
      </w:pPr>
      <w:r w:rsidRPr="00233E06">
        <w:rPr>
          <w:noProof/>
        </w:rPr>
        <w:lastRenderedPageBreak/>
        <w:t xml:space="preserve">Kasprzyk-Hordern, B., R.M. Dinsdale, and A.J. Guwy. 2009. The removal of pharmaceuticals, personal care products, endocrine disruptors and illicit drugs during wastewater treatment and its impact on the quality of </w:t>
      </w:r>
      <w:r w:rsidR="00751C83">
        <w:rPr>
          <w:noProof/>
        </w:rPr>
        <w:t>receiving waters. Water Res. 43</w:t>
      </w:r>
      <w:r w:rsidRPr="00233E06">
        <w:rPr>
          <w:noProof/>
        </w:rPr>
        <w:t>: 363–380.</w:t>
      </w:r>
    </w:p>
    <w:p w:rsidR="002A60A6" w:rsidRPr="00233E06" w:rsidRDefault="002A60A6" w:rsidP="001E2E8D">
      <w:pPr>
        <w:pStyle w:val="NormalWeb"/>
        <w:spacing w:before="0" w:beforeAutospacing="0" w:after="0" w:afterAutospacing="0" w:line="360" w:lineRule="auto"/>
        <w:divId w:val="1158611943"/>
        <w:rPr>
          <w:noProof/>
        </w:rPr>
      </w:pPr>
      <w:r w:rsidRPr="000E28AA">
        <w:rPr>
          <w:rFonts w:eastAsiaTheme="majorEastAsia"/>
          <w:noProof/>
        </w:rPr>
        <w:t>Kummerer</w:t>
      </w:r>
      <w:r>
        <w:rPr>
          <w:rFonts w:eastAsiaTheme="majorEastAsia"/>
          <w:noProof/>
        </w:rPr>
        <w:t xml:space="preserve">, K. 2004. Pharmaceuticals in the environment. </w:t>
      </w:r>
      <w:r w:rsidR="00EE7A7F">
        <w:rPr>
          <w:rFonts w:eastAsiaTheme="majorEastAsia"/>
          <w:noProof/>
        </w:rPr>
        <w:t>Springer. New York.</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Kwon, J.W., and J.M. Rodriguez. 2014. Occurrence and removal of selected pharmaceuticals and personal care products in three wastewater-treatment plants. Arch</w:t>
      </w:r>
      <w:r w:rsidR="00751C83">
        <w:rPr>
          <w:noProof/>
        </w:rPr>
        <w:t>. Environ. Contam. Toxicol. 66:</w:t>
      </w:r>
      <w:r w:rsidRPr="00233E06">
        <w:rPr>
          <w:noProof/>
        </w:rPr>
        <w:t xml:space="preserve"> 538–548.</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Lin, K., and J. Gan. 2011. Sorption and degradation of wastewater-associated non-steroidal anti-inflammatory drugs and antib</w:t>
      </w:r>
      <w:r w:rsidR="00751C83">
        <w:rPr>
          <w:noProof/>
        </w:rPr>
        <w:t>iotics in soils. Chemosphere</w:t>
      </w:r>
      <w:r w:rsidR="00AB1367">
        <w:rPr>
          <w:noProof/>
        </w:rPr>
        <w:t>.</w:t>
      </w:r>
      <w:r w:rsidR="00751C83">
        <w:rPr>
          <w:noProof/>
        </w:rPr>
        <w:t xml:space="preserve"> 83</w:t>
      </w:r>
      <w:r w:rsidRPr="00233E06">
        <w:rPr>
          <w:noProof/>
        </w:rPr>
        <w:t>: 240–246.</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Malchi, T., Y. Maor, G. Tadmor, M. Shenker, and B. Chefetz. 2014. Irrigation of root vegetables with treated wastewater: evaluating uptake of pharmaceuticals and the associated human health r</w:t>
      </w:r>
      <w:r w:rsidR="00751C83">
        <w:rPr>
          <w:noProof/>
        </w:rPr>
        <w:t>isks. Environ. Sci. Technol. 48</w:t>
      </w:r>
      <w:r w:rsidRPr="00233E06">
        <w:rPr>
          <w:noProof/>
        </w:rPr>
        <w:t>: 9325–33.</w:t>
      </w:r>
    </w:p>
    <w:p w:rsidR="00233E06" w:rsidRDefault="00233E06" w:rsidP="001E2E8D">
      <w:pPr>
        <w:pStyle w:val="NormalWeb"/>
        <w:spacing w:before="0" w:beforeAutospacing="0" w:after="0" w:afterAutospacing="0" w:line="360" w:lineRule="auto"/>
        <w:divId w:val="1158611943"/>
        <w:rPr>
          <w:noProof/>
        </w:rPr>
      </w:pPr>
      <w:r w:rsidRPr="00233E06">
        <w:rPr>
          <w:noProof/>
        </w:rPr>
        <w:t>Miege, C., J.M. Choubert, L. Ribeiro, M. Eusebe, and M. Coquery. 2009. Fate of pharmaceuticals and personal care products in wastewater treatment plants – Conception of a database and first</w:t>
      </w:r>
      <w:r w:rsidR="00751C83">
        <w:rPr>
          <w:noProof/>
        </w:rPr>
        <w:t xml:space="preserve"> results. Environ. Pollut. 157: </w:t>
      </w:r>
      <w:r w:rsidRPr="00233E06">
        <w:rPr>
          <w:noProof/>
        </w:rPr>
        <w:t>1721–1726.</w:t>
      </w:r>
    </w:p>
    <w:p w:rsidR="003D740C" w:rsidRPr="00233E06" w:rsidRDefault="003D740C" w:rsidP="001E2E8D">
      <w:pPr>
        <w:pStyle w:val="NormalWeb"/>
        <w:spacing w:before="0" w:beforeAutospacing="0" w:after="0" w:afterAutospacing="0" w:line="360" w:lineRule="auto"/>
        <w:divId w:val="1158611943"/>
        <w:rPr>
          <w:noProof/>
        </w:rPr>
      </w:pPr>
      <w:r w:rsidRPr="009E7E7F">
        <w:rPr>
          <w:rFonts w:eastAsiaTheme="majorEastAsia"/>
          <w:noProof/>
        </w:rPr>
        <w:t>Pallardy</w:t>
      </w:r>
      <w:r>
        <w:rPr>
          <w:rFonts w:eastAsiaTheme="majorEastAsia"/>
          <w:noProof/>
        </w:rPr>
        <w:t>, S.G. 2010. Physiology of woody plants. Elsevier. California.</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Qin, Q., X. Chen, and J. Zhuang. 2015. The fate and impact of pharmaceuticals and personal care products in agricultural soils irrigated with reclaimed water. Crit.</w:t>
      </w:r>
      <w:r w:rsidR="00751C83">
        <w:rPr>
          <w:noProof/>
        </w:rPr>
        <w:t xml:space="preserve"> Rev. Environ. Sci. Technol. 45</w:t>
      </w:r>
      <w:r w:rsidRPr="00233E06">
        <w:rPr>
          <w:noProof/>
        </w:rPr>
        <w:t>: 1379–1408.</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Shenker, M., D. Harush, J. Ben-Ari, and B. Chefetz. 2011. Uptake of c</w:t>
      </w:r>
      <w:r w:rsidR="00D70EFB">
        <w:rPr>
          <w:noProof/>
        </w:rPr>
        <w:t xml:space="preserve">arbamazepine by cucumber plants </w:t>
      </w:r>
      <w:r w:rsidRPr="00233E06">
        <w:rPr>
          <w:noProof/>
        </w:rPr>
        <w:t>-</w:t>
      </w:r>
      <w:r w:rsidR="00D70EFB">
        <w:rPr>
          <w:noProof/>
        </w:rPr>
        <w:t xml:space="preserve"> </w:t>
      </w:r>
      <w:r w:rsidRPr="00233E06">
        <w:rPr>
          <w:noProof/>
        </w:rPr>
        <w:t>a case study related to irrigation with reclai</w:t>
      </w:r>
      <w:r w:rsidR="00751C83">
        <w:rPr>
          <w:noProof/>
        </w:rPr>
        <w:t>med wastewater. Chemosphere</w:t>
      </w:r>
      <w:r w:rsidR="00D70EFB">
        <w:rPr>
          <w:noProof/>
        </w:rPr>
        <w:t>.</w:t>
      </w:r>
      <w:r w:rsidR="00751C83">
        <w:rPr>
          <w:noProof/>
        </w:rPr>
        <w:t xml:space="preserve"> 82: </w:t>
      </w:r>
      <w:r w:rsidRPr="00233E06">
        <w:rPr>
          <w:noProof/>
        </w:rPr>
        <w:t>905–910.</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Steudle, E. 2000. Water uptake by roots: effects of</w:t>
      </w:r>
      <w:r w:rsidR="00751C83">
        <w:rPr>
          <w:noProof/>
        </w:rPr>
        <w:t xml:space="preserve"> water deficit. J. Exp. Bot. 51</w:t>
      </w:r>
      <w:r w:rsidRPr="00233E06">
        <w:rPr>
          <w:noProof/>
        </w:rPr>
        <w:t>: 1531–1542.</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Trapp, S. 2000. Modelling uptake into roots and subsequent translocation of neutral and ionisable organic</w:t>
      </w:r>
      <w:r w:rsidR="00751C83">
        <w:rPr>
          <w:noProof/>
        </w:rPr>
        <w:t xml:space="preserve"> compounds. Pest Manag. Sci. 56</w:t>
      </w:r>
      <w:r w:rsidRPr="00233E06">
        <w:rPr>
          <w:noProof/>
        </w:rPr>
        <w:t>: 767–778.</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Trapp, S. 2004. Plant uptake and transport models for neutral and ionic chemicals. Env</w:t>
      </w:r>
      <w:r w:rsidR="00751C83">
        <w:rPr>
          <w:noProof/>
        </w:rPr>
        <w:t>iron. Sci. Pollut. Res. Int. 11</w:t>
      </w:r>
      <w:r w:rsidRPr="00233E06">
        <w:rPr>
          <w:noProof/>
        </w:rPr>
        <w:t>: 33–39.</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Wu, X., J.L. Conkle, F. Ernst, and J. Gan. 2014. Treated wastewater irrigation : uptake of pharmaceutical and personal care products by common vegetables under field condit</w:t>
      </w:r>
      <w:r w:rsidR="00751C83">
        <w:rPr>
          <w:noProof/>
        </w:rPr>
        <w:t>ions. Environ. Sci. Technol. 48</w:t>
      </w:r>
      <w:r w:rsidRPr="00233E06">
        <w:rPr>
          <w:noProof/>
        </w:rPr>
        <w:t>: 11286–11293.</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lastRenderedPageBreak/>
        <w:t>Wu, X., F. Ernst, J.L. Conkle, and J. Gan. 2013. Comparative uptake and translocation of pharmaceutical and personal care products (PPCPs) by common vegetables. Environ. Int. 60: 15–22.</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Wu, C., A.L. Spongberg, W.D. Jason, M. Fang, and K.P. Czajkowski. 2010. Uptake of pharmaceutical and personal care products by soybean plants from soils applied with biosolids and irrigated with contaminated wat</w:t>
      </w:r>
      <w:r w:rsidR="00751C83">
        <w:rPr>
          <w:noProof/>
        </w:rPr>
        <w:t xml:space="preserve">er. Environ. Sci. Technol. 44: </w:t>
      </w:r>
      <w:r w:rsidRPr="00233E06">
        <w:rPr>
          <w:noProof/>
        </w:rPr>
        <w:t>6157–6161.</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Xia, K., A. Bhandari, K. Das, and G. Pillar. 2005. Occurrence and fate of pharmaceuticals and personal care products (PPCPs) in biosolids. J. Environ.</w:t>
      </w:r>
      <w:r w:rsidR="00751C83">
        <w:rPr>
          <w:noProof/>
        </w:rPr>
        <w:t xml:space="preserve"> Qual. 34: </w:t>
      </w:r>
      <w:r w:rsidRPr="00233E06">
        <w:rPr>
          <w:noProof/>
        </w:rPr>
        <w:t>91.</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Xia, K., L.S. Hundal, K. Kumar, K. Armbrust, A.E. Cox, and T.C. Granato. 2010. Triclocarban, triclosan, polybrominated diphenyl ethers and 4-nonylphenol in biosolids and in soil receiving 33-year biosolids application. Environ. Toxicol. C</w:t>
      </w:r>
      <w:r w:rsidR="00751C83">
        <w:rPr>
          <w:noProof/>
        </w:rPr>
        <w:t>hem. 29</w:t>
      </w:r>
      <w:r w:rsidRPr="00233E06">
        <w:rPr>
          <w:noProof/>
        </w:rPr>
        <w:t>: 597–605.</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Xu, J., L. Wu, and A.C. Chang. 2009. Degradation and adsorption of selected pharmaceuticals and personal care products (PPCPs) in agr</w:t>
      </w:r>
      <w:r w:rsidR="00751C83">
        <w:rPr>
          <w:noProof/>
        </w:rPr>
        <w:t>icultural soils. Chemosphere</w:t>
      </w:r>
      <w:r w:rsidR="006A6558">
        <w:rPr>
          <w:noProof/>
        </w:rPr>
        <w:t>.</w:t>
      </w:r>
      <w:r w:rsidR="00751C83">
        <w:rPr>
          <w:noProof/>
        </w:rPr>
        <w:t xml:space="preserve"> 77</w:t>
      </w:r>
      <w:r w:rsidRPr="00233E06">
        <w:rPr>
          <w:noProof/>
        </w:rPr>
        <w:t>: 1299–1305.</w:t>
      </w:r>
    </w:p>
    <w:p w:rsidR="00233E06" w:rsidRPr="00233E06" w:rsidRDefault="00233E06" w:rsidP="001E2E8D">
      <w:pPr>
        <w:pStyle w:val="NormalWeb"/>
        <w:spacing w:before="0" w:beforeAutospacing="0" w:after="0" w:afterAutospacing="0" w:line="360" w:lineRule="auto"/>
        <w:divId w:val="1158611943"/>
        <w:rPr>
          <w:noProof/>
        </w:rPr>
      </w:pPr>
      <w:r w:rsidRPr="00233E06">
        <w:rPr>
          <w:noProof/>
        </w:rPr>
        <w:t>Yu, Y., Y. Liu, and L. Wu. 2013. Sorption and degradation of pharmaceuticals and personal care products (PPCPs) in soils</w:t>
      </w:r>
      <w:r w:rsidR="00751C83">
        <w:rPr>
          <w:noProof/>
        </w:rPr>
        <w:t>. Environ. Sci. Pollut. Res. 20</w:t>
      </w:r>
      <w:r w:rsidRPr="00233E06">
        <w:rPr>
          <w:noProof/>
        </w:rPr>
        <w:t>: 4261–4267.</w:t>
      </w:r>
    </w:p>
    <w:p w:rsidR="009D2472" w:rsidRPr="009D2472" w:rsidRDefault="00F36F4D" w:rsidP="001E2E8D">
      <w:pPr>
        <w:rPr>
          <w:rtl/>
        </w:rPr>
      </w:pPr>
      <w:r>
        <w:fldChar w:fldCharType="end"/>
      </w:r>
    </w:p>
    <w:sectPr w:rsidR="009D2472" w:rsidRPr="009D2472" w:rsidSect="006A3C11">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A82"/>
    <w:multiLevelType w:val="hybridMultilevel"/>
    <w:tmpl w:val="A4F49BB4"/>
    <w:lvl w:ilvl="0" w:tplc="1B9A450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6E828D8"/>
    <w:multiLevelType w:val="hybridMultilevel"/>
    <w:tmpl w:val="096CC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AE70299"/>
    <w:multiLevelType w:val="hybridMultilevel"/>
    <w:tmpl w:val="5DB6A15E"/>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
    <w:nsid w:val="3FD92462"/>
    <w:multiLevelType w:val="hybridMultilevel"/>
    <w:tmpl w:val="F9F83942"/>
    <w:lvl w:ilvl="0" w:tplc="64E4D794">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4">
    <w:nsid w:val="457C68BB"/>
    <w:multiLevelType w:val="hybridMultilevel"/>
    <w:tmpl w:val="9B14EE7C"/>
    <w:lvl w:ilvl="0" w:tplc="89C4CE5E">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5">
    <w:nsid w:val="5C92296C"/>
    <w:multiLevelType w:val="multilevel"/>
    <w:tmpl w:val="850460AC"/>
    <w:lvl w:ilvl="0">
      <w:start w:val="1"/>
      <w:numFmt w:val="decimal"/>
      <w:pStyle w:val="Heading1"/>
      <w:lvlText w:val="%1."/>
      <w:lvlJc w:val="left"/>
      <w:pPr>
        <w:ind w:left="720" w:hanging="360"/>
      </w:pPr>
      <w:rPr>
        <w:rFonts w:asciiTheme="majorBidi" w:eastAsiaTheme="minorHAnsi" w:hAnsiTheme="majorBidi" w:cstheme="majorBidi"/>
      </w:rPr>
    </w:lvl>
    <w:lvl w:ilvl="1">
      <w:start w:val="1"/>
      <w:numFmt w:val="decimal"/>
      <w:pStyle w:val="Heading2"/>
      <w:isLgl/>
      <w:lvlText w:val="%1.%2"/>
      <w:lvlJc w:val="left"/>
      <w:pPr>
        <w:ind w:left="1068"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isLgl/>
      <w:lvlText w:val="%1.%2.%3"/>
      <w:lvlJc w:val="left"/>
      <w:pPr>
        <w:ind w:left="144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3AE5980"/>
    <w:multiLevelType w:val="hybridMultilevel"/>
    <w:tmpl w:val="5E869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98370F"/>
    <w:multiLevelType w:val="hybridMultilevel"/>
    <w:tmpl w:val="ECC83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72"/>
    <w:rsid w:val="00001088"/>
    <w:rsid w:val="0001043B"/>
    <w:rsid w:val="000225AB"/>
    <w:rsid w:val="00031175"/>
    <w:rsid w:val="0003177F"/>
    <w:rsid w:val="0003245E"/>
    <w:rsid w:val="000349F4"/>
    <w:rsid w:val="00036CAC"/>
    <w:rsid w:val="000417E0"/>
    <w:rsid w:val="0005398C"/>
    <w:rsid w:val="000564E3"/>
    <w:rsid w:val="0006520D"/>
    <w:rsid w:val="00090C8E"/>
    <w:rsid w:val="000A0195"/>
    <w:rsid w:val="000A57E4"/>
    <w:rsid w:val="000D5596"/>
    <w:rsid w:val="000E28AA"/>
    <w:rsid w:val="000E51DE"/>
    <w:rsid w:val="00110E80"/>
    <w:rsid w:val="0011213C"/>
    <w:rsid w:val="00112A36"/>
    <w:rsid w:val="00114B0B"/>
    <w:rsid w:val="00125760"/>
    <w:rsid w:val="00150671"/>
    <w:rsid w:val="001554D3"/>
    <w:rsid w:val="00156BE1"/>
    <w:rsid w:val="00164676"/>
    <w:rsid w:val="00171DC7"/>
    <w:rsid w:val="00195623"/>
    <w:rsid w:val="001B338F"/>
    <w:rsid w:val="001B4763"/>
    <w:rsid w:val="001B5527"/>
    <w:rsid w:val="001C1340"/>
    <w:rsid w:val="001C457D"/>
    <w:rsid w:val="001E2E8D"/>
    <w:rsid w:val="001E426F"/>
    <w:rsid w:val="002004C1"/>
    <w:rsid w:val="00222AB2"/>
    <w:rsid w:val="00233E06"/>
    <w:rsid w:val="00235613"/>
    <w:rsid w:val="002429AC"/>
    <w:rsid w:val="002446E4"/>
    <w:rsid w:val="00252C48"/>
    <w:rsid w:val="00254034"/>
    <w:rsid w:val="00260472"/>
    <w:rsid w:val="00261025"/>
    <w:rsid w:val="00262AE4"/>
    <w:rsid w:val="0028022B"/>
    <w:rsid w:val="00283E9A"/>
    <w:rsid w:val="0029088C"/>
    <w:rsid w:val="002A1241"/>
    <w:rsid w:val="002A1831"/>
    <w:rsid w:val="002A60A6"/>
    <w:rsid w:val="002B3107"/>
    <w:rsid w:val="002B7841"/>
    <w:rsid w:val="002C15FC"/>
    <w:rsid w:val="002C402E"/>
    <w:rsid w:val="002F7042"/>
    <w:rsid w:val="00307DC1"/>
    <w:rsid w:val="00310204"/>
    <w:rsid w:val="00317145"/>
    <w:rsid w:val="00323829"/>
    <w:rsid w:val="00337A6E"/>
    <w:rsid w:val="00342F53"/>
    <w:rsid w:val="00354E05"/>
    <w:rsid w:val="00360B8B"/>
    <w:rsid w:val="003626D9"/>
    <w:rsid w:val="00371817"/>
    <w:rsid w:val="003936AB"/>
    <w:rsid w:val="003965B9"/>
    <w:rsid w:val="003A5A08"/>
    <w:rsid w:val="003A64E9"/>
    <w:rsid w:val="003B2E5C"/>
    <w:rsid w:val="003B4E65"/>
    <w:rsid w:val="003B6037"/>
    <w:rsid w:val="003B7A23"/>
    <w:rsid w:val="003C4B30"/>
    <w:rsid w:val="003D3B7A"/>
    <w:rsid w:val="003D740C"/>
    <w:rsid w:val="003E3549"/>
    <w:rsid w:val="00400854"/>
    <w:rsid w:val="00405190"/>
    <w:rsid w:val="004059B4"/>
    <w:rsid w:val="00410839"/>
    <w:rsid w:val="00420976"/>
    <w:rsid w:val="0042161E"/>
    <w:rsid w:val="004269D3"/>
    <w:rsid w:val="0043514C"/>
    <w:rsid w:val="004358B0"/>
    <w:rsid w:val="00446AB2"/>
    <w:rsid w:val="00446FC1"/>
    <w:rsid w:val="004510C4"/>
    <w:rsid w:val="0045226C"/>
    <w:rsid w:val="0045411E"/>
    <w:rsid w:val="0048094E"/>
    <w:rsid w:val="0048374B"/>
    <w:rsid w:val="004A6595"/>
    <w:rsid w:val="004A7182"/>
    <w:rsid w:val="004A742B"/>
    <w:rsid w:val="004B50DE"/>
    <w:rsid w:val="004B6822"/>
    <w:rsid w:val="004C7CE8"/>
    <w:rsid w:val="004D1CC9"/>
    <w:rsid w:val="004D2C9A"/>
    <w:rsid w:val="004D5271"/>
    <w:rsid w:val="004D736D"/>
    <w:rsid w:val="004E27C0"/>
    <w:rsid w:val="004E2D05"/>
    <w:rsid w:val="004E4F40"/>
    <w:rsid w:val="004E7795"/>
    <w:rsid w:val="0050002F"/>
    <w:rsid w:val="00507D90"/>
    <w:rsid w:val="0051489B"/>
    <w:rsid w:val="00534892"/>
    <w:rsid w:val="00547A4F"/>
    <w:rsid w:val="00553856"/>
    <w:rsid w:val="00556B50"/>
    <w:rsid w:val="0057418B"/>
    <w:rsid w:val="00583D35"/>
    <w:rsid w:val="005841DA"/>
    <w:rsid w:val="005A054F"/>
    <w:rsid w:val="005B09E7"/>
    <w:rsid w:val="005D04F9"/>
    <w:rsid w:val="005E00A8"/>
    <w:rsid w:val="005E5E71"/>
    <w:rsid w:val="005F40BA"/>
    <w:rsid w:val="00614D5F"/>
    <w:rsid w:val="00626076"/>
    <w:rsid w:val="00627DC0"/>
    <w:rsid w:val="00634131"/>
    <w:rsid w:val="006637FE"/>
    <w:rsid w:val="0066743F"/>
    <w:rsid w:val="00684381"/>
    <w:rsid w:val="00684419"/>
    <w:rsid w:val="0068563B"/>
    <w:rsid w:val="00692060"/>
    <w:rsid w:val="006925E5"/>
    <w:rsid w:val="00693BAA"/>
    <w:rsid w:val="006A38E8"/>
    <w:rsid w:val="006A3C11"/>
    <w:rsid w:val="006A6558"/>
    <w:rsid w:val="006B2F0B"/>
    <w:rsid w:val="006B6F4B"/>
    <w:rsid w:val="006C2E79"/>
    <w:rsid w:val="006C4911"/>
    <w:rsid w:val="006D619D"/>
    <w:rsid w:val="006E3014"/>
    <w:rsid w:val="006F312E"/>
    <w:rsid w:val="006F7978"/>
    <w:rsid w:val="00702D09"/>
    <w:rsid w:val="00705C0F"/>
    <w:rsid w:val="00721DC6"/>
    <w:rsid w:val="007335D6"/>
    <w:rsid w:val="007400D2"/>
    <w:rsid w:val="0074543F"/>
    <w:rsid w:val="00745A40"/>
    <w:rsid w:val="00751C83"/>
    <w:rsid w:val="00756F1A"/>
    <w:rsid w:val="00757CF3"/>
    <w:rsid w:val="00782E2B"/>
    <w:rsid w:val="00787A3B"/>
    <w:rsid w:val="007A20D1"/>
    <w:rsid w:val="007A4A89"/>
    <w:rsid w:val="007A71DD"/>
    <w:rsid w:val="007B7AB9"/>
    <w:rsid w:val="007D0A8C"/>
    <w:rsid w:val="007D58E1"/>
    <w:rsid w:val="007E460F"/>
    <w:rsid w:val="007F4FB8"/>
    <w:rsid w:val="00807726"/>
    <w:rsid w:val="00844F6B"/>
    <w:rsid w:val="00845191"/>
    <w:rsid w:val="008555C4"/>
    <w:rsid w:val="00873A24"/>
    <w:rsid w:val="00882B40"/>
    <w:rsid w:val="00883BD2"/>
    <w:rsid w:val="008925C6"/>
    <w:rsid w:val="008971F8"/>
    <w:rsid w:val="008A2965"/>
    <w:rsid w:val="008A6746"/>
    <w:rsid w:val="008C001B"/>
    <w:rsid w:val="008C3E8F"/>
    <w:rsid w:val="008D1AA9"/>
    <w:rsid w:val="008D4596"/>
    <w:rsid w:val="008D4979"/>
    <w:rsid w:val="00904BDF"/>
    <w:rsid w:val="009246DD"/>
    <w:rsid w:val="00925A38"/>
    <w:rsid w:val="009549AC"/>
    <w:rsid w:val="009630D8"/>
    <w:rsid w:val="0097627F"/>
    <w:rsid w:val="00995228"/>
    <w:rsid w:val="009A2824"/>
    <w:rsid w:val="009A47DA"/>
    <w:rsid w:val="009A60FA"/>
    <w:rsid w:val="009A7094"/>
    <w:rsid w:val="009B4D21"/>
    <w:rsid w:val="009B5EE5"/>
    <w:rsid w:val="009B7F37"/>
    <w:rsid w:val="009C0051"/>
    <w:rsid w:val="009C30E8"/>
    <w:rsid w:val="009C6D18"/>
    <w:rsid w:val="009D2472"/>
    <w:rsid w:val="009E46F5"/>
    <w:rsid w:val="009E5B9A"/>
    <w:rsid w:val="009E7C13"/>
    <w:rsid w:val="009E7E7F"/>
    <w:rsid w:val="00A169CC"/>
    <w:rsid w:val="00A25836"/>
    <w:rsid w:val="00A30457"/>
    <w:rsid w:val="00A32E18"/>
    <w:rsid w:val="00A56454"/>
    <w:rsid w:val="00A86A71"/>
    <w:rsid w:val="00AA2ADB"/>
    <w:rsid w:val="00AA4BCE"/>
    <w:rsid w:val="00AB1367"/>
    <w:rsid w:val="00AB5753"/>
    <w:rsid w:val="00AC3C56"/>
    <w:rsid w:val="00AD0AF3"/>
    <w:rsid w:val="00AD1364"/>
    <w:rsid w:val="00AD1BD0"/>
    <w:rsid w:val="00AE5EB4"/>
    <w:rsid w:val="00AF33A8"/>
    <w:rsid w:val="00AF561A"/>
    <w:rsid w:val="00AF721A"/>
    <w:rsid w:val="00AF79A0"/>
    <w:rsid w:val="00B10E77"/>
    <w:rsid w:val="00B362AB"/>
    <w:rsid w:val="00B37A77"/>
    <w:rsid w:val="00B40A6C"/>
    <w:rsid w:val="00B4577F"/>
    <w:rsid w:val="00B45D45"/>
    <w:rsid w:val="00B547A2"/>
    <w:rsid w:val="00B60127"/>
    <w:rsid w:val="00B80070"/>
    <w:rsid w:val="00B840BB"/>
    <w:rsid w:val="00B904E2"/>
    <w:rsid w:val="00B9578A"/>
    <w:rsid w:val="00B95CF5"/>
    <w:rsid w:val="00BA273B"/>
    <w:rsid w:val="00BA6993"/>
    <w:rsid w:val="00BC2230"/>
    <w:rsid w:val="00BD04BB"/>
    <w:rsid w:val="00BD2E0E"/>
    <w:rsid w:val="00BD72A3"/>
    <w:rsid w:val="00C0437D"/>
    <w:rsid w:val="00C11112"/>
    <w:rsid w:val="00C26BC5"/>
    <w:rsid w:val="00C34B7D"/>
    <w:rsid w:val="00C36CC5"/>
    <w:rsid w:val="00C37F85"/>
    <w:rsid w:val="00C45A4B"/>
    <w:rsid w:val="00C50C97"/>
    <w:rsid w:val="00C53418"/>
    <w:rsid w:val="00CB23B6"/>
    <w:rsid w:val="00CB56D2"/>
    <w:rsid w:val="00CC43C9"/>
    <w:rsid w:val="00CD0694"/>
    <w:rsid w:val="00CD2093"/>
    <w:rsid w:val="00CD5483"/>
    <w:rsid w:val="00CD5ED8"/>
    <w:rsid w:val="00CE0484"/>
    <w:rsid w:val="00CE3881"/>
    <w:rsid w:val="00CE5360"/>
    <w:rsid w:val="00CE560D"/>
    <w:rsid w:val="00D045DB"/>
    <w:rsid w:val="00D04B51"/>
    <w:rsid w:val="00D27097"/>
    <w:rsid w:val="00D32356"/>
    <w:rsid w:val="00D36455"/>
    <w:rsid w:val="00D366CD"/>
    <w:rsid w:val="00D46518"/>
    <w:rsid w:val="00D520B8"/>
    <w:rsid w:val="00D53B10"/>
    <w:rsid w:val="00D60DDF"/>
    <w:rsid w:val="00D64B39"/>
    <w:rsid w:val="00D666F7"/>
    <w:rsid w:val="00D67BAC"/>
    <w:rsid w:val="00D67F38"/>
    <w:rsid w:val="00D70EFB"/>
    <w:rsid w:val="00D73BE6"/>
    <w:rsid w:val="00D860C7"/>
    <w:rsid w:val="00D86E69"/>
    <w:rsid w:val="00D90373"/>
    <w:rsid w:val="00D955AB"/>
    <w:rsid w:val="00D957EE"/>
    <w:rsid w:val="00DA1FAC"/>
    <w:rsid w:val="00DC01AA"/>
    <w:rsid w:val="00DC369A"/>
    <w:rsid w:val="00DC3784"/>
    <w:rsid w:val="00DE5682"/>
    <w:rsid w:val="00DE594C"/>
    <w:rsid w:val="00E12019"/>
    <w:rsid w:val="00E15D84"/>
    <w:rsid w:val="00E32FCE"/>
    <w:rsid w:val="00E40452"/>
    <w:rsid w:val="00E46C5A"/>
    <w:rsid w:val="00E54BBE"/>
    <w:rsid w:val="00E5656D"/>
    <w:rsid w:val="00E67D77"/>
    <w:rsid w:val="00E85FFD"/>
    <w:rsid w:val="00E92431"/>
    <w:rsid w:val="00E955A7"/>
    <w:rsid w:val="00EA57BD"/>
    <w:rsid w:val="00EB0629"/>
    <w:rsid w:val="00EB5636"/>
    <w:rsid w:val="00EB5FB3"/>
    <w:rsid w:val="00EC6F31"/>
    <w:rsid w:val="00ED168F"/>
    <w:rsid w:val="00ED2CEE"/>
    <w:rsid w:val="00ED3019"/>
    <w:rsid w:val="00ED73C8"/>
    <w:rsid w:val="00ED75A5"/>
    <w:rsid w:val="00EE7A7F"/>
    <w:rsid w:val="00EF08C9"/>
    <w:rsid w:val="00EF4C5C"/>
    <w:rsid w:val="00F014E0"/>
    <w:rsid w:val="00F064D1"/>
    <w:rsid w:val="00F067C7"/>
    <w:rsid w:val="00F13F2F"/>
    <w:rsid w:val="00F144BE"/>
    <w:rsid w:val="00F16444"/>
    <w:rsid w:val="00F16A44"/>
    <w:rsid w:val="00F218D0"/>
    <w:rsid w:val="00F22EC2"/>
    <w:rsid w:val="00F36F4D"/>
    <w:rsid w:val="00F534AD"/>
    <w:rsid w:val="00F54F99"/>
    <w:rsid w:val="00F62E58"/>
    <w:rsid w:val="00F747DC"/>
    <w:rsid w:val="00F77D68"/>
    <w:rsid w:val="00F916C0"/>
    <w:rsid w:val="00F91C29"/>
    <w:rsid w:val="00F927AF"/>
    <w:rsid w:val="00F92B0C"/>
    <w:rsid w:val="00FB6E08"/>
    <w:rsid w:val="00FC24F9"/>
    <w:rsid w:val="00FD0927"/>
    <w:rsid w:val="00FD1D53"/>
    <w:rsid w:val="00FE2495"/>
    <w:rsid w:val="00FE4D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92"/>
    <w:pPr>
      <w:spacing w:after="0" w:line="360" w:lineRule="auto"/>
      <w:jc w:val="both"/>
    </w:pPr>
    <w:rPr>
      <w:rFonts w:ascii="Times New Roman" w:eastAsiaTheme="majorEastAsia" w:hAnsi="Times New Roman" w:cstheme="majorBidi"/>
      <w:bCs/>
      <w:sz w:val="24"/>
      <w:szCs w:val="26"/>
    </w:rPr>
  </w:style>
  <w:style w:type="paragraph" w:styleId="Heading1">
    <w:name w:val="heading 1"/>
    <w:basedOn w:val="Normal"/>
    <w:next w:val="Normal"/>
    <w:link w:val="Heading1Char"/>
    <w:uiPriority w:val="9"/>
    <w:qFormat/>
    <w:rsid w:val="00534892"/>
    <w:pPr>
      <w:keepNext/>
      <w:keepLines/>
      <w:numPr>
        <w:numId w:val="2"/>
      </w:numPr>
      <w:ind w:left="360"/>
      <w:outlineLvl w:val="0"/>
    </w:pPr>
    <w:rPr>
      <w:bCs w:val="0"/>
      <w:szCs w:val="24"/>
    </w:rPr>
  </w:style>
  <w:style w:type="paragraph" w:styleId="Heading2">
    <w:name w:val="heading 2"/>
    <w:basedOn w:val="Normal"/>
    <w:next w:val="Normal"/>
    <w:link w:val="Heading2Char"/>
    <w:uiPriority w:val="9"/>
    <w:unhideWhenUsed/>
    <w:qFormat/>
    <w:rsid w:val="007B7AB9"/>
    <w:pPr>
      <w:keepNext/>
      <w:keepLines/>
      <w:numPr>
        <w:ilvl w:val="1"/>
        <w:numId w:val="2"/>
      </w:numPr>
      <w:ind w:left="540"/>
      <w:outlineLvl w:val="1"/>
    </w:pPr>
    <w:rPr>
      <w:bCs w:val="0"/>
    </w:rPr>
  </w:style>
  <w:style w:type="paragraph" w:styleId="Heading3">
    <w:name w:val="heading 3"/>
    <w:basedOn w:val="Normal"/>
    <w:next w:val="Normal"/>
    <w:link w:val="Heading3Char"/>
    <w:uiPriority w:val="9"/>
    <w:unhideWhenUsed/>
    <w:qFormat/>
    <w:rsid w:val="007B7AB9"/>
    <w:pPr>
      <w:keepNext/>
      <w:keepLines/>
      <w:numPr>
        <w:ilvl w:val="2"/>
        <w:numId w:val="2"/>
      </w:numPr>
      <w:spacing w:before="40"/>
      <w:ind w:left="990"/>
      <w:outlineLvl w:val="2"/>
    </w:pPr>
    <w:rPr>
      <w:rFonts w:asciiTheme="majorBidi" w:hAnsi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892"/>
    <w:rPr>
      <w:rFonts w:ascii="Times New Roman" w:eastAsiaTheme="majorEastAsia" w:hAnsi="Times New Roman" w:cstheme="majorBidi"/>
      <w:bCs/>
      <w:sz w:val="24"/>
      <w:szCs w:val="24"/>
    </w:rPr>
  </w:style>
  <w:style w:type="character" w:customStyle="1" w:styleId="Heading2Char">
    <w:name w:val="Heading 2 Char"/>
    <w:basedOn w:val="DefaultParagraphFont"/>
    <w:link w:val="Heading2"/>
    <w:uiPriority w:val="9"/>
    <w:rsid w:val="007B7AB9"/>
    <w:rPr>
      <w:rFonts w:ascii="Times New Roman" w:eastAsiaTheme="majorEastAsia" w:hAnsi="Times New Roman" w:cstheme="majorBidi"/>
      <w:sz w:val="24"/>
      <w:szCs w:val="26"/>
    </w:rPr>
  </w:style>
  <w:style w:type="paragraph" w:styleId="ListParagraph">
    <w:name w:val="List Paragraph"/>
    <w:basedOn w:val="Normal"/>
    <w:uiPriority w:val="34"/>
    <w:qFormat/>
    <w:rsid w:val="00C45A4B"/>
    <w:pPr>
      <w:ind w:left="720"/>
      <w:contextualSpacing/>
    </w:pPr>
  </w:style>
  <w:style w:type="character" w:customStyle="1" w:styleId="Heading3Char">
    <w:name w:val="Heading 3 Char"/>
    <w:basedOn w:val="DefaultParagraphFont"/>
    <w:link w:val="Heading3"/>
    <w:uiPriority w:val="9"/>
    <w:rsid w:val="007B7AB9"/>
    <w:rPr>
      <w:rFonts w:asciiTheme="majorBidi" w:eastAsiaTheme="majorEastAsia" w:hAnsiTheme="majorBidi" w:cstheme="majorBidi"/>
      <w:bCs/>
      <w:sz w:val="24"/>
      <w:szCs w:val="24"/>
    </w:rPr>
  </w:style>
  <w:style w:type="character" w:customStyle="1" w:styleId="word">
    <w:name w:val="word"/>
    <w:basedOn w:val="DefaultParagraphFont"/>
    <w:rsid w:val="009A47DA"/>
  </w:style>
  <w:style w:type="character" w:customStyle="1" w:styleId="apple-converted-space">
    <w:name w:val="apple-converted-space"/>
    <w:basedOn w:val="DefaultParagraphFont"/>
    <w:rsid w:val="009A47DA"/>
  </w:style>
  <w:style w:type="character" w:styleId="PlaceholderText">
    <w:name w:val="Placeholder Text"/>
    <w:basedOn w:val="DefaultParagraphFont"/>
    <w:uiPriority w:val="99"/>
    <w:semiHidden/>
    <w:rsid w:val="002B3107"/>
    <w:rPr>
      <w:color w:val="808080"/>
    </w:rPr>
  </w:style>
  <w:style w:type="paragraph" w:styleId="BalloonText">
    <w:name w:val="Balloon Text"/>
    <w:basedOn w:val="Normal"/>
    <w:link w:val="BalloonTextChar"/>
    <w:uiPriority w:val="99"/>
    <w:semiHidden/>
    <w:unhideWhenUsed/>
    <w:rsid w:val="00B45D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D45"/>
    <w:rPr>
      <w:rFonts w:ascii="Tahoma" w:hAnsi="Tahoma" w:cs="Tahoma"/>
      <w:sz w:val="16"/>
      <w:szCs w:val="16"/>
    </w:rPr>
  </w:style>
  <w:style w:type="paragraph" w:styleId="NormalWeb">
    <w:name w:val="Normal (Web)"/>
    <w:basedOn w:val="Normal"/>
    <w:uiPriority w:val="99"/>
    <w:unhideWhenUsed/>
    <w:rsid w:val="00CB56D2"/>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317145"/>
    <w:rPr>
      <w:sz w:val="16"/>
      <w:szCs w:val="16"/>
    </w:rPr>
  </w:style>
  <w:style w:type="paragraph" w:styleId="CommentText">
    <w:name w:val="annotation text"/>
    <w:basedOn w:val="Normal"/>
    <w:link w:val="CommentTextChar"/>
    <w:uiPriority w:val="99"/>
    <w:semiHidden/>
    <w:unhideWhenUsed/>
    <w:rsid w:val="00317145"/>
    <w:pPr>
      <w:spacing w:line="240" w:lineRule="auto"/>
    </w:pPr>
    <w:rPr>
      <w:sz w:val="20"/>
      <w:szCs w:val="20"/>
    </w:rPr>
  </w:style>
  <w:style w:type="character" w:customStyle="1" w:styleId="CommentTextChar">
    <w:name w:val="Comment Text Char"/>
    <w:basedOn w:val="DefaultParagraphFont"/>
    <w:link w:val="CommentText"/>
    <w:uiPriority w:val="99"/>
    <w:semiHidden/>
    <w:rsid w:val="00317145"/>
    <w:rPr>
      <w:sz w:val="20"/>
      <w:szCs w:val="20"/>
    </w:rPr>
  </w:style>
  <w:style w:type="paragraph" w:styleId="CommentSubject">
    <w:name w:val="annotation subject"/>
    <w:basedOn w:val="CommentText"/>
    <w:next w:val="CommentText"/>
    <w:link w:val="CommentSubjectChar"/>
    <w:uiPriority w:val="99"/>
    <w:semiHidden/>
    <w:unhideWhenUsed/>
    <w:rsid w:val="00317145"/>
    <w:rPr>
      <w:b/>
    </w:rPr>
  </w:style>
  <w:style w:type="character" w:customStyle="1" w:styleId="CommentSubjectChar">
    <w:name w:val="Comment Subject Char"/>
    <w:basedOn w:val="CommentTextChar"/>
    <w:link w:val="CommentSubject"/>
    <w:uiPriority w:val="99"/>
    <w:semiHidden/>
    <w:rsid w:val="00317145"/>
    <w:rPr>
      <w:b/>
      <w:bCs/>
      <w:sz w:val="20"/>
      <w:szCs w:val="20"/>
    </w:rPr>
  </w:style>
  <w:style w:type="paragraph" w:styleId="Revision">
    <w:name w:val="Revision"/>
    <w:hidden/>
    <w:uiPriority w:val="99"/>
    <w:semiHidden/>
    <w:rsid w:val="0031714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92"/>
    <w:pPr>
      <w:spacing w:after="0" w:line="360" w:lineRule="auto"/>
      <w:jc w:val="both"/>
    </w:pPr>
    <w:rPr>
      <w:rFonts w:ascii="Times New Roman" w:eastAsiaTheme="majorEastAsia" w:hAnsi="Times New Roman" w:cstheme="majorBidi"/>
      <w:bCs/>
      <w:sz w:val="24"/>
      <w:szCs w:val="26"/>
    </w:rPr>
  </w:style>
  <w:style w:type="paragraph" w:styleId="Heading1">
    <w:name w:val="heading 1"/>
    <w:basedOn w:val="Normal"/>
    <w:next w:val="Normal"/>
    <w:link w:val="Heading1Char"/>
    <w:uiPriority w:val="9"/>
    <w:qFormat/>
    <w:rsid w:val="00534892"/>
    <w:pPr>
      <w:keepNext/>
      <w:keepLines/>
      <w:numPr>
        <w:numId w:val="2"/>
      </w:numPr>
      <w:ind w:left="360"/>
      <w:outlineLvl w:val="0"/>
    </w:pPr>
    <w:rPr>
      <w:bCs w:val="0"/>
      <w:szCs w:val="24"/>
    </w:rPr>
  </w:style>
  <w:style w:type="paragraph" w:styleId="Heading2">
    <w:name w:val="heading 2"/>
    <w:basedOn w:val="Normal"/>
    <w:next w:val="Normal"/>
    <w:link w:val="Heading2Char"/>
    <w:uiPriority w:val="9"/>
    <w:unhideWhenUsed/>
    <w:qFormat/>
    <w:rsid w:val="007B7AB9"/>
    <w:pPr>
      <w:keepNext/>
      <w:keepLines/>
      <w:numPr>
        <w:ilvl w:val="1"/>
        <w:numId w:val="2"/>
      </w:numPr>
      <w:ind w:left="540"/>
      <w:outlineLvl w:val="1"/>
    </w:pPr>
    <w:rPr>
      <w:bCs w:val="0"/>
    </w:rPr>
  </w:style>
  <w:style w:type="paragraph" w:styleId="Heading3">
    <w:name w:val="heading 3"/>
    <w:basedOn w:val="Normal"/>
    <w:next w:val="Normal"/>
    <w:link w:val="Heading3Char"/>
    <w:uiPriority w:val="9"/>
    <w:unhideWhenUsed/>
    <w:qFormat/>
    <w:rsid w:val="007B7AB9"/>
    <w:pPr>
      <w:keepNext/>
      <w:keepLines/>
      <w:numPr>
        <w:ilvl w:val="2"/>
        <w:numId w:val="2"/>
      </w:numPr>
      <w:spacing w:before="40"/>
      <w:ind w:left="990"/>
      <w:outlineLvl w:val="2"/>
    </w:pPr>
    <w:rPr>
      <w:rFonts w:asciiTheme="majorBidi" w:hAnsi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892"/>
    <w:rPr>
      <w:rFonts w:ascii="Times New Roman" w:eastAsiaTheme="majorEastAsia" w:hAnsi="Times New Roman" w:cstheme="majorBidi"/>
      <w:bCs/>
      <w:sz w:val="24"/>
      <w:szCs w:val="24"/>
    </w:rPr>
  </w:style>
  <w:style w:type="character" w:customStyle="1" w:styleId="Heading2Char">
    <w:name w:val="Heading 2 Char"/>
    <w:basedOn w:val="DefaultParagraphFont"/>
    <w:link w:val="Heading2"/>
    <w:uiPriority w:val="9"/>
    <w:rsid w:val="007B7AB9"/>
    <w:rPr>
      <w:rFonts w:ascii="Times New Roman" w:eastAsiaTheme="majorEastAsia" w:hAnsi="Times New Roman" w:cstheme="majorBidi"/>
      <w:sz w:val="24"/>
      <w:szCs w:val="26"/>
    </w:rPr>
  </w:style>
  <w:style w:type="paragraph" w:styleId="ListParagraph">
    <w:name w:val="List Paragraph"/>
    <w:basedOn w:val="Normal"/>
    <w:uiPriority w:val="34"/>
    <w:qFormat/>
    <w:rsid w:val="00C45A4B"/>
    <w:pPr>
      <w:ind w:left="720"/>
      <w:contextualSpacing/>
    </w:pPr>
  </w:style>
  <w:style w:type="character" w:customStyle="1" w:styleId="Heading3Char">
    <w:name w:val="Heading 3 Char"/>
    <w:basedOn w:val="DefaultParagraphFont"/>
    <w:link w:val="Heading3"/>
    <w:uiPriority w:val="9"/>
    <w:rsid w:val="007B7AB9"/>
    <w:rPr>
      <w:rFonts w:asciiTheme="majorBidi" w:eastAsiaTheme="majorEastAsia" w:hAnsiTheme="majorBidi" w:cstheme="majorBidi"/>
      <w:bCs/>
      <w:sz w:val="24"/>
      <w:szCs w:val="24"/>
    </w:rPr>
  </w:style>
  <w:style w:type="character" w:customStyle="1" w:styleId="word">
    <w:name w:val="word"/>
    <w:basedOn w:val="DefaultParagraphFont"/>
    <w:rsid w:val="009A47DA"/>
  </w:style>
  <w:style w:type="character" w:customStyle="1" w:styleId="apple-converted-space">
    <w:name w:val="apple-converted-space"/>
    <w:basedOn w:val="DefaultParagraphFont"/>
    <w:rsid w:val="009A47DA"/>
  </w:style>
  <w:style w:type="character" w:styleId="PlaceholderText">
    <w:name w:val="Placeholder Text"/>
    <w:basedOn w:val="DefaultParagraphFont"/>
    <w:uiPriority w:val="99"/>
    <w:semiHidden/>
    <w:rsid w:val="002B3107"/>
    <w:rPr>
      <w:color w:val="808080"/>
    </w:rPr>
  </w:style>
  <w:style w:type="paragraph" w:styleId="BalloonText">
    <w:name w:val="Balloon Text"/>
    <w:basedOn w:val="Normal"/>
    <w:link w:val="BalloonTextChar"/>
    <w:uiPriority w:val="99"/>
    <w:semiHidden/>
    <w:unhideWhenUsed/>
    <w:rsid w:val="00B45D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D45"/>
    <w:rPr>
      <w:rFonts w:ascii="Tahoma" w:hAnsi="Tahoma" w:cs="Tahoma"/>
      <w:sz w:val="16"/>
      <w:szCs w:val="16"/>
    </w:rPr>
  </w:style>
  <w:style w:type="paragraph" w:styleId="NormalWeb">
    <w:name w:val="Normal (Web)"/>
    <w:basedOn w:val="Normal"/>
    <w:uiPriority w:val="99"/>
    <w:unhideWhenUsed/>
    <w:rsid w:val="00CB56D2"/>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317145"/>
    <w:rPr>
      <w:sz w:val="16"/>
      <w:szCs w:val="16"/>
    </w:rPr>
  </w:style>
  <w:style w:type="paragraph" w:styleId="CommentText">
    <w:name w:val="annotation text"/>
    <w:basedOn w:val="Normal"/>
    <w:link w:val="CommentTextChar"/>
    <w:uiPriority w:val="99"/>
    <w:semiHidden/>
    <w:unhideWhenUsed/>
    <w:rsid w:val="00317145"/>
    <w:pPr>
      <w:spacing w:line="240" w:lineRule="auto"/>
    </w:pPr>
    <w:rPr>
      <w:sz w:val="20"/>
      <w:szCs w:val="20"/>
    </w:rPr>
  </w:style>
  <w:style w:type="character" w:customStyle="1" w:styleId="CommentTextChar">
    <w:name w:val="Comment Text Char"/>
    <w:basedOn w:val="DefaultParagraphFont"/>
    <w:link w:val="CommentText"/>
    <w:uiPriority w:val="99"/>
    <w:semiHidden/>
    <w:rsid w:val="00317145"/>
    <w:rPr>
      <w:sz w:val="20"/>
      <w:szCs w:val="20"/>
    </w:rPr>
  </w:style>
  <w:style w:type="paragraph" w:styleId="CommentSubject">
    <w:name w:val="annotation subject"/>
    <w:basedOn w:val="CommentText"/>
    <w:next w:val="CommentText"/>
    <w:link w:val="CommentSubjectChar"/>
    <w:uiPriority w:val="99"/>
    <w:semiHidden/>
    <w:unhideWhenUsed/>
    <w:rsid w:val="00317145"/>
    <w:rPr>
      <w:b/>
    </w:rPr>
  </w:style>
  <w:style w:type="character" w:customStyle="1" w:styleId="CommentSubjectChar">
    <w:name w:val="Comment Subject Char"/>
    <w:basedOn w:val="CommentTextChar"/>
    <w:link w:val="CommentSubject"/>
    <w:uiPriority w:val="99"/>
    <w:semiHidden/>
    <w:rsid w:val="00317145"/>
    <w:rPr>
      <w:b/>
      <w:bCs/>
      <w:sz w:val="20"/>
      <w:szCs w:val="20"/>
    </w:rPr>
  </w:style>
  <w:style w:type="paragraph" w:styleId="Revision">
    <w:name w:val="Revision"/>
    <w:hidden/>
    <w:uiPriority w:val="99"/>
    <w:semiHidden/>
    <w:rsid w:val="003171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962293">
      <w:bodyDiv w:val="1"/>
      <w:marLeft w:val="0"/>
      <w:marRight w:val="0"/>
      <w:marTop w:val="0"/>
      <w:marBottom w:val="0"/>
      <w:divBdr>
        <w:top w:val="none" w:sz="0" w:space="0" w:color="auto"/>
        <w:left w:val="none" w:sz="0" w:space="0" w:color="auto"/>
        <w:bottom w:val="none" w:sz="0" w:space="0" w:color="auto"/>
        <w:right w:val="none" w:sz="0" w:space="0" w:color="auto"/>
      </w:divBdr>
    </w:div>
    <w:div w:id="515846993">
      <w:bodyDiv w:val="1"/>
      <w:marLeft w:val="0"/>
      <w:marRight w:val="0"/>
      <w:marTop w:val="0"/>
      <w:marBottom w:val="0"/>
      <w:divBdr>
        <w:top w:val="none" w:sz="0" w:space="0" w:color="auto"/>
        <w:left w:val="none" w:sz="0" w:space="0" w:color="auto"/>
        <w:bottom w:val="none" w:sz="0" w:space="0" w:color="auto"/>
        <w:right w:val="none" w:sz="0" w:space="0" w:color="auto"/>
      </w:divBdr>
    </w:div>
    <w:div w:id="551430117">
      <w:bodyDiv w:val="1"/>
      <w:marLeft w:val="0"/>
      <w:marRight w:val="0"/>
      <w:marTop w:val="0"/>
      <w:marBottom w:val="0"/>
      <w:divBdr>
        <w:top w:val="none" w:sz="0" w:space="0" w:color="auto"/>
        <w:left w:val="none" w:sz="0" w:space="0" w:color="auto"/>
        <w:bottom w:val="none" w:sz="0" w:space="0" w:color="auto"/>
        <w:right w:val="none" w:sz="0" w:space="0" w:color="auto"/>
      </w:divBdr>
    </w:div>
    <w:div w:id="751656531">
      <w:bodyDiv w:val="1"/>
      <w:marLeft w:val="0"/>
      <w:marRight w:val="0"/>
      <w:marTop w:val="0"/>
      <w:marBottom w:val="0"/>
      <w:divBdr>
        <w:top w:val="none" w:sz="0" w:space="0" w:color="auto"/>
        <w:left w:val="none" w:sz="0" w:space="0" w:color="auto"/>
        <w:bottom w:val="none" w:sz="0" w:space="0" w:color="auto"/>
        <w:right w:val="none" w:sz="0" w:space="0" w:color="auto"/>
      </w:divBdr>
    </w:div>
    <w:div w:id="886768141">
      <w:bodyDiv w:val="1"/>
      <w:marLeft w:val="0"/>
      <w:marRight w:val="0"/>
      <w:marTop w:val="0"/>
      <w:marBottom w:val="0"/>
      <w:divBdr>
        <w:top w:val="none" w:sz="0" w:space="0" w:color="auto"/>
        <w:left w:val="none" w:sz="0" w:space="0" w:color="auto"/>
        <w:bottom w:val="none" w:sz="0" w:space="0" w:color="auto"/>
        <w:right w:val="none" w:sz="0" w:space="0" w:color="auto"/>
      </w:divBdr>
      <w:divsChild>
        <w:div w:id="1158611943">
          <w:marLeft w:val="0"/>
          <w:marRight w:val="0"/>
          <w:marTop w:val="0"/>
          <w:marBottom w:val="0"/>
          <w:divBdr>
            <w:top w:val="none" w:sz="0" w:space="0" w:color="auto"/>
            <w:left w:val="none" w:sz="0" w:space="0" w:color="auto"/>
            <w:bottom w:val="none" w:sz="0" w:space="0" w:color="auto"/>
            <w:right w:val="none" w:sz="0" w:space="0" w:color="auto"/>
          </w:divBdr>
          <w:divsChild>
            <w:div w:id="106967035">
              <w:marLeft w:val="0"/>
              <w:marRight w:val="0"/>
              <w:marTop w:val="0"/>
              <w:marBottom w:val="0"/>
              <w:divBdr>
                <w:top w:val="none" w:sz="0" w:space="0" w:color="auto"/>
                <w:left w:val="none" w:sz="0" w:space="0" w:color="auto"/>
                <w:bottom w:val="none" w:sz="0" w:space="0" w:color="auto"/>
                <w:right w:val="none" w:sz="0" w:space="0" w:color="auto"/>
              </w:divBdr>
              <w:divsChild>
                <w:div w:id="2080783045">
                  <w:marLeft w:val="0"/>
                  <w:marRight w:val="0"/>
                  <w:marTop w:val="0"/>
                  <w:marBottom w:val="0"/>
                  <w:divBdr>
                    <w:top w:val="none" w:sz="0" w:space="0" w:color="auto"/>
                    <w:left w:val="none" w:sz="0" w:space="0" w:color="auto"/>
                    <w:bottom w:val="none" w:sz="0" w:space="0" w:color="auto"/>
                    <w:right w:val="none" w:sz="0" w:space="0" w:color="auto"/>
                  </w:divBdr>
                  <w:divsChild>
                    <w:div w:id="393505343">
                      <w:marLeft w:val="0"/>
                      <w:marRight w:val="0"/>
                      <w:marTop w:val="0"/>
                      <w:marBottom w:val="0"/>
                      <w:divBdr>
                        <w:top w:val="none" w:sz="0" w:space="0" w:color="auto"/>
                        <w:left w:val="none" w:sz="0" w:space="0" w:color="auto"/>
                        <w:bottom w:val="none" w:sz="0" w:space="0" w:color="auto"/>
                        <w:right w:val="none" w:sz="0" w:space="0" w:color="auto"/>
                      </w:divBdr>
                      <w:divsChild>
                        <w:div w:id="6157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804023">
      <w:bodyDiv w:val="1"/>
      <w:marLeft w:val="0"/>
      <w:marRight w:val="0"/>
      <w:marTop w:val="0"/>
      <w:marBottom w:val="0"/>
      <w:divBdr>
        <w:top w:val="none" w:sz="0" w:space="0" w:color="auto"/>
        <w:left w:val="none" w:sz="0" w:space="0" w:color="auto"/>
        <w:bottom w:val="none" w:sz="0" w:space="0" w:color="auto"/>
        <w:right w:val="none" w:sz="0" w:space="0" w:color="auto"/>
      </w:divBdr>
    </w:div>
    <w:div w:id="1710108805">
      <w:bodyDiv w:val="1"/>
      <w:marLeft w:val="0"/>
      <w:marRight w:val="0"/>
      <w:marTop w:val="0"/>
      <w:marBottom w:val="0"/>
      <w:divBdr>
        <w:top w:val="none" w:sz="0" w:space="0" w:color="auto"/>
        <w:left w:val="none" w:sz="0" w:space="0" w:color="auto"/>
        <w:bottom w:val="none" w:sz="0" w:space="0" w:color="auto"/>
        <w:right w:val="none" w:sz="0" w:space="0" w:color="auto"/>
      </w:divBdr>
    </w:div>
    <w:div w:id="186995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n5\Master\tomato%20experiment\results\tomato\Tomato%20leav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en5\Master\tomato%20experiment\results\tomato\tomato%20frui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0716098633004"/>
          <c:y val="8.7069241083845686E-2"/>
          <c:w val="0.84637579966511722"/>
          <c:h val="0.77295782599851426"/>
        </c:manualLayout>
      </c:layout>
      <c:barChart>
        <c:barDir val="col"/>
        <c:grouping val="clustered"/>
        <c:varyColors val="0"/>
        <c:ser>
          <c:idx val="0"/>
          <c:order val="0"/>
          <c:tx>
            <c:strRef>
              <c:f>'analyzed data'!$C$14</c:f>
              <c:strCache>
                <c:ptCount val="1"/>
                <c:pt idx="0">
                  <c:v>Sildenafil</c:v>
                </c:pt>
              </c:strCache>
            </c:strRef>
          </c:tx>
          <c:invertIfNegative val="0"/>
          <c:errBars>
            <c:errBarType val="both"/>
            <c:errValType val="cust"/>
            <c:noEndCap val="0"/>
            <c:plus>
              <c:numRef>
                <c:f>'analyzed data'!$E$14:$E$24</c:f>
              </c:numRef>
            </c:plus>
            <c:minus>
              <c:numRef>
                <c:f>'analyzed data'!$E$14:$E$24</c:f>
              </c:numRef>
            </c:minus>
          </c:errBars>
          <c:cat>
            <c:strRef>
              <c:f>'analyzed data'!$A$3:$A$13</c:f>
              <c:strCache>
                <c:ptCount val="8"/>
                <c:pt idx="0">
                  <c:v>TH</c:v>
                </c:pt>
                <c:pt idx="1">
                  <c:v>TM</c:v>
                </c:pt>
                <c:pt idx="2">
                  <c:v>TL</c:v>
                </c:pt>
                <c:pt idx="3">
                  <c:v>FHBS</c:v>
                </c:pt>
                <c:pt idx="4">
                  <c:v>FMBS</c:v>
                </c:pt>
                <c:pt idx="5">
                  <c:v>FLBS</c:v>
                </c:pt>
                <c:pt idx="6">
                  <c:v>FMBSS</c:v>
                </c:pt>
                <c:pt idx="7">
                  <c:v>TMBS</c:v>
                </c:pt>
              </c:strCache>
            </c:strRef>
          </c:cat>
          <c:val>
            <c:numRef>
              <c:f>'analyzed data'!$D$14:$D$24</c:f>
            </c:numRef>
          </c:val>
        </c:ser>
        <c:ser>
          <c:idx val="1"/>
          <c:order val="1"/>
          <c:tx>
            <c:strRef>
              <c:f>'analyzed data'!$C$25</c:f>
              <c:strCache>
                <c:ptCount val="1"/>
                <c:pt idx="0">
                  <c:v>Lamotrigine</c:v>
                </c:pt>
              </c:strCache>
            </c:strRef>
          </c:tx>
          <c:invertIfNegative val="0"/>
          <c:errBars>
            <c:errBarType val="both"/>
            <c:errValType val="cust"/>
            <c:noEndCap val="0"/>
            <c:plus>
              <c:numRef>
                <c:f>'analyzed data'!$E$25:$E$35</c:f>
                <c:numCache>
                  <c:formatCode>General</c:formatCode>
                  <c:ptCount val="8"/>
                  <c:pt idx="0">
                    <c:v>1.1475891928978212</c:v>
                  </c:pt>
                  <c:pt idx="1">
                    <c:v>3.8996872845860677</c:v>
                  </c:pt>
                  <c:pt idx="2">
                    <c:v>7.236689815457674</c:v>
                  </c:pt>
                  <c:pt idx="3">
                    <c:v>0</c:v>
                  </c:pt>
                  <c:pt idx="4">
                    <c:v>0</c:v>
                  </c:pt>
                  <c:pt idx="5">
                    <c:v>0</c:v>
                  </c:pt>
                  <c:pt idx="6">
                    <c:v>0</c:v>
                  </c:pt>
                  <c:pt idx="7">
                    <c:v>3.1563331414561042</c:v>
                  </c:pt>
                </c:numCache>
              </c:numRef>
            </c:plus>
            <c:minus>
              <c:numRef>
                <c:f>'analyzed data'!$E$25:$E$35</c:f>
                <c:numCache>
                  <c:formatCode>General</c:formatCode>
                  <c:ptCount val="8"/>
                  <c:pt idx="0">
                    <c:v>1.1475891928978212</c:v>
                  </c:pt>
                  <c:pt idx="1">
                    <c:v>3.8996872845860677</c:v>
                  </c:pt>
                  <c:pt idx="2">
                    <c:v>7.236689815457674</c:v>
                  </c:pt>
                  <c:pt idx="3">
                    <c:v>0</c:v>
                  </c:pt>
                  <c:pt idx="4">
                    <c:v>0</c:v>
                  </c:pt>
                  <c:pt idx="5">
                    <c:v>0</c:v>
                  </c:pt>
                  <c:pt idx="6">
                    <c:v>0</c:v>
                  </c:pt>
                  <c:pt idx="7">
                    <c:v>3.1563331414561042</c:v>
                  </c:pt>
                </c:numCache>
              </c:numRef>
            </c:minus>
          </c:errBars>
          <c:cat>
            <c:strRef>
              <c:f>'analyzed data'!$A$3:$A$13</c:f>
              <c:strCache>
                <c:ptCount val="8"/>
                <c:pt idx="0">
                  <c:v>TH</c:v>
                </c:pt>
                <c:pt idx="1">
                  <c:v>TM</c:v>
                </c:pt>
                <c:pt idx="2">
                  <c:v>TL</c:v>
                </c:pt>
                <c:pt idx="3">
                  <c:v>FHBS</c:v>
                </c:pt>
                <c:pt idx="4">
                  <c:v>FMBS</c:v>
                </c:pt>
                <c:pt idx="5">
                  <c:v>FLBS</c:v>
                </c:pt>
                <c:pt idx="6">
                  <c:v>FMBSS</c:v>
                </c:pt>
                <c:pt idx="7">
                  <c:v>TMBS</c:v>
                </c:pt>
              </c:strCache>
            </c:strRef>
          </c:cat>
          <c:val>
            <c:numRef>
              <c:f>'analyzed data'!$D$25:$D$35</c:f>
              <c:numCache>
                <c:formatCode>0.00</c:formatCode>
                <c:ptCount val="8"/>
                <c:pt idx="0">
                  <c:v>12.087142250553107</c:v>
                </c:pt>
                <c:pt idx="1">
                  <c:v>6.2109554911977156</c:v>
                </c:pt>
                <c:pt idx="2">
                  <c:v>11.424795155838551</c:v>
                </c:pt>
                <c:pt idx="3">
                  <c:v>0</c:v>
                </c:pt>
                <c:pt idx="4">
                  <c:v>0</c:v>
                </c:pt>
                <c:pt idx="5">
                  <c:v>0</c:v>
                </c:pt>
                <c:pt idx="6">
                  <c:v>0</c:v>
                </c:pt>
                <c:pt idx="7">
                  <c:v>3.4786508651054526</c:v>
                </c:pt>
              </c:numCache>
            </c:numRef>
          </c:val>
        </c:ser>
        <c:ser>
          <c:idx val="2"/>
          <c:order val="2"/>
          <c:tx>
            <c:strRef>
              <c:f>'analyzed data'!$C$58</c:f>
              <c:strCache>
                <c:ptCount val="1"/>
                <c:pt idx="0">
                  <c:v>carbamazepine</c:v>
                </c:pt>
              </c:strCache>
            </c:strRef>
          </c:tx>
          <c:invertIfNegative val="0"/>
          <c:errBars>
            <c:errBarType val="both"/>
            <c:errValType val="cust"/>
            <c:noEndCap val="0"/>
            <c:plus>
              <c:numRef>
                <c:f>'analyzed data'!$E$58:$E$68</c:f>
                <c:numCache>
                  <c:formatCode>General</c:formatCode>
                  <c:ptCount val="8"/>
                  <c:pt idx="0">
                    <c:v>1.5600205367737257</c:v>
                  </c:pt>
                  <c:pt idx="1">
                    <c:v>16.02596706101615</c:v>
                  </c:pt>
                  <c:pt idx="2">
                    <c:v>5.6128073761763551</c:v>
                  </c:pt>
                  <c:pt idx="3">
                    <c:v>2.0722676006447127</c:v>
                  </c:pt>
                  <c:pt idx="4">
                    <c:v>1.1607728218682645</c:v>
                  </c:pt>
                  <c:pt idx="5">
                    <c:v>0.98585319947518268</c:v>
                  </c:pt>
                  <c:pt idx="6">
                    <c:v>3.7302685213621509</c:v>
                  </c:pt>
                  <c:pt idx="7">
                    <c:v>9.6233423333239596</c:v>
                  </c:pt>
                </c:numCache>
              </c:numRef>
            </c:plus>
            <c:minus>
              <c:numRef>
                <c:f>'analyzed data'!$E$58:$E$68</c:f>
                <c:numCache>
                  <c:formatCode>General</c:formatCode>
                  <c:ptCount val="8"/>
                  <c:pt idx="0">
                    <c:v>1.5600205367737257</c:v>
                  </c:pt>
                  <c:pt idx="1">
                    <c:v>16.02596706101615</c:v>
                  </c:pt>
                  <c:pt idx="2">
                    <c:v>5.6128073761763551</c:v>
                  </c:pt>
                  <c:pt idx="3">
                    <c:v>2.0722676006447127</c:v>
                  </c:pt>
                  <c:pt idx="4">
                    <c:v>1.1607728218682645</c:v>
                  </c:pt>
                  <c:pt idx="5">
                    <c:v>0.98585319947518268</c:v>
                  </c:pt>
                  <c:pt idx="6">
                    <c:v>3.7302685213621509</c:v>
                  </c:pt>
                  <c:pt idx="7">
                    <c:v>9.6233423333239596</c:v>
                  </c:pt>
                </c:numCache>
              </c:numRef>
            </c:minus>
          </c:errBars>
          <c:cat>
            <c:strRef>
              <c:f>'analyzed data'!$A$3:$A$13</c:f>
              <c:strCache>
                <c:ptCount val="8"/>
                <c:pt idx="0">
                  <c:v>TH</c:v>
                </c:pt>
                <c:pt idx="1">
                  <c:v>TM</c:v>
                </c:pt>
                <c:pt idx="2">
                  <c:v>TL</c:v>
                </c:pt>
                <c:pt idx="3">
                  <c:v>FHBS</c:v>
                </c:pt>
                <c:pt idx="4">
                  <c:v>FMBS</c:v>
                </c:pt>
                <c:pt idx="5">
                  <c:v>FLBS</c:v>
                </c:pt>
                <c:pt idx="6">
                  <c:v>FMBSS</c:v>
                </c:pt>
                <c:pt idx="7">
                  <c:v>TMBS</c:v>
                </c:pt>
              </c:strCache>
            </c:strRef>
          </c:cat>
          <c:val>
            <c:numRef>
              <c:f>'analyzed data'!$D$58:$D$68</c:f>
              <c:numCache>
                <c:formatCode>0.00</c:formatCode>
                <c:ptCount val="8"/>
                <c:pt idx="0">
                  <c:v>33.189033477488344</c:v>
                </c:pt>
                <c:pt idx="1">
                  <c:v>38.6951592019659</c:v>
                </c:pt>
                <c:pt idx="2">
                  <c:v>35.6640123718919</c:v>
                </c:pt>
                <c:pt idx="3">
                  <c:v>7.787202920642307</c:v>
                </c:pt>
                <c:pt idx="4">
                  <c:v>6.4565375665360003</c:v>
                </c:pt>
                <c:pt idx="5">
                  <c:v>3.5304980734407527</c:v>
                </c:pt>
                <c:pt idx="6">
                  <c:v>5.9156943034478529</c:v>
                </c:pt>
                <c:pt idx="7">
                  <c:v>40.015980241626878</c:v>
                </c:pt>
              </c:numCache>
            </c:numRef>
          </c:val>
        </c:ser>
        <c:ser>
          <c:idx val="3"/>
          <c:order val="3"/>
          <c:tx>
            <c:strRef>
              <c:f>'analyzed data'!$C$69</c:f>
              <c:strCache>
                <c:ptCount val="1"/>
                <c:pt idx="0">
                  <c:v>Caffeine</c:v>
                </c:pt>
              </c:strCache>
            </c:strRef>
          </c:tx>
          <c:invertIfNegative val="0"/>
          <c:errBars>
            <c:errBarType val="both"/>
            <c:errValType val="cust"/>
            <c:noEndCap val="0"/>
            <c:plus>
              <c:numRef>
                <c:f>'analyzed data'!$E$69:$E$79</c:f>
                <c:numCache>
                  <c:formatCode>General</c:formatCode>
                  <c:ptCount val="8"/>
                  <c:pt idx="0">
                    <c:v>7.8988211278806526</c:v>
                  </c:pt>
                  <c:pt idx="1">
                    <c:v>43.163375022002562</c:v>
                  </c:pt>
                  <c:pt idx="2">
                    <c:v>2.1381533451447932</c:v>
                  </c:pt>
                  <c:pt idx="3">
                    <c:v>5.7743972661471576E-2</c:v>
                  </c:pt>
                  <c:pt idx="4">
                    <c:v>4.4586958912236128</c:v>
                  </c:pt>
                  <c:pt idx="5">
                    <c:v>3.0699212170041585</c:v>
                  </c:pt>
                  <c:pt idx="6">
                    <c:v>5.9149835320823643</c:v>
                  </c:pt>
                  <c:pt idx="7">
                    <c:v>0.61402986920116465</c:v>
                  </c:pt>
                </c:numCache>
              </c:numRef>
            </c:plus>
            <c:minus>
              <c:numRef>
                <c:f>'analyzed data'!$E$69:$E$79</c:f>
                <c:numCache>
                  <c:formatCode>General</c:formatCode>
                  <c:ptCount val="8"/>
                  <c:pt idx="0">
                    <c:v>7.8988211278806526</c:v>
                  </c:pt>
                  <c:pt idx="1">
                    <c:v>43.163375022002562</c:v>
                  </c:pt>
                  <c:pt idx="2">
                    <c:v>2.1381533451447932</c:v>
                  </c:pt>
                  <c:pt idx="3">
                    <c:v>5.7743972661471576E-2</c:v>
                  </c:pt>
                  <c:pt idx="4">
                    <c:v>4.4586958912236128</c:v>
                  </c:pt>
                  <c:pt idx="5">
                    <c:v>3.0699212170041585</c:v>
                  </c:pt>
                  <c:pt idx="6">
                    <c:v>5.9149835320823643</c:v>
                  </c:pt>
                  <c:pt idx="7">
                    <c:v>0.61402986920116465</c:v>
                  </c:pt>
                </c:numCache>
              </c:numRef>
            </c:minus>
          </c:errBars>
          <c:cat>
            <c:strRef>
              <c:f>'analyzed data'!$A$3:$A$13</c:f>
              <c:strCache>
                <c:ptCount val="8"/>
                <c:pt idx="0">
                  <c:v>TH</c:v>
                </c:pt>
                <c:pt idx="1">
                  <c:v>TM</c:v>
                </c:pt>
                <c:pt idx="2">
                  <c:v>TL</c:v>
                </c:pt>
                <c:pt idx="3">
                  <c:v>FHBS</c:v>
                </c:pt>
                <c:pt idx="4">
                  <c:v>FMBS</c:v>
                </c:pt>
                <c:pt idx="5">
                  <c:v>FLBS</c:v>
                </c:pt>
                <c:pt idx="6">
                  <c:v>FMBSS</c:v>
                </c:pt>
                <c:pt idx="7">
                  <c:v>TMBS</c:v>
                </c:pt>
              </c:strCache>
            </c:strRef>
          </c:cat>
          <c:val>
            <c:numRef>
              <c:f>'analyzed data'!$D$69:$D$79</c:f>
              <c:numCache>
                <c:formatCode>0.00</c:formatCode>
                <c:ptCount val="8"/>
                <c:pt idx="0">
                  <c:v>9.9364051475393254</c:v>
                </c:pt>
                <c:pt idx="1">
                  <c:v>29.008001554636362</c:v>
                </c:pt>
                <c:pt idx="2">
                  <c:v>5.0668202179788455</c:v>
                </c:pt>
                <c:pt idx="3">
                  <c:v>4.0744231916962494</c:v>
                </c:pt>
                <c:pt idx="4">
                  <c:v>6.5062836310213381</c:v>
                </c:pt>
                <c:pt idx="5">
                  <c:v>6.5253793944083114</c:v>
                </c:pt>
                <c:pt idx="6">
                  <c:v>8.1946218468010699</c:v>
                </c:pt>
                <c:pt idx="7">
                  <c:v>5.887120489972701</c:v>
                </c:pt>
              </c:numCache>
            </c:numRef>
          </c:val>
        </c:ser>
        <c:ser>
          <c:idx val="4"/>
          <c:order val="4"/>
          <c:tx>
            <c:strRef>
              <c:f>'analyzed data'!$C$36</c:f>
              <c:strCache>
                <c:ptCount val="1"/>
                <c:pt idx="0">
                  <c:v>ep-CBZ</c:v>
                </c:pt>
              </c:strCache>
            </c:strRef>
          </c:tx>
          <c:invertIfNegative val="0"/>
          <c:errBars>
            <c:errBarType val="both"/>
            <c:errValType val="cust"/>
            <c:noEndCap val="0"/>
            <c:plus>
              <c:numRef>
                <c:f>'analyzed data'!$E$36:$E$46</c:f>
                <c:numCache>
                  <c:formatCode>General</c:formatCode>
                  <c:ptCount val="8"/>
                  <c:pt idx="0">
                    <c:v>2.953921321002134</c:v>
                  </c:pt>
                  <c:pt idx="1">
                    <c:v>37.157443421575849</c:v>
                  </c:pt>
                  <c:pt idx="2">
                    <c:v>32.711038007746353</c:v>
                  </c:pt>
                  <c:pt idx="3">
                    <c:v>2.1304923684372592</c:v>
                  </c:pt>
                  <c:pt idx="4">
                    <c:v>2.5240491091566577</c:v>
                  </c:pt>
                  <c:pt idx="5">
                    <c:v>1.9726690991469717</c:v>
                  </c:pt>
                  <c:pt idx="6">
                    <c:v>5.9778522015806814</c:v>
                  </c:pt>
                  <c:pt idx="7">
                    <c:v>9.1467892045086625</c:v>
                  </c:pt>
                </c:numCache>
              </c:numRef>
            </c:plus>
            <c:minus>
              <c:numRef>
                <c:f>'analyzed data'!$E$36:$E$46</c:f>
                <c:numCache>
                  <c:formatCode>General</c:formatCode>
                  <c:ptCount val="8"/>
                  <c:pt idx="0">
                    <c:v>2.953921321002134</c:v>
                  </c:pt>
                  <c:pt idx="1">
                    <c:v>37.157443421575849</c:v>
                  </c:pt>
                  <c:pt idx="2">
                    <c:v>32.711038007746353</c:v>
                  </c:pt>
                  <c:pt idx="3">
                    <c:v>2.1304923684372592</c:v>
                  </c:pt>
                  <c:pt idx="4">
                    <c:v>2.5240491091566577</c:v>
                  </c:pt>
                  <c:pt idx="5">
                    <c:v>1.9726690991469717</c:v>
                  </c:pt>
                  <c:pt idx="6">
                    <c:v>5.9778522015806814</c:v>
                  </c:pt>
                  <c:pt idx="7">
                    <c:v>9.1467892045086625</c:v>
                  </c:pt>
                </c:numCache>
              </c:numRef>
            </c:minus>
          </c:errBars>
          <c:cat>
            <c:strRef>
              <c:f>'analyzed data'!$A$3:$A$13</c:f>
              <c:strCache>
                <c:ptCount val="8"/>
                <c:pt idx="0">
                  <c:v>TH</c:v>
                </c:pt>
                <c:pt idx="1">
                  <c:v>TM</c:v>
                </c:pt>
                <c:pt idx="2">
                  <c:v>TL</c:v>
                </c:pt>
                <c:pt idx="3">
                  <c:v>FHBS</c:v>
                </c:pt>
                <c:pt idx="4">
                  <c:v>FMBS</c:v>
                </c:pt>
                <c:pt idx="5">
                  <c:v>FLBS</c:v>
                </c:pt>
                <c:pt idx="6">
                  <c:v>FMBSS</c:v>
                </c:pt>
                <c:pt idx="7">
                  <c:v>TMBS</c:v>
                </c:pt>
              </c:strCache>
            </c:strRef>
          </c:cat>
          <c:val>
            <c:numRef>
              <c:f>'analyzed data'!$D$36:$D$46</c:f>
              <c:numCache>
                <c:formatCode>0.00</c:formatCode>
                <c:ptCount val="8"/>
                <c:pt idx="0">
                  <c:v>78.869266870458489</c:v>
                </c:pt>
                <c:pt idx="1">
                  <c:v>83.560151780181954</c:v>
                </c:pt>
                <c:pt idx="2">
                  <c:v>98.531902180410768</c:v>
                </c:pt>
                <c:pt idx="3">
                  <c:v>17.512963459644634</c:v>
                </c:pt>
                <c:pt idx="4">
                  <c:v>12.330612797951082</c:v>
                </c:pt>
                <c:pt idx="5">
                  <c:v>5.1582777657237902</c:v>
                </c:pt>
                <c:pt idx="6">
                  <c:v>8.404858915893783</c:v>
                </c:pt>
                <c:pt idx="7">
                  <c:v>74.973689128531618</c:v>
                </c:pt>
              </c:numCache>
            </c:numRef>
          </c:val>
        </c:ser>
        <c:ser>
          <c:idx val="5"/>
          <c:order val="5"/>
          <c:tx>
            <c:strRef>
              <c:f>'analyzed data'!$C$3</c:f>
              <c:strCache>
                <c:ptCount val="1"/>
                <c:pt idx="0">
                  <c:v>trans diOH-CBZ</c:v>
                </c:pt>
              </c:strCache>
            </c:strRef>
          </c:tx>
          <c:spPr>
            <a:solidFill>
              <a:schemeClr val="accent6"/>
            </a:solidFill>
          </c:spPr>
          <c:invertIfNegative val="0"/>
          <c:errBars>
            <c:errBarType val="both"/>
            <c:errValType val="cust"/>
            <c:noEndCap val="0"/>
            <c:plus>
              <c:numRef>
                <c:f>'analyzed data'!$E$3:$E$13</c:f>
                <c:numCache>
                  <c:formatCode>General</c:formatCode>
                  <c:ptCount val="8"/>
                  <c:pt idx="0">
                    <c:v>2.3350478375007206</c:v>
                  </c:pt>
                  <c:pt idx="1">
                    <c:v>3.8683814350256149</c:v>
                  </c:pt>
                  <c:pt idx="2">
                    <c:v>3.4777220500666788</c:v>
                  </c:pt>
                  <c:pt idx="3">
                    <c:v>0.32136639018989793</c:v>
                  </c:pt>
                  <c:pt idx="4">
                    <c:v>0.29095406838181037</c:v>
                  </c:pt>
                  <c:pt idx="5">
                    <c:v>0.28745156648915532</c:v>
                  </c:pt>
                  <c:pt idx="6">
                    <c:v>0.47683139333110131</c:v>
                  </c:pt>
                  <c:pt idx="7">
                    <c:v>5.7752706063206833</c:v>
                  </c:pt>
                </c:numCache>
              </c:numRef>
            </c:plus>
            <c:minus>
              <c:numRef>
                <c:f>'analyzed data'!$E$3:$E$13</c:f>
                <c:numCache>
                  <c:formatCode>General</c:formatCode>
                  <c:ptCount val="8"/>
                  <c:pt idx="0">
                    <c:v>2.3350478375007206</c:v>
                  </c:pt>
                  <c:pt idx="1">
                    <c:v>3.8683814350256149</c:v>
                  </c:pt>
                  <c:pt idx="2">
                    <c:v>3.4777220500666788</c:v>
                  </c:pt>
                  <c:pt idx="3">
                    <c:v>0.32136639018989793</c:v>
                  </c:pt>
                  <c:pt idx="4">
                    <c:v>0.29095406838181037</c:v>
                  </c:pt>
                  <c:pt idx="5">
                    <c:v>0.28745156648915532</c:v>
                  </c:pt>
                  <c:pt idx="6">
                    <c:v>0.47683139333110131</c:v>
                  </c:pt>
                  <c:pt idx="7">
                    <c:v>5.7752706063206833</c:v>
                  </c:pt>
                </c:numCache>
              </c:numRef>
            </c:minus>
          </c:errBars>
          <c:cat>
            <c:strRef>
              <c:f>'analyzed data'!$A$3:$A$13</c:f>
              <c:strCache>
                <c:ptCount val="8"/>
                <c:pt idx="0">
                  <c:v>TH</c:v>
                </c:pt>
                <c:pt idx="1">
                  <c:v>TM</c:v>
                </c:pt>
                <c:pt idx="2">
                  <c:v>TL</c:v>
                </c:pt>
                <c:pt idx="3">
                  <c:v>FHBS</c:v>
                </c:pt>
                <c:pt idx="4">
                  <c:v>FMBS</c:v>
                </c:pt>
                <c:pt idx="5">
                  <c:v>FLBS</c:v>
                </c:pt>
                <c:pt idx="6">
                  <c:v>FMBSS</c:v>
                </c:pt>
                <c:pt idx="7">
                  <c:v>TMBS</c:v>
                </c:pt>
              </c:strCache>
            </c:strRef>
          </c:cat>
          <c:val>
            <c:numRef>
              <c:f>'analyzed data'!$D$3:$D$13</c:f>
              <c:numCache>
                <c:formatCode>0.00</c:formatCode>
                <c:ptCount val="8"/>
                <c:pt idx="0">
                  <c:v>11.588478278089926</c:v>
                </c:pt>
                <c:pt idx="1">
                  <c:v>13.496906037282402</c:v>
                </c:pt>
                <c:pt idx="2">
                  <c:v>14.578932542280384</c:v>
                </c:pt>
                <c:pt idx="3">
                  <c:v>1.198294137544518</c:v>
                </c:pt>
                <c:pt idx="4">
                  <c:v>0.7617138959906663</c:v>
                </c:pt>
                <c:pt idx="5">
                  <c:v>0.28033870565106489</c:v>
                </c:pt>
                <c:pt idx="6">
                  <c:v>0.55810584692841037</c:v>
                </c:pt>
                <c:pt idx="7">
                  <c:v>13.863568668396582</c:v>
                </c:pt>
              </c:numCache>
            </c:numRef>
          </c:val>
        </c:ser>
        <c:dLbls>
          <c:showLegendKey val="0"/>
          <c:showVal val="0"/>
          <c:showCatName val="0"/>
          <c:showSerName val="0"/>
          <c:showPercent val="0"/>
          <c:showBubbleSize val="0"/>
        </c:dLbls>
        <c:gapWidth val="150"/>
        <c:axId val="130599168"/>
        <c:axId val="133394432"/>
      </c:barChart>
      <c:catAx>
        <c:axId val="130599168"/>
        <c:scaling>
          <c:orientation val="minMax"/>
        </c:scaling>
        <c:delete val="0"/>
        <c:axPos val="b"/>
        <c:numFmt formatCode="General" sourceLinked="0"/>
        <c:majorTickMark val="out"/>
        <c:minorTickMark val="none"/>
        <c:tickLblPos val="nextTo"/>
        <c:txPr>
          <a:bodyPr/>
          <a:lstStyle/>
          <a:p>
            <a:pPr>
              <a:defRPr sz="900"/>
            </a:pPr>
            <a:endParaRPr lang="he-IL"/>
          </a:p>
        </c:txPr>
        <c:crossAx val="133394432"/>
        <c:crosses val="autoZero"/>
        <c:auto val="1"/>
        <c:lblAlgn val="ctr"/>
        <c:lblOffset val="100"/>
        <c:noMultiLvlLbl val="0"/>
      </c:catAx>
      <c:valAx>
        <c:axId val="133394432"/>
        <c:scaling>
          <c:orientation val="minMax"/>
          <c:min val="0"/>
        </c:scaling>
        <c:delete val="0"/>
        <c:axPos val="l"/>
        <c:title>
          <c:tx>
            <c:rich>
              <a:bodyPr rot="-5400000" vert="horz"/>
              <a:lstStyle/>
              <a:p>
                <a:pPr>
                  <a:defRPr b="0"/>
                </a:pPr>
                <a:r>
                  <a:rPr lang="en-US" b="0"/>
                  <a:t>concentration (ng g</a:t>
                </a:r>
                <a:r>
                  <a:rPr lang="en-US" b="0" baseline="30000"/>
                  <a:t>-1</a:t>
                </a:r>
                <a:r>
                  <a:rPr lang="en-US" b="0" baseline="0"/>
                  <a:t>)</a:t>
                </a:r>
                <a:endParaRPr lang="en-US" b="0" baseline="30000"/>
              </a:p>
            </c:rich>
          </c:tx>
          <c:layout>
            <c:manualLayout>
              <c:xMode val="edge"/>
              <c:yMode val="edge"/>
              <c:x val="2.9455381571720719E-3"/>
              <c:y val="0.22658178451779529"/>
            </c:manualLayout>
          </c:layout>
          <c:overlay val="0"/>
        </c:title>
        <c:numFmt formatCode="0" sourceLinked="0"/>
        <c:majorTickMark val="out"/>
        <c:minorTickMark val="none"/>
        <c:tickLblPos val="nextTo"/>
        <c:txPr>
          <a:bodyPr/>
          <a:lstStyle/>
          <a:p>
            <a:pPr>
              <a:defRPr sz="900"/>
            </a:pPr>
            <a:endParaRPr lang="he-IL"/>
          </a:p>
        </c:txPr>
        <c:crossAx val="130599168"/>
        <c:crosses val="autoZero"/>
        <c:crossBetween val="between"/>
      </c:valAx>
    </c:plotArea>
    <c:legend>
      <c:legendPos val="r"/>
      <c:layout>
        <c:manualLayout>
          <c:xMode val="edge"/>
          <c:yMode val="edge"/>
          <c:x val="0.64326695562764957"/>
          <c:y val="3.4337001780947611E-2"/>
          <c:w val="0.21320050447465697"/>
          <c:h val="0.39613380769917383"/>
        </c:manualLayout>
      </c:layout>
      <c:overlay val="0"/>
      <c:txPr>
        <a:bodyPr/>
        <a:lstStyle/>
        <a:p>
          <a:pPr>
            <a:defRPr sz="900"/>
          </a:pPr>
          <a:endParaRPr lang="he-IL"/>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3111421753495266E-2"/>
          <c:y val="5.7009404405328444E-2"/>
          <c:w val="0.8695122985905297"/>
          <c:h val="0.83758046689336851"/>
        </c:manualLayout>
      </c:layout>
      <c:barChart>
        <c:barDir val="col"/>
        <c:grouping val="clustered"/>
        <c:varyColors val="0"/>
        <c:ser>
          <c:idx val="0"/>
          <c:order val="0"/>
          <c:tx>
            <c:strRef>
              <c:f>'analysed data'!$C$2</c:f>
              <c:strCache>
                <c:ptCount val="1"/>
                <c:pt idx="0">
                  <c:v>carbamazepine</c:v>
                </c:pt>
              </c:strCache>
            </c:strRef>
          </c:tx>
          <c:spPr>
            <a:solidFill>
              <a:schemeClr val="accent6"/>
            </a:solidFill>
          </c:spPr>
          <c:invertIfNegative val="0"/>
          <c:errBars>
            <c:errBarType val="both"/>
            <c:errValType val="cust"/>
            <c:noEndCap val="0"/>
            <c:plus>
              <c:numRef>
                <c:f>'analysed data'!$E$2:$E$12</c:f>
                <c:numCache>
                  <c:formatCode>General</c:formatCode>
                  <c:ptCount val="8"/>
                  <c:pt idx="0">
                    <c:v>3.5848867556272881E-2</c:v>
                  </c:pt>
                  <c:pt idx="1">
                    <c:v>4.066904994556763E-2</c:v>
                  </c:pt>
                  <c:pt idx="2">
                    <c:v>7.0026782317574587E-2</c:v>
                  </c:pt>
                  <c:pt idx="3">
                    <c:v>1.3869727482622825E-2</c:v>
                  </c:pt>
                  <c:pt idx="4">
                    <c:v>0.44007954606593253</c:v>
                  </c:pt>
                  <c:pt idx="5">
                    <c:v>0.15468466505484788</c:v>
                  </c:pt>
                  <c:pt idx="6">
                    <c:v>0.35432736973270318</c:v>
                  </c:pt>
                  <c:pt idx="7">
                    <c:v>0.34972437834626408</c:v>
                  </c:pt>
                </c:numCache>
              </c:numRef>
            </c:plus>
            <c:minus>
              <c:numRef>
                <c:f>'analysed data'!$E$2:$E$12</c:f>
                <c:numCache>
                  <c:formatCode>General</c:formatCode>
                  <c:ptCount val="8"/>
                  <c:pt idx="0">
                    <c:v>3.5848867556272881E-2</c:v>
                  </c:pt>
                  <c:pt idx="1">
                    <c:v>4.066904994556763E-2</c:v>
                  </c:pt>
                  <c:pt idx="2">
                    <c:v>7.0026782317574587E-2</c:v>
                  </c:pt>
                  <c:pt idx="3">
                    <c:v>1.3869727482622825E-2</c:v>
                  </c:pt>
                  <c:pt idx="4">
                    <c:v>0.44007954606593253</c:v>
                  </c:pt>
                  <c:pt idx="5">
                    <c:v>0.15468466505484788</c:v>
                  </c:pt>
                  <c:pt idx="6">
                    <c:v>0.35432736973270318</c:v>
                  </c:pt>
                  <c:pt idx="7">
                    <c:v>0.34972437834626408</c:v>
                  </c:pt>
                </c:numCache>
              </c:numRef>
            </c:minus>
          </c:errBars>
          <c:cat>
            <c:strRef>
              <c:f>'analysed data'!$B$2:$B$12</c:f>
              <c:strCache>
                <c:ptCount val="8"/>
                <c:pt idx="0">
                  <c:v>FMBS</c:v>
                </c:pt>
                <c:pt idx="1">
                  <c:v>FMBSS</c:v>
                </c:pt>
                <c:pt idx="2">
                  <c:v>FLBS</c:v>
                </c:pt>
                <c:pt idx="3">
                  <c:v>FHBS</c:v>
                </c:pt>
                <c:pt idx="4">
                  <c:v>TM</c:v>
                </c:pt>
                <c:pt idx="5">
                  <c:v>TMBS</c:v>
                </c:pt>
                <c:pt idx="6">
                  <c:v>TL</c:v>
                </c:pt>
                <c:pt idx="7">
                  <c:v>TH</c:v>
                </c:pt>
              </c:strCache>
            </c:strRef>
          </c:cat>
          <c:val>
            <c:numRef>
              <c:f>'analysed data'!$D$2:$D$12</c:f>
              <c:numCache>
                <c:formatCode>0.00</c:formatCode>
                <c:ptCount val="8"/>
                <c:pt idx="0">
                  <c:v>0.17871690749285696</c:v>
                </c:pt>
                <c:pt idx="1">
                  <c:v>0.19677186575267788</c:v>
                </c:pt>
                <c:pt idx="2">
                  <c:v>0.18058601885340694</c:v>
                </c:pt>
                <c:pt idx="3">
                  <c:v>0.26514164778763311</c:v>
                </c:pt>
                <c:pt idx="4">
                  <c:v>1.1232383512553319</c:v>
                </c:pt>
                <c:pt idx="5">
                  <c:v>0.72626584437283503</c:v>
                </c:pt>
                <c:pt idx="6">
                  <c:v>1.6363849411732487</c:v>
                </c:pt>
                <c:pt idx="7">
                  <c:v>1.1029764797361485</c:v>
                </c:pt>
              </c:numCache>
            </c:numRef>
          </c:val>
        </c:ser>
        <c:ser>
          <c:idx val="1"/>
          <c:order val="1"/>
          <c:tx>
            <c:strRef>
              <c:f>'analysed data'!$C$13</c:f>
              <c:strCache>
                <c:ptCount val="1"/>
                <c:pt idx="0">
                  <c:v>trans diOH-CBZ</c:v>
                </c:pt>
              </c:strCache>
            </c:strRef>
          </c:tx>
          <c:spPr>
            <a:solidFill>
              <a:schemeClr val="accent3">
                <a:lumMod val="75000"/>
              </a:schemeClr>
            </a:solidFill>
          </c:spPr>
          <c:invertIfNegative val="0"/>
          <c:errBars>
            <c:errBarType val="both"/>
            <c:errValType val="cust"/>
            <c:noEndCap val="0"/>
            <c:plus>
              <c:numRef>
                <c:f>'analysed data'!$E$13:$E$23</c:f>
                <c:numCache>
                  <c:formatCode>General</c:formatCode>
                  <c:ptCount val="8"/>
                  <c:pt idx="0">
                    <c:v>0</c:v>
                  </c:pt>
                  <c:pt idx="1">
                    <c:v>0.20771462026527709</c:v>
                  </c:pt>
                  <c:pt idx="2">
                    <c:v>0</c:v>
                  </c:pt>
                  <c:pt idx="3">
                    <c:v>0.24124354375149776</c:v>
                  </c:pt>
                  <c:pt idx="4">
                    <c:v>8.3924554419423855E-2</c:v>
                  </c:pt>
                  <c:pt idx="5">
                    <c:v>0.26140555244062524</c:v>
                  </c:pt>
                  <c:pt idx="6">
                    <c:v>0.57594281568333716</c:v>
                  </c:pt>
                  <c:pt idx="7">
                    <c:v>0.16636478990110701</c:v>
                  </c:pt>
                </c:numCache>
              </c:numRef>
            </c:plus>
            <c:minus>
              <c:numRef>
                <c:f>'analysed data'!$E$13:$E$23</c:f>
                <c:numCache>
                  <c:formatCode>General</c:formatCode>
                  <c:ptCount val="8"/>
                  <c:pt idx="0">
                    <c:v>0</c:v>
                  </c:pt>
                  <c:pt idx="1">
                    <c:v>0.20771462026527709</c:v>
                  </c:pt>
                  <c:pt idx="2">
                    <c:v>0</c:v>
                  </c:pt>
                  <c:pt idx="3">
                    <c:v>0.24124354375149776</c:v>
                  </c:pt>
                  <c:pt idx="4">
                    <c:v>8.3924554419423855E-2</c:v>
                  </c:pt>
                  <c:pt idx="5">
                    <c:v>0.26140555244062524</c:v>
                  </c:pt>
                  <c:pt idx="6">
                    <c:v>0.57594281568333716</c:v>
                  </c:pt>
                  <c:pt idx="7">
                    <c:v>0.16636478990110701</c:v>
                  </c:pt>
                </c:numCache>
              </c:numRef>
            </c:minus>
          </c:errBars>
          <c:cat>
            <c:strRef>
              <c:f>'analysed data'!$B$2:$B$12</c:f>
              <c:strCache>
                <c:ptCount val="8"/>
                <c:pt idx="0">
                  <c:v>FMBS</c:v>
                </c:pt>
                <c:pt idx="1">
                  <c:v>FMBSS</c:v>
                </c:pt>
                <c:pt idx="2">
                  <c:v>FLBS</c:v>
                </c:pt>
                <c:pt idx="3">
                  <c:v>FHBS</c:v>
                </c:pt>
                <c:pt idx="4">
                  <c:v>TM</c:v>
                </c:pt>
                <c:pt idx="5">
                  <c:v>TMBS</c:v>
                </c:pt>
                <c:pt idx="6">
                  <c:v>TL</c:v>
                </c:pt>
                <c:pt idx="7">
                  <c:v>TH</c:v>
                </c:pt>
              </c:strCache>
            </c:strRef>
          </c:cat>
          <c:val>
            <c:numRef>
              <c:f>'analysed data'!$D$13:$D$23</c:f>
              <c:numCache>
                <c:formatCode>0.00</c:formatCode>
                <c:ptCount val="8"/>
                <c:pt idx="0">
                  <c:v>0</c:v>
                </c:pt>
                <c:pt idx="1">
                  <c:v>0.11992409192477864</c:v>
                </c:pt>
                <c:pt idx="2">
                  <c:v>0</c:v>
                </c:pt>
                <c:pt idx="3">
                  <c:v>0.13928202492518618</c:v>
                </c:pt>
                <c:pt idx="4">
                  <c:v>1.9073923006656737</c:v>
                </c:pt>
                <c:pt idx="5">
                  <c:v>1.5939786695989462</c:v>
                </c:pt>
                <c:pt idx="6">
                  <c:v>3.1481595602115653</c:v>
                </c:pt>
                <c:pt idx="7">
                  <c:v>1.8386341044863161</c:v>
                </c:pt>
              </c:numCache>
            </c:numRef>
          </c:val>
        </c:ser>
        <c:dLbls>
          <c:showLegendKey val="0"/>
          <c:showVal val="0"/>
          <c:showCatName val="0"/>
          <c:showSerName val="0"/>
          <c:showPercent val="0"/>
          <c:showBubbleSize val="0"/>
        </c:dLbls>
        <c:gapWidth val="150"/>
        <c:axId val="133404160"/>
        <c:axId val="133405696"/>
      </c:barChart>
      <c:catAx>
        <c:axId val="133404160"/>
        <c:scaling>
          <c:orientation val="minMax"/>
        </c:scaling>
        <c:delete val="0"/>
        <c:axPos val="b"/>
        <c:numFmt formatCode="General" sourceLinked="0"/>
        <c:majorTickMark val="out"/>
        <c:minorTickMark val="none"/>
        <c:tickLblPos val="nextTo"/>
        <c:txPr>
          <a:bodyPr/>
          <a:lstStyle/>
          <a:p>
            <a:pPr>
              <a:defRPr sz="900"/>
            </a:pPr>
            <a:endParaRPr lang="he-IL"/>
          </a:p>
        </c:txPr>
        <c:crossAx val="133405696"/>
        <c:crossesAt val="0"/>
        <c:auto val="1"/>
        <c:lblAlgn val="ctr"/>
        <c:lblOffset val="100"/>
        <c:noMultiLvlLbl val="0"/>
      </c:catAx>
      <c:valAx>
        <c:axId val="133405696"/>
        <c:scaling>
          <c:orientation val="minMax"/>
          <c:min val="0"/>
        </c:scaling>
        <c:delete val="0"/>
        <c:axPos val="l"/>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ysClr val="windowText" lastClr="000000"/>
                    </a:solidFill>
                    <a:latin typeface="+mn-lt"/>
                    <a:ea typeface="+mn-ea"/>
                    <a:cs typeface="+mn-cs"/>
                  </a:defRPr>
                </a:pPr>
                <a:r>
                  <a:rPr lang="en-US" sz="1000" b="0" i="0" baseline="0"/>
                  <a:t>concentration</a:t>
                </a:r>
                <a:r>
                  <a:rPr lang="en-US" sz="900" b="0" i="0" baseline="0"/>
                  <a:t> (ng g</a:t>
                </a:r>
                <a:r>
                  <a:rPr lang="en-US" sz="900" b="0" i="0" baseline="30000"/>
                  <a:t>-1</a:t>
                </a:r>
                <a:r>
                  <a:rPr lang="en-US" sz="900" b="0" i="0" baseline="0"/>
                  <a:t>)</a:t>
                </a:r>
                <a:endParaRPr lang="en-US" sz="900" b="0" i="0" baseline="30000"/>
              </a:p>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ysClr val="windowText" lastClr="000000"/>
                    </a:solidFill>
                    <a:latin typeface="+mn-lt"/>
                    <a:ea typeface="+mn-ea"/>
                    <a:cs typeface="+mn-cs"/>
                  </a:defRPr>
                </a:pPr>
                <a:endParaRPr lang="en-US" sz="900"/>
              </a:p>
            </c:rich>
          </c:tx>
          <c:overlay val="0"/>
        </c:title>
        <c:numFmt formatCode="0.0" sourceLinked="0"/>
        <c:majorTickMark val="out"/>
        <c:minorTickMark val="none"/>
        <c:tickLblPos val="nextTo"/>
        <c:txPr>
          <a:bodyPr/>
          <a:lstStyle/>
          <a:p>
            <a:pPr>
              <a:defRPr sz="900"/>
            </a:pPr>
            <a:endParaRPr lang="he-IL"/>
          </a:p>
        </c:txPr>
        <c:crossAx val="133404160"/>
        <c:crosses val="autoZero"/>
        <c:crossBetween val="between"/>
      </c:valAx>
    </c:plotArea>
    <c:legend>
      <c:legendPos val="r"/>
      <c:layout>
        <c:manualLayout>
          <c:xMode val="edge"/>
          <c:yMode val="edge"/>
          <c:x val="0.12098753280839873"/>
          <c:y val="8.2949475065616798E-2"/>
          <c:w val="0.22400083217303371"/>
          <c:h val="0.2046448019009937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6F726-C313-44D0-A870-B4BA963D8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22988</Words>
  <Characters>114945</Characters>
  <Application>Microsoft Office Word</Application>
  <DocSecurity>0</DocSecurity>
  <Lines>957</Lines>
  <Paragraphs>275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137658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chen5</dc:creator>
  <cp:lastModifiedBy>chefetz-lab</cp:lastModifiedBy>
  <cp:revision>2</cp:revision>
  <dcterms:created xsi:type="dcterms:W3CDTF">2017-06-13T08:12:00Z</dcterms:created>
  <dcterms:modified xsi:type="dcterms:W3CDTF">2017-06-13T08:12:00Z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evm22@walla.co.il@www.mendeley.com</vt:lpwstr>
  </property>
  <property fmtid="{D5CDD505-2E9C-101B-9397-08002B2CF9AE}" pid="4" name="Mendeley Citation Style_1">
    <vt:lpwstr>http://www.zotero.org/styles/soil-science-society-of-america-journal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http://www.zotero.org/styles/soil-science-society-of-america-journal</vt:lpwstr>
  </property>
  <property fmtid="{D5CDD505-2E9C-101B-9397-08002B2CF9AE}" pid="24" name="Mendeley Recent Style Name 9_1">
    <vt:lpwstr>Soil Science Society of America Journal</vt:lpwstr>
  </property>
</Properties>
</file>