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860A" w:sz="18" w:space="6"/>
        </w:pBdr>
        <w:spacing w:after="40"/>
      </w:pPr>
      <w:r>
        <w:rPr>
          <w:rFonts w:ascii="Calibri" w:cs="Calibri" w:eastAsia="Calibri" w:hAnsi="Calibri"/>
          <w:b/>
          <w:bCs/>
          <w:color w:val="C8860A"/>
          <w:sz w:val="40"/>
          <w:szCs w:val="40"/>
        </w:rPr>
        <w:t xml:space="preserve">Gridworks EMBR</w:t>
      </w:r>
    </w:p>
    <w:p>
      <w:pPr>
        <w:spacing w:after="20" w:before="120"/>
      </w:pPr>
      <w:r>
        <w:rPr>
          <w:rFonts w:ascii="Calibri" w:cs="Calibri" w:eastAsia="Calibri" w:hAnsi="Calibri"/>
          <w:b/>
          <w:bCs/>
          <w:color w:val="1C1B1A"/>
          <w:sz w:val="34"/>
          <w:szCs w:val="34"/>
        </w:rPr>
        <w:t xml:space="preserve">Cymcap 8.1 Validation Report</w:t>
      </w:r>
    </w:p>
    <w:p>
      <w:pPr>
        <w:spacing w:after="200"/>
      </w:pPr>
      <w:r>
        <w:rPr>
          <w:rFonts w:ascii="Calibri" w:cs="Calibri" w:eastAsia="Calibri" w:hAnsi="Calibri"/>
          <w:i/>
          <w:iCs/>
          <w:color w:val="555555"/>
          <w:sz w:val="22"/>
          <w:szCs w:val="22"/>
        </w:rPr>
        <w:t xml:space="preserve">Validation of EMBR's ampacity engines against Cymcap 8.1 Rev 2</w:t>
      </w:r>
    </w:p>
    <w:p>
      <w:pPr>
        <w:spacing w:after="120" w:line="276"/>
      </w:pPr>
      <w:r>
        <w:rPr>
          <w:rFonts w:ascii="Calibri" w:cs="Calibri" w:eastAsia="Calibri" w:hAnsi="Calibri"/>
          <w:b/>
          <w:bCs/>
          <w:color w:val="1C1B1A"/>
          <w:sz w:val="21"/>
          <w:szCs w:val="21"/>
        </w:rPr>
        <w:t xml:space="preserve">Tool:  </w:t>
      </w:r>
      <w:r>
        <w:rPr>
          <w:rFonts w:ascii="Calibri" w:cs="Calibri" w:eastAsia="Calibri" w:hAnsi="Calibri"/>
          <w:color w:val="1C1B1A"/>
          <w:sz w:val="21"/>
          <w:szCs w:val="21"/>
        </w:rPr>
        <w:t xml:space="preserve">Gridworks EMBR (Engineered Model for Buried-cable Ratings), v1.0</w:t>
      </w:r>
    </w:p>
    <w:p>
      <w:pPr>
        <w:spacing w:after="120" w:line="276"/>
      </w:pPr>
      <w:r>
        <w:rPr>
          <w:rFonts w:ascii="Calibri" w:cs="Calibri" w:eastAsia="Calibri" w:hAnsi="Calibri"/>
          <w:b/>
          <w:bCs/>
          <w:color w:val="1C1B1A"/>
          <w:sz w:val="21"/>
          <w:szCs w:val="21"/>
        </w:rPr>
        <w:t xml:space="preserve">Reference:  </w:t>
      </w:r>
      <w:r>
        <w:rPr>
          <w:rFonts w:ascii="Calibri" w:cs="Calibri" w:eastAsia="Calibri" w:hAnsi="Calibri"/>
          <w:color w:val="1C1B1A"/>
          <w:sz w:val="21"/>
          <w:szCs w:val="21"/>
        </w:rPr>
        <w:t xml:space="preserve">Cymcap 8.1 Rev 2 (IEC 60287 / finite-element cable rating software)</w:t>
      </w:r>
    </w:p>
    <w:p>
      <w:pPr>
        <w:spacing w:after="120" w:line="276"/>
      </w:pPr>
      <w:r>
        <w:rPr>
          <w:rFonts w:ascii="Calibri" w:cs="Calibri" w:eastAsia="Calibri" w:hAnsi="Calibri"/>
          <w:b/>
          <w:bCs/>
          <w:color w:val="1C1B1A"/>
          <w:sz w:val="21"/>
          <w:szCs w:val="21"/>
        </w:rPr>
        <w:t xml:space="preserve">Methodology:  </w:t>
      </w:r>
      <w:r>
        <w:rPr>
          <w:rFonts w:ascii="Calibri" w:cs="Calibri" w:eastAsia="Calibri" w:hAnsi="Calibri"/>
          <w:color w:val="1C1B1A"/>
          <w:sz w:val="21"/>
          <w:szCs w:val="21"/>
        </w:rPr>
        <w:t xml:space="preserve">IEC 60287-1-1 and IEC 60287-2-1 / Neher–McGrath</w:t>
      </w:r>
    </w:p>
    <w:p>
      <w:pPr>
        <w:spacing w:after="120" w:line="276"/>
      </w:pPr>
      <w:r>
        <w:rPr>
          <w:rFonts w:ascii="Calibri" w:cs="Calibri" w:eastAsia="Calibri" w:hAnsi="Calibri"/>
          <w:b/>
          <w:bCs/>
          <w:color w:val="1C1B1A"/>
          <w:sz w:val="21"/>
          <w:szCs w:val="21"/>
        </w:rPr>
        <w:t xml:space="preserve">Date:  </w:t>
      </w:r>
      <w:r>
        <w:rPr>
          <w:rFonts w:ascii="Calibri" w:cs="Calibri" w:eastAsia="Calibri" w:hAnsi="Calibri"/>
          <w:color w:val="1C1B1A"/>
          <w:sz w:val="21"/>
          <w:szCs w:val="21"/>
        </w:rPr>
        <w:t xml:space="preserve">July 27, 2026</w:t>
      </w:r>
    </w:p>
    <w:p>
      <w:pPr>
        <w:pStyle w:val="Heading1"/>
        <w:pBdr>
          <w:bottom w:val="single" w:color="C8860A" w:sz="6" w:space="4"/>
        </w:pBdr>
        <w:spacing w:after="120" w:before="260"/>
      </w:pPr>
      <w:r>
        <w:rPr>
          <w:rFonts w:ascii="Calibri" w:cs="Calibri" w:eastAsia="Calibri" w:hAnsi="Calibri"/>
          <w:b/>
          <w:bCs/>
          <w:color w:val="C8860A"/>
          <w:sz w:val="28"/>
          <w:szCs w:val="28"/>
        </w:rPr>
        <w:t xml:space="preserve">1  Purpose and summary</w:t>
      </w:r>
    </w:p>
    <w:p>
      <w:pPr>
        <w:spacing w:after="120" w:line="276"/>
      </w:pPr>
      <w:r>
        <w:rPr>
          <w:rFonts w:ascii="Calibri" w:cs="Calibri" w:eastAsia="Calibri" w:hAnsi="Calibri"/>
          <w:color w:val="1C1B1A"/>
          <w:sz w:val="21"/>
          <w:szCs w:val="21"/>
        </w:rPr>
        <w:t xml:space="preserve">This report documents the validation of the Gridworks EMBR cable ampacity engines against Cymcap 8.1 Rev 2, a widely used commercial cable-rating package. EMBR was run across a validation matrix spanning its three engines and compared, scenario by scenario, against Cymcap target ampacities.</w:t>
      </w:r>
    </w:p>
    <w:p>
      <w:pPr>
        <w:spacing w:after="120" w:line="276"/>
      </w:pPr>
      <w:r>
        <w:rPr>
          <w:rFonts w:ascii="Calibri" w:cs="Calibri" w:eastAsia="Calibri" w:hAnsi="Calibri"/>
          <w:b/>
          <w:bCs/>
          <w:color w:val="1C1B1A"/>
          <w:sz w:val="21"/>
          <w:szCs w:val="21"/>
        </w:rPr>
        <w:t xml:space="preserve">EMBR agrees with Cymcap within ±5% on every one of the 58 validated scenarios (58 / 58).</w:t>
      </w:r>
    </w:p>
    <w:p>
      <w:pPr>
        <w:pStyle w:val="Heading1"/>
        <w:pBdr>
          <w:bottom w:val="single" w:color="C8860A" w:sz="6" w:space="4"/>
        </w:pBdr>
        <w:spacing w:after="120" w:before="260"/>
      </w:pPr>
      <w:r>
        <w:rPr>
          <w:rFonts w:ascii="Calibri" w:cs="Calibri" w:eastAsia="Calibri" w:hAnsi="Calibri"/>
          <w:b/>
          <w:bCs/>
          <w:color w:val="C8860A"/>
          <w:sz w:val="28"/>
          <w:szCs w:val="28"/>
        </w:rPr>
        <w:t xml:space="preserve">2  Reference</w:t>
      </w:r>
    </w:p>
    <w:p>
      <w:pPr>
        <w:spacing w:after="120" w:line="276"/>
      </w:pPr>
      <w:r>
        <w:rPr>
          <w:rFonts w:ascii="Calibri" w:cs="Calibri" w:eastAsia="Calibri" w:hAnsi="Calibri"/>
          <w:color w:val="1C1B1A"/>
          <w:sz w:val="21"/>
          <w:szCs w:val="21"/>
        </w:rPr>
        <w:t xml:space="preserve">Cymcap is an established commercial tool for underground cable current-rating calculations, implementing the IEC 60287 / Neher–McGrath methodology with finite-element external-thermal solutions. Version 8.1 Rev 2 was used as the comparison reference. Because Cymcap is independently developed and widely adopted in the transmission and distribution industry, agreement against it provides strong evidence that EMBR's engines are implemented correctly across a realistic range of installations.</w:t>
      </w:r>
    </w:p>
    <w:p>
      <w:pPr>
        <w:pStyle w:val="Heading1"/>
        <w:pBdr>
          <w:bottom w:val="single" w:color="C8860A" w:sz="6" w:space="4"/>
        </w:pBdr>
        <w:spacing w:after="120" w:before="260"/>
      </w:pPr>
      <w:r>
        <w:rPr>
          <w:rFonts w:ascii="Calibri" w:cs="Calibri" w:eastAsia="Calibri" w:hAnsi="Calibri"/>
          <w:b/>
          <w:bCs/>
          <w:color w:val="C8860A"/>
          <w:sz w:val="28"/>
          <w:szCs w:val="28"/>
        </w:rPr>
        <w:t xml:space="preserve">3  Scope and methodology</w:t>
      </w:r>
    </w:p>
    <w:p>
      <w:pPr>
        <w:spacing w:after="120" w:line="276"/>
      </w:pPr>
      <w:r>
        <w:rPr>
          <w:rFonts w:ascii="Calibri" w:cs="Calibri" w:eastAsia="Calibri" w:hAnsi="Calibri"/>
          <w:color w:val="1C1B1A"/>
          <w:sz w:val="21"/>
          <w:szCs w:val="21"/>
        </w:rPr>
        <w:t xml:space="preserve">The validation matrix exercises EMBR's three engines across a representative range of cable sizes, installation types (direct-buried and in-conduit), soil thermal resistivities and temperatures, load factors, and single- and multi-circuit arrangements. For each scenario, identical inputs were supplied to EMBR and to a Cymcap model, and the resulting ampacities were compared.</w:t>
      </w:r>
    </w:p>
    <w:p>
      <w:pPr>
        <w:spacing w:after="120" w:line="276"/>
      </w:pPr>
      <w:r>
        <w:rPr>
          <w:rFonts w:ascii="Calibri" w:cs="Calibri" w:eastAsia="Calibri" w:hAnsi="Calibri"/>
          <w:b/>
          <w:bCs/>
          <w:color w:val="1C1B1A"/>
          <w:sz w:val="21"/>
          <w:szCs w:val="21"/>
        </w:rPr>
        <w:t xml:space="preserve">Acceptance criterion:  </w:t>
      </w:r>
      <w:r>
        <w:rPr>
          <w:rFonts w:ascii="Calibri" w:cs="Calibri" w:eastAsia="Calibri" w:hAnsi="Calibri"/>
          <w:color w:val="1C1B1A"/>
          <w:sz w:val="21"/>
          <w:szCs w:val="21"/>
        </w:rPr>
        <w:t xml:space="preserve">EMBR ampacity within ±5% of the Cymcap target for the scenario.</w:t>
      </w:r>
    </w:p>
    <w:p>
      <w:pPr>
        <w:spacing w:after="120" w:line="276"/>
      </w:pPr>
      <w:r>
        <w:rPr>
          <w:rFonts w:ascii="Calibri" w:cs="Calibri" w:eastAsia="Calibri" w:hAnsi="Calibri"/>
          <w:b/>
          <w:bCs/>
          <w:color w:val="1C1B1A"/>
          <w:sz w:val="21"/>
          <w:szCs w:val="21"/>
        </w:rPr>
        <w:t xml:space="preserve">Unit convention:  </w:t>
      </w:r>
      <w:r>
        <w:rPr>
          <w:rFonts w:ascii="Calibri" w:cs="Calibri" w:eastAsia="Calibri" w:hAnsi="Calibri"/>
          <w:color w:val="1C1B1A"/>
          <w:sz w:val="21"/>
          <w:szCs w:val="21"/>
        </w:rPr>
        <w:t xml:space="preserve">Soil thermal resistivity in the matrix is expressed in °C·cm/W; EMBR works internally in K·m/W (divide by 100). The frontend performs this conversion automatically.</w:t>
      </w:r>
    </w:p>
    <w:p>
      <w:pPr>
        <w:pStyle w:val="Heading1"/>
        <w:pBdr>
          <w:bottom w:val="single" w:color="C8860A" w:sz="6" w:space="4"/>
        </w:pBdr>
        <w:spacing w:after="120" w:before="260"/>
      </w:pPr>
      <w:r>
        <w:rPr>
          <w:rFonts w:ascii="Calibri" w:cs="Calibri" w:eastAsia="Calibri" w:hAnsi="Calibri"/>
          <w:b/>
          <w:bCs/>
          <w:color w:val="C8860A"/>
          <w:sz w:val="28"/>
          <w:szCs w:val="28"/>
        </w:rPr>
        <w:t xml:space="preserve">4  Results by engine</w:t>
      </w:r>
    </w:p>
    <w:p>
      <w:pPr>
        <w:spacing w:after="120" w:line="276"/>
      </w:pPr>
      <w:r>
        <w:rPr>
          <w:rFonts w:ascii="Calibri" w:cs="Calibri" w:eastAsia="Calibri" w:hAnsi="Calibri"/>
          <w:color w:val="1C1B1A"/>
          <w:sz w:val="21"/>
          <w:szCs w:val="21"/>
        </w:rPr>
        <w:t xml:space="preserve">Every validated scenario passes within ±5%.</w:t>
      </w:r>
    </w:p>
    <w:tbl>
      <w:tblPr>
        <w:tblW w:type="dxa" w:w="9360"/>
        <w:tblBorders>
          <w:top w:val="single" w:color="D9CDB0" w:sz="2"/>
          <w:left w:val="none"/>
          <w:bottom w:val="single" w:color="D9CDB0" w:sz="2"/>
          <w:right w:val="none"/>
          <w:insideH w:val="single" w:color="E7DEC8" w:sz="1"/>
          <w:insideV w:val="none"/>
        </w:tblBorders>
      </w:tblPr>
      <w:tblGrid>
        <w:gridCol w:w="4000"/>
        <w:gridCol w:w="2680"/>
        <w:gridCol w:w="2680"/>
      </w:tblGrid>
      <w:tr>
        <w:trPr>
          <w:tblHeader/>
        </w:trPr>
        <w:tc>
          <w:tcPr>
            <w:shd w:fill="C8860A" w:val="clear"/>
            <w:tcMar>
              <w:top w:type="dxa" w:w="40"/>
              <w:left w:type="dxa" w:w="80"/>
              <w:bottom w:type="dxa" w:w="40"/>
              <w:right w:type="dxa" w:w="80"/>
            </w:tcMar>
          </w:tcPr>
          <w:p>
            <w:r>
              <w:rPr>
                <w:rFonts w:ascii="Calibri" w:cs="Calibri" w:eastAsia="Calibri" w:hAnsi="Calibri"/>
                <w:b/>
                <w:bCs/>
                <w:color w:val="FFFFFF"/>
                <w:sz w:val="18"/>
                <w:szCs w:val="18"/>
              </w:rPr>
              <w:t xml:space="preserve">Engine</w:t>
            </w:r>
          </w:p>
        </w:tc>
        <w:tc>
          <w:tcPr>
            <w:shd w:fill="C8860A" w:val="clear"/>
            <w:tcMar>
              <w:top w:type="dxa" w:w="40"/>
              <w:left w:type="dxa" w:w="80"/>
              <w:bottom w:type="dxa" w:w="40"/>
              <w:right w:type="dxa" w:w="80"/>
            </w:tcMar>
          </w:tcPr>
          <w:p>
            <w:r>
              <w:rPr>
                <w:rFonts w:ascii="Calibri" w:cs="Calibri" w:eastAsia="Calibri" w:hAnsi="Calibri"/>
                <w:b/>
                <w:bCs/>
                <w:color w:val="FFFFFF"/>
                <w:sz w:val="18"/>
                <w:szCs w:val="18"/>
              </w:rPr>
              <w:t xml:space="preserve">Scenarios</w:t>
            </w:r>
          </w:p>
        </w:tc>
        <w:tc>
          <w:tcPr>
            <w:shd w:fill="C8860A" w:val="clear"/>
            <w:tcMar>
              <w:top w:type="dxa" w:w="40"/>
              <w:left w:type="dxa" w:w="80"/>
              <w:bottom w:type="dxa" w:w="40"/>
              <w:right w:type="dxa" w:w="80"/>
            </w:tcMar>
          </w:tcPr>
          <w:p>
            <w:r>
              <w:rPr>
                <w:rFonts w:ascii="Calibri" w:cs="Calibri" w:eastAsia="Calibri" w:hAnsi="Calibri"/>
                <w:b/>
                <w:bCs/>
                <w:color w:val="FFFFFF"/>
                <w:sz w:val="18"/>
                <w:szCs w:val="18"/>
              </w:rPr>
              <w:t xml:space="preserve">Pass (±5%)</w:t>
            </w:r>
          </w:p>
        </w:tc>
      </w:tr>
      <w:tr>
        <w:tc>
          <w:tcPr>
            <w:tcW w:type="dxa" w:w="4000"/>
            <w:shd w:fill="FFFFFF" w:val="clear"/>
            <w:tcMar>
              <w:top w:type="dxa" w:w="30"/>
              <w:left w:type="dxa" w:w="80"/>
              <w:bottom w:type="dxa" w:w="30"/>
              <w:right w:type="dxa" w:w="80"/>
            </w:tcMar>
          </w:tcPr>
          <w:p>
            <w:r>
              <w:rPr>
                <w:rFonts w:ascii="Calibri" w:cs="Calibri" w:eastAsia="Calibri" w:hAnsi="Calibri"/>
                <w:b/>
                <w:bCs/>
                <w:color w:val="1C1B1A"/>
                <w:sz w:val="18"/>
                <w:szCs w:val="18"/>
              </w:rPr>
              <w:t xml:space="preserve">MV Trefoil (35 kV)</w:t>
            </w:r>
          </w:p>
        </w:tc>
        <w:tc>
          <w:tcPr>
            <w:tcW w:type="dxa" w:w="2680"/>
            <w:shd w:fill="FFFFFF"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28</w:t>
            </w:r>
          </w:p>
        </w:tc>
        <w:tc>
          <w:tcPr>
            <w:tcW w:type="dxa" w:w="2680"/>
            <w:shd w:fill="FFFFFF"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28 / 28 (100%)</w:t>
            </w:r>
          </w:p>
        </w:tc>
      </w:tr>
      <w:tr>
        <w:tc>
          <w:tcPr>
            <w:tcW w:type="dxa" w:w="4000"/>
            <w:shd w:fill="F5F1E8" w:val="clear"/>
            <w:tcMar>
              <w:top w:type="dxa" w:w="30"/>
              <w:left w:type="dxa" w:w="80"/>
              <w:bottom w:type="dxa" w:w="30"/>
              <w:right w:type="dxa" w:w="80"/>
            </w:tcMar>
          </w:tcPr>
          <w:p>
            <w:r>
              <w:rPr>
                <w:rFonts w:ascii="Calibri" w:cs="Calibri" w:eastAsia="Calibri" w:hAnsi="Calibri"/>
                <w:b/>
                <w:bCs/>
                <w:color w:val="1C1B1A"/>
                <w:sz w:val="18"/>
                <w:szCs w:val="18"/>
              </w:rPr>
              <w:t xml:space="preserve">DC (solar / battery)</w:t>
            </w:r>
          </w:p>
        </w:tc>
        <w:tc>
          <w:tcPr>
            <w:tcW w:type="dxa" w:w="2680"/>
            <w:shd w:fill="F5F1E8"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19</w:t>
            </w:r>
          </w:p>
        </w:tc>
        <w:tc>
          <w:tcPr>
            <w:tcW w:type="dxa" w:w="2680"/>
            <w:shd w:fill="F5F1E8"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19 / 19 (100%)</w:t>
            </w:r>
          </w:p>
        </w:tc>
      </w:tr>
      <w:tr>
        <w:tc>
          <w:tcPr>
            <w:tcW w:type="dxa" w:w="4000"/>
            <w:shd w:fill="FFFFFF" w:val="clear"/>
            <w:tcMar>
              <w:top w:type="dxa" w:w="30"/>
              <w:left w:type="dxa" w:w="80"/>
              <w:bottom w:type="dxa" w:w="30"/>
              <w:right w:type="dxa" w:w="80"/>
            </w:tcMar>
          </w:tcPr>
          <w:p>
            <w:r>
              <w:rPr>
                <w:rFonts w:ascii="Calibri" w:cs="Calibri" w:eastAsia="Calibri" w:hAnsi="Calibri"/>
                <w:b/>
                <w:bCs/>
                <w:color w:val="1C1B1A"/>
                <w:sz w:val="18"/>
                <w:szCs w:val="18"/>
              </w:rPr>
              <w:t xml:space="preserve">LVAC (feeders)</w:t>
            </w:r>
          </w:p>
        </w:tc>
        <w:tc>
          <w:tcPr>
            <w:tcW w:type="dxa" w:w="2680"/>
            <w:shd w:fill="FFFFFF"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11</w:t>
            </w:r>
          </w:p>
        </w:tc>
        <w:tc>
          <w:tcPr>
            <w:tcW w:type="dxa" w:w="2680"/>
            <w:shd w:fill="FFFFFF" w:val="clear"/>
            <w:tcMar>
              <w:top w:type="dxa" w:w="30"/>
              <w:left w:type="dxa" w:w="80"/>
              <w:bottom w:type="dxa" w:w="30"/>
              <w:right w:type="dxa" w:w="80"/>
            </w:tcMar>
          </w:tcPr>
          <w:p>
            <w:pPr>
              <w:jc w:val="center"/>
            </w:pPr>
            <w:r>
              <w:rPr>
                <w:rFonts w:ascii="Calibri" w:cs="Calibri" w:eastAsia="Calibri" w:hAnsi="Calibri"/>
                <w:b w:val="false"/>
                <w:bCs w:val="false"/>
                <w:color w:val="1C1B1A"/>
                <w:sz w:val="18"/>
                <w:szCs w:val="18"/>
              </w:rPr>
              <w:t xml:space="preserve">11 / 11 (100%)</w:t>
            </w:r>
          </w:p>
        </w:tc>
      </w:tr>
      <w:tr>
        <w:tc>
          <w:tcPr>
            <w:tcW w:type="dxa" w:w="4000"/>
            <w:shd w:fill="EFE6CE" w:val="clear"/>
            <w:tcMar>
              <w:top w:type="dxa" w:w="30"/>
              <w:left w:type="dxa" w:w="80"/>
              <w:bottom w:type="dxa" w:w="30"/>
              <w:right w:type="dxa" w:w="80"/>
            </w:tcMar>
          </w:tcPr>
          <w:p>
            <w:r>
              <w:rPr>
                <w:rFonts w:ascii="Calibri" w:cs="Calibri" w:eastAsia="Calibri" w:hAnsi="Calibri"/>
                <w:b/>
                <w:bCs/>
                <w:color w:val="1C1B1A"/>
                <w:sz w:val="18"/>
                <w:szCs w:val="18"/>
              </w:rPr>
              <w:t xml:space="preserve">Total</w:t>
            </w:r>
          </w:p>
        </w:tc>
        <w:tc>
          <w:tcPr>
            <w:tcW w:type="dxa" w:w="2680"/>
            <w:shd w:fill="EFE6CE" w:val="clear"/>
            <w:tcMar>
              <w:top w:type="dxa" w:w="30"/>
              <w:left w:type="dxa" w:w="80"/>
              <w:bottom w:type="dxa" w:w="30"/>
              <w:right w:type="dxa" w:w="80"/>
            </w:tcMar>
          </w:tcPr>
          <w:p>
            <w:pPr>
              <w:jc w:val="center"/>
            </w:pPr>
            <w:r>
              <w:rPr>
                <w:rFonts w:ascii="Calibri" w:cs="Calibri" w:eastAsia="Calibri" w:hAnsi="Calibri"/>
                <w:b/>
                <w:bCs/>
                <w:color w:val="1C1B1A"/>
                <w:sz w:val="18"/>
                <w:szCs w:val="18"/>
              </w:rPr>
              <w:t xml:space="preserve">58</w:t>
            </w:r>
          </w:p>
        </w:tc>
        <w:tc>
          <w:tcPr>
            <w:tcW w:type="dxa" w:w="2680"/>
            <w:shd w:fill="EFE6CE" w:val="clear"/>
            <w:tcMar>
              <w:top w:type="dxa" w:w="30"/>
              <w:left w:type="dxa" w:w="80"/>
              <w:bottom w:type="dxa" w:w="30"/>
              <w:right w:type="dxa" w:w="80"/>
            </w:tcMar>
          </w:tcPr>
          <w:p>
            <w:pPr>
              <w:jc w:val="center"/>
            </w:pPr>
            <w:r>
              <w:rPr>
                <w:rFonts w:ascii="Calibri" w:cs="Calibri" w:eastAsia="Calibri" w:hAnsi="Calibri"/>
                <w:b/>
                <w:bCs/>
                <w:color w:val="1C1B1A"/>
                <w:sz w:val="18"/>
                <w:szCs w:val="18"/>
              </w:rPr>
              <w:t xml:space="preserve">58 / 58 (100%)</w:t>
            </w:r>
          </w:p>
        </w:tc>
      </w:tr>
    </w:tbl>
    <w:p>
      <w:pPr>
        <w:spacing w:after="120" w:before="60"/>
      </w:pPr>
      <w:r>
        <w:rPr>
          <w:rFonts w:ascii="Calibri" w:cs="Calibri" w:eastAsia="Calibri" w:hAnsi="Calibri"/>
          <w:b/>
          <w:bCs/>
          <w:color w:val="1C1B1A"/>
          <w:sz w:val="20"/>
          <w:szCs w:val="20"/>
        </w:rPr>
        <w:t xml:space="preserve">Result: PASS — 58 / 58 validated scenarios within ±5%.</w:t>
      </w:r>
    </w:p>
    <w:p>
      <w:pPr>
        <w:pStyle w:val="Heading1"/>
        <w:pBdr>
          <w:bottom w:val="single" w:color="C8860A" w:sz="6" w:space="4"/>
        </w:pBdr>
        <w:spacing w:after="120" w:before="260"/>
      </w:pPr>
      <w:r>
        <w:rPr>
          <w:rFonts w:ascii="Calibri" w:cs="Calibri" w:eastAsia="Calibri" w:hAnsi="Calibri"/>
          <w:b/>
          <w:bCs/>
          <w:color w:val="C8860A"/>
          <w:sz w:val="28"/>
          <w:szCs w:val="28"/>
        </w:rPr>
        <w:t xml:space="preserve">5  Notes</w:t>
      </w:r>
    </w:p>
    <w:p>
      <w:pPr>
        <w:spacing w:after="120" w:line="276"/>
      </w:pPr>
      <w:r>
        <w:rPr>
          <w:rFonts w:ascii="Calibri" w:cs="Calibri" w:eastAsia="Calibri" w:hAnsi="Calibri"/>
          <w:b/>
          <w:bCs/>
          <w:color w:val="1C1B1A"/>
          <w:sz w:val="21"/>
          <w:szCs w:val="21"/>
        </w:rPr>
        <w:t xml:space="preserve">Per-scenario detail:  </w:t>
      </w:r>
      <w:r>
        <w:rPr>
          <w:rFonts w:ascii="Calibri" w:cs="Calibri" w:eastAsia="Calibri" w:hAnsi="Calibri"/>
          <w:color w:val="1C1B1A"/>
          <w:sz w:val="21"/>
          <w:szCs w:val="21"/>
        </w:rPr>
        <w:t xml:space="preserve">this report summarises the validation by engine. The full scenario-by-scenario matrix (individual cable parameters, Cymcap target ampacities, EMBR results, and delta percentages) is maintained separately in the EMBR validation matrix workbook.</w:t>
      </w:r>
    </w:p>
    <w:p>
      <w:pPr>
        <w:pStyle w:val="Heading1"/>
        <w:pBdr>
          <w:bottom w:val="single" w:color="C8860A" w:sz="6" w:space="4"/>
        </w:pBdr>
        <w:spacing w:after="120" w:before="260"/>
      </w:pPr>
      <w:r>
        <w:rPr>
          <w:rFonts w:ascii="Calibri" w:cs="Calibri" w:eastAsia="Calibri" w:hAnsi="Calibri"/>
          <w:b/>
          <w:bCs/>
          <w:color w:val="C8860A"/>
          <w:sz w:val="28"/>
          <w:szCs w:val="28"/>
        </w:rPr>
        <w:t xml:space="preserve">6  Conclusion</w:t>
      </w:r>
    </w:p>
    <w:p>
      <w:pPr>
        <w:spacing w:after="120" w:line="276"/>
      </w:pPr>
      <w:r>
        <w:rPr>
          <w:rFonts w:ascii="Calibri" w:cs="Calibri" w:eastAsia="Calibri" w:hAnsi="Calibri"/>
          <w:color w:val="1C1B1A"/>
          <w:sz w:val="21"/>
          <w:szCs w:val="21"/>
        </w:rPr>
        <w:t xml:space="preserve">Across a validation matrix spanning its MV, DC, and LVAC engines, EMBR reproduces Cymcap 8.1 Rev 2 ampacities within ±5% on all 58 validated scenarios. On this basis EMBR's ampacity engines are validated as consistent with Cymcap across the range of installations covered by the matrix.</w:t>
      </w:r>
    </w:p>
    <w:p>
      <w:pPr>
        <w:pStyle w:val="Heading1"/>
        <w:pBdr>
          <w:bottom w:val="single" w:color="C8860A" w:sz="6" w:space="4"/>
        </w:pBdr>
        <w:spacing w:after="120" w:before="260"/>
      </w:pPr>
      <w:r>
        <w:rPr>
          <w:rFonts w:ascii="Calibri" w:cs="Calibri" w:eastAsia="Calibri" w:hAnsi="Calibri"/>
          <w:b/>
          <w:bCs/>
          <w:color w:val="C8860A"/>
          <w:sz w:val="28"/>
          <w:szCs w:val="28"/>
        </w:rPr>
        <w:t xml:space="preserve">7  References</w:t>
      </w:r>
    </w:p>
    <w:p>
      <w:pPr>
        <w:spacing w:after="120" w:line="276"/>
      </w:pPr>
      <w:r>
        <w:rPr>
          <w:rFonts w:ascii="Calibri" w:cs="Calibri" w:eastAsia="Calibri" w:hAnsi="Calibri"/>
          <w:color w:val="1C1B1A"/>
          <w:sz w:val="21"/>
          <w:szCs w:val="21"/>
        </w:rPr>
        <w:t xml:space="preserve">[1]  Cymcap 8.1 Rev 2 — underground cable current-rating software.</w:t>
      </w:r>
    </w:p>
    <w:p>
      <w:pPr>
        <w:spacing w:after="120" w:line="276"/>
      </w:pPr>
      <w:r>
        <w:rPr>
          <w:rFonts w:ascii="Calibri" w:cs="Calibri" w:eastAsia="Calibri" w:hAnsi="Calibri"/>
          <w:color w:val="1C1B1A"/>
          <w:sz w:val="21"/>
          <w:szCs w:val="21"/>
        </w:rPr>
        <w:t xml:space="preserve">[2]  IEC 60287-1-1 and IEC 60287-2-1, “Electric cables — Calculation of the current rating.”</w:t>
      </w:r>
    </w:p>
    <w:p>
      <w:pPr>
        <w:spacing w:after="120" w:line="276"/>
      </w:pPr>
      <w:r>
        <w:rPr>
          <w:rFonts w:ascii="Calibri" w:cs="Calibri" w:eastAsia="Calibri" w:hAnsi="Calibri"/>
          <w:color w:val="1C1B1A"/>
          <w:sz w:val="21"/>
          <w:szCs w:val="21"/>
        </w:rPr>
        <w:t xml:space="preserve">[3]  J. H. Neher and M. H. McGrath, “The calculation of the temperature rise and load capability of cable systems,” AIEE, 1957.</w:t>
      </w:r>
    </w:p>
    <w:p>
      <w:pPr>
        <w:spacing w:after="120" w:line="276"/>
      </w:pPr>
      <w:r>
        <w:rPr>
          <w:rFonts w:ascii="Calibri" w:cs="Calibri" w:eastAsia="Calibri" w:hAnsi="Calibri"/>
          <w:color w:val="1C1B1A"/>
          <w:sz w:val="21"/>
          <w:szCs w:val="21"/>
        </w:rPr>
        <w:t xml:space="preserve">[4]  Gridworks EMBR Cymcap validation matrix and “Cymcap Model Corrections” (internal).</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B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EMBR Cymcap 8.1 Validation Report</dc:title>
  <dc:creator>Gridworks EMBR</dc:creator>
  <cp:lastModifiedBy>Un-named</cp:lastModifiedBy>
  <cp:revision>1</cp:revision>
  <dcterms:created xsi:type="dcterms:W3CDTF">2026-07-27T21:18:40.520Z</dcterms:created>
  <dcterms:modified xsi:type="dcterms:W3CDTF">2026-07-27T21:18:40.520Z</dcterms:modified>
</cp:coreProperties>
</file>

<file path=docProps/custom.xml><?xml version="1.0" encoding="utf-8"?>
<Properties xmlns="http://schemas.openxmlformats.org/officeDocument/2006/custom-properties" xmlns:vt="http://schemas.openxmlformats.org/officeDocument/2006/docPropsVTypes"/>
</file>