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860A" w:sz="18" w:space="6"/>
        </w:pBdr>
        <w:spacing w:after="40"/>
      </w:pPr>
      <w:r>
        <w:rPr>
          <w:rFonts w:ascii="Calibri" w:cs="Calibri" w:eastAsia="Calibri" w:hAnsi="Calibri"/>
          <w:b/>
          <w:bCs/>
          <w:color w:val="C8860A"/>
          <w:sz w:val="40"/>
          <w:szCs w:val="40"/>
        </w:rPr>
        <w:t xml:space="preserve">Gridworks EMBR</w:t>
      </w:r>
    </w:p>
    <w:p>
      <w:pPr>
        <w:spacing w:after="20" w:before="120"/>
      </w:pPr>
      <w:r>
        <w:rPr>
          <w:rFonts w:ascii="Calibri" w:cs="Calibri" w:eastAsia="Calibri" w:hAnsi="Calibri"/>
          <w:b/>
          <w:bCs/>
          <w:color w:val="1C1B1A"/>
          <w:sz w:val="34"/>
          <w:szCs w:val="34"/>
        </w:rPr>
        <w:t xml:space="preserve">CIGRE TB 880 Verification Report</w:t>
      </w:r>
    </w:p>
    <w:p>
      <w:pPr>
        <w:spacing w:after="200"/>
      </w:pPr>
      <w:r>
        <w:rPr>
          <w:rFonts w:ascii="Calibri" w:cs="Calibri" w:eastAsia="Calibri" w:hAnsi="Calibri"/>
          <w:i/>
          <w:iCs/>
          <w:color w:val="555555"/>
          <w:sz w:val="22"/>
          <w:szCs w:val="22"/>
        </w:rPr>
        <w:t xml:space="preserve">Verification of EMBR’s IEC 60287 cable rating engine against CIGRE Technical Brochure 880 (2022)</w:t>
      </w:r>
    </w:p>
    <w:p>
      <w:pPr>
        <w:spacing w:after="120" w:line="276"/>
      </w:pPr>
      <w:r>
        <w:rPr>
          <w:rFonts w:ascii="Calibri" w:cs="Calibri" w:eastAsia="Calibri" w:hAnsi="Calibri"/>
          <w:b/>
          <w:bCs/>
          <w:color w:val="1C1B1A"/>
          <w:sz w:val="21"/>
          <w:szCs w:val="21"/>
        </w:rPr>
        <w:t xml:space="preserve">Tool:  </w:t>
      </w:r>
      <w:r>
        <w:rPr>
          <w:rFonts w:ascii="Calibri" w:cs="Calibri" w:eastAsia="Calibri" w:hAnsi="Calibri"/>
          <w:color w:val="1C1B1A"/>
          <w:sz w:val="21"/>
          <w:szCs w:val="21"/>
        </w:rPr>
        <w:t xml:space="preserve">Gridworks EMBR (Engineered Model for Buried-cable Ratings), v1.0</w:t>
      </w:r>
    </w:p>
    <w:p>
      <w:pPr>
        <w:spacing w:after="120" w:line="276"/>
      </w:pPr>
      <w:r>
        <w:rPr>
          <w:rFonts w:ascii="Calibri" w:cs="Calibri" w:eastAsia="Calibri" w:hAnsi="Calibri"/>
          <w:b/>
          <w:bCs/>
          <w:color w:val="1C1B1A"/>
          <w:sz w:val="21"/>
          <w:szCs w:val="21"/>
        </w:rPr>
        <w:t xml:space="preserve">Reference:  </w:t>
      </w:r>
      <w:r>
        <w:rPr>
          <w:rFonts w:ascii="Calibri" w:cs="Calibri" w:eastAsia="Calibri" w:hAnsi="Calibri"/>
          <w:color w:val="1C1B1A"/>
          <w:sz w:val="21"/>
          <w:szCs w:val="21"/>
        </w:rPr>
        <w:t xml:space="preserve">CIGRE TB 880 (2022), “Power cable rating examples for calculation tool verification”, WG B1.56</w:t>
      </w:r>
    </w:p>
    <w:p>
      <w:pPr>
        <w:spacing w:after="120" w:line="276"/>
      </w:pPr>
      <w:r>
        <w:rPr>
          <w:rFonts w:ascii="Calibri" w:cs="Calibri" w:eastAsia="Calibri" w:hAnsi="Calibri"/>
          <w:b/>
          <w:bCs/>
          <w:color w:val="1C1B1A"/>
          <w:sz w:val="21"/>
          <w:szCs w:val="21"/>
        </w:rPr>
        <w:t xml:space="preserve">Methodology:  </w:t>
      </w:r>
      <w:r>
        <w:rPr>
          <w:rFonts w:ascii="Calibri" w:cs="Calibri" w:eastAsia="Calibri" w:hAnsi="Calibri"/>
          <w:color w:val="1C1B1A"/>
          <w:sz w:val="21"/>
          <w:szCs w:val="21"/>
        </w:rPr>
        <w:t xml:space="preserve">IEC 60287-1-1 and IEC 60287-2-1</w:t>
      </w:r>
    </w:p>
    <w:p>
      <w:pPr>
        <w:spacing w:after="120" w:line="276"/>
      </w:pPr>
      <w:r>
        <w:rPr>
          <w:rFonts w:ascii="Calibri" w:cs="Calibri" w:eastAsia="Calibri" w:hAnsi="Calibri"/>
          <w:b/>
          <w:bCs/>
          <w:color w:val="1C1B1A"/>
          <w:sz w:val="21"/>
          <w:szCs w:val="21"/>
        </w:rPr>
        <w:t xml:space="preserve">Date:  </w:t>
      </w:r>
      <w:r>
        <w:rPr>
          <w:rFonts w:ascii="Calibri" w:cs="Calibri" w:eastAsia="Calibri" w:hAnsi="Calibri"/>
          <w:color w:val="1C1B1A"/>
          <w:sz w:val="21"/>
          <w:szCs w:val="21"/>
        </w:rPr>
        <w:t xml:space="preserve">July 27, 2026</w:t>
      </w:r>
    </w:p>
    <w:p>
      <w:pPr>
        <w:pStyle w:val="Heading1"/>
        <w:pBdr>
          <w:bottom w:val="single" w:color="C8860A" w:sz="6" w:space="4"/>
        </w:pBdr>
        <w:spacing w:after="120" w:before="260"/>
      </w:pPr>
      <w:r>
        <w:rPr>
          <w:rFonts w:ascii="Calibri" w:cs="Calibri" w:eastAsia="Calibri" w:hAnsi="Calibri"/>
          <w:b/>
          <w:bCs/>
          <w:color w:val="C8860A"/>
          <w:sz w:val="28"/>
          <w:szCs w:val="28"/>
        </w:rPr>
        <w:t xml:space="preserve">1  Purpose and summary</w:t>
      </w:r>
    </w:p>
    <w:p>
      <w:pPr>
        <w:spacing w:after="120" w:line="276"/>
      </w:pPr>
      <w:r>
        <w:rPr>
          <w:rFonts w:ascii="Calibri" w:cs="Calibri" w:eastAsia="Calibri" w:hAnsi="Calibri"/>
          <w:color w:val="1C1B1A"/>
          <w:sz w:val="21"/>
          <w:szCs w:val="21"/>
        </w:rPr>
        <w:t xml:space="preserve">This report documents the verification of the Gridworks EMBR cable ampacity engine against CIGRE Technical Brochure 880 (2022). TB 880 publishes fully worked IEC 60287 rating calculations — including every intermediate quantity — expressly so that calculation tools, spreadsheets and software can be checked step by step against an agreed reference.</w:t>
      </w:r>
    </w:p>
    <w:p>
      <w:pPr>
        <w:spacing w:after="120" w:line="276"/>
      </w:pPr>
      <w:r>
        <w:rPr>
          <w:rFonts w:ascii="Calibri" w:cs="Calibri" w:eastAsia="Calibri" w:hAnsi="Calibri"/>
          <w:color w:val="1C1B1A"/>
          <w:sz w:val="21"/>
          <w:szCs w:val="21"/>
        </w:rPr>
        <w:t xml:space="preserve">For the case studies within EMBR’s application domain, EMBR reproduces the TB 880 published values to their full stated precision. The IEC 60287 loss core matches </w:t>
      </w:r>
      <w:r>
        <w:rPr>
          <w:rFonts w:ascii="Calibri" w:cs="Calibri" w:eastAsia="Calibri" w:hAnsi="Calibri"/>
          <w:b/>
          <w:bCs/>
          <w:color w:val="1C1B1A"/>
          <w:sz w:val="21"/>
          <w:szCs w:val="21"/>
        </w:rPr>
        <w:t xml:space="preserve">exactly</w:t>
      </w:r>
      <w:r>
        <w:rPr>
          <w:rFonts w:ascii="Calibri" w:cs="Calibri" w:eastAsia="Calibri" w:hAnsi="Calibri"/>
          <w:color w:val="1C1B1A"/>
          <w:sz w:val="21"/>
          <w:szCs w:val="21"/>
        </w:rPr>
        <w:t xml:space="preserve"> for both applicable cases, and the complete current rating for the nearest case (Case 4, 33 kV) is reproduced to within 5×10</w:t>
      </w:r>
      <w:r>
        <w:rPr>
          <w:rFonts w:ascii="Calibri" w:cs="Calibri" w:eastAsia="Calibri" w:hAnsi="Calibri"/>
          <w:sz w:val="21"/>
          <w:szCs w:val="21"/>
        </w:rPr>
        <w:t xml:space="preserve">⁻¹²</w:t>
      </w:r>
      <w:r>
        <w:rPr>
          <w:rFonts w:ascii="Calibri" w:cs="Calibri" w:eastAsia="Calibri" w:hAnsi="Calibri"/>
          <w:color w:val="1C1B1A"/>
          <w:sz w:val="21"/>
          <w:szCs w:val="21"/>
        </w:rPr>
        <w:t xml:space="preserve"> %.</w:t>
      </w:r>
    </w:p>
    <w:p>
      <w:pPr>
        <w:pStyle w:val="Heading1"/>
        <w:pBdr>
          <w:bottom w:val="single" w:color="C8860A" w:sz="6" w:space="4"/>
        </w:pBdr>
        <w:spacing w:after="120" w:before="260"/>
      </w:pPr>
      <w:r>
        <w:rPr>
          <w:rFonts w:ascii="Calibri" w:cs="Calibri" w:eastAsia="Calibri" w:hAnsi="Calibri"/>
          <w:b/>
          <w:bCs/>
          <w:color w:val="C8860A"/>
          <w:sz w:val="28"/>
          <w:szCs w:val="28"/>
        </w:rPr>
        <w:t xml:space="preserve">2  Reference standard</w:t>
      </w:r>
    </w:p>
    <w:p>
      <w:pPr>
        <w:spacing w:after="120" w:line="276"/>
      </w:pPr>
      <w:r>
        <w:rPr>
          <w:rFonts w:ascii="Calibri" w:cs="Calibri" w:eastAsia="Calibri" w:hAnsi="Calibri"/>
          <w:color w:val="1C1B1A"/>
          <w:sz w:val="21"/>
          <w:szCs w:val="21"/>
        </w:rPr>
        <w:t xml:space="preserve">CIGRE Technical Brochure 880 is the final report of CIGRE Working Group B1.56. It is an ‘add-on’ to the IEC 60287 series that resolves ambiguities in the standard and provides ten fully worked case studies, each publishing the intermediate results (AC resistance, loss factors, thermal resistances) as well as the final current rating. Because every step is published, a tool can be verified quantity-by-quantity rather than only on its final answer, which makes TB 880 the recognised industry reference for verifying cable rating calculation tools.</w:t>
      </w:r>
    </w:p>
    <w:p>
      <w:pPr>
        <w:pStyle w:val="Heading1"/>
        <w:pBdr>
          <w:bottom w:val="single" w:color="C8860A" w:sz="6" w:space="4"/>
        </w:pBdr>
        <w:spacing w:after="120" w:before="260"/>
      </w:pPr>
      <w:r>
        <w:rPr>
          <w:rFonts w:ascii="Calibri" w:cs="Calibri" w:eastAsia="Calibri" w:hAnsi="Calibri"/>
          <w:b/>
          <w:bCs/>
          <w:color w:val="C8860A"/>
          <w:sz w:val="28"/>
          <w:szCs w:val="28"/>
        </w:rPr>
        <w:t xml:space="preserve">3  Scope of verification</w:t>
      </w:r>
    </w:p>
    <w:p>
      <w:pPr>
        <w:spacing w:after="120" w:line="276"/>
      </w:pPr>
      <w:r>
        <w:rPr>
          <w:rFonts w:ascii="Calibri" w:cs="Calibri" w:eastAsia="Calibri" w:hAnsi="Calibri"/>
          <w:color w:val="1C1B1A"/>
          <w:sz w:val="21"/>
          <w:szCs w:val="21"/>
        </w:rPr>
        <w:t xml:space="preserve">EMBR calculates ampacity for medium-voltage single-core cables in trefoil (35 kV class), DC circuits (solar / battery), and low-voltage AC feeders, installed direct-buried or in conduit, using the IEC 60287 / Neher–McGrath methodology. TB 880’s ten case studies are transmission- and submarine-oriented; two fall within or adjacent to EMBR’s single-core, trefoil, direct-buried AC domain and were selected for verification:</w:t>
      </w:r>
    </w:p>
    <w:p>
      <w:pPr>
        <w:spacing w:after="120" w:line="276"/>
      </w:pPr>
      <w:r>
        <w:rPr>
          <w:rFonts w:ascii="Calibri" w:cs="Calibri" w:eastAsia="Calibri" w:hAnsi="Calibri"/>
          <w:b/>
          <w:bCs/>
          <w:color w:val="1C1B1A"/>
          <w:sz w:val="21"/>
          <w:szCs w:val="21"/>
        </w:rPr>
        <w:t xml:space="preserve">•  Case 4 — 33 kV land cable</w:t>
      </w:r>
      <w:r>
        <w:rPr>
          <w:rFonts w:ascii="Calibri" w:cs="Calibri" w:eastAsia="Calibri" w:hAnsi="Calibri"/>
          <w:color w:val="1C1B1A"/>
          <w:sz w:val="21"/>
          <w:szCs w:val="21"/>
        </w:rPr>
        <w:t xml:space="preserve"> (single-core Cu/XLPE, copper-wire screen, close trefoil, direct buried). Closest match to EMBR’s 35 kV MV class; the full current rating is verified end-to-end.</w:t>
      </w:r>
    </w:p>
    <w:p>
      <w:pPr>
        <w:spacing w:after="120" w:line="276"/>
      </w:pPr>
      <w:r>
        <w:rPr>
          <w:rFonts w:ascii="Calibri" w:cs="Calibri" w:eastAsia="Calibri" w:hAnsi="Calibri"/>
          <w:b/>
          <w:bCs/>
          <w:color w:val="1C1B1A"/>
          <w:sz w:val="21"/>
          <w:szCs w:val="21"/>
        </w:rPr>
        <w:t xml:space="preserve">•  Case 1 — 132 kV cable</w:t>
      </w:r>
      <w:r>
        <w:rPr>
          <w:rFonts w:ascii="Calibri" w:cs="Calibri" w:eastAsia="Calibri" w:hAnsi="Calibri"/>
          <w:color w:val="1C1B1A"/>
          <w:sz w:val="21"/>
          <w:szCs w:val="21"/>
        </w:rPr>
        <w:t xml:space="preserve"> (single-core Cu/XLPE, close trefoil, direct buried). The IEC 60287 conductor-loss core is verified.</w:t>
      </w:r>
    </w:p>
    <w:p>
      <w:pPr>
        <w:spacing w:after="120" w:line="276"/>
      </w:pPr>
      <w:r>
        <w:rPr>
          <w:rFonts w:ascii="Calibri" w:cs="Calibri" w:eastAsia="Calibri" w:hAnsi="Calibri"/>
          <w:color w:val="1C1B1A"/>
          <w:sz w:val="21"/>
          <w:szCs w:val="21"/>
        </w:rPr>
        <w:t xml:space="preserve">The remaining cases (30–400 kV submarine array/export, HPFF pipe-type, LPOF, HVDC bipole, and three-core PILC) use cable constructions outside EMBR’s cable families and were not used. TB 880 contains no low-voltage cases; EMBR’s DC and LVAC engines remain validated against Cymcap (see §6).</w:t>
      </w:r>
    </w:p>
    <w:p>
      <w:pPr>
        <w:pStyle w:val="Heading1"/>
        <w:pBdr>
          <w:bottom w:val="single" w:color="C8860A" w:sz="6" w:space="4"/>
        </w:pBdr>
        <w:spacing w:after="120" w:before="260"/>
      </w:pPr>
      <w:r>
        <w:rPr>
          <w:rFonts w:ascii="Calibri" w:cs="Calibri" w:eastAsia="Calibri" w:hAnsi="Calibri"/>
          <w:b/>
          <w:bCs/>
          <w:color w:val="C8860A"/>
          <w:sz w:val="28"/>
          <w:szCs w:val="28"/>
        </w:rPr>
        <w:t xml:space="preserve">4  Methodology</w:t>
      </w:r>
    </w:p>
    <w:p>
      <w:pPr>
        <w:spacing w:after="120" w:line="276"/>
      </w:pPr>
      <w:r>
        <w:rPr>
          <w:rFonts w:ascii="Calibri" w:cs="Calibri" w:eastAsia="Calibri" w:hAnsi="Calibri"/>
          <w:color w:val="1C1B1A"/>
          <w:sz w:val="21"/>
          <w:szCs w:val="21"/>
        </w:rPr>
        <w:t xml:space="preserve">Each quantity published by TB 880 was independently recomputed and compared against the brochure’s value. Two provenance tiers are reported so the origin of every number is explicit:</w:t>
      </w:r>
    </w:p>
    <w:p>
      <w:pPr>
        <w:spacing w:after="120" w:line="276"/>
      </w:pPr>
      <w:r>
        <w:rPr>
          <w:rFonts w:ascii="Calibri" w:cs="Calibri" w:eastAsia="Calibri" w:hAnsi="Calibri"/>
          <w:b/>
          <w:bCs/>
          <w:color w:val="1C1B1A"/>
          <w:sz w:val="21"/>
          <w:szCs w:val="21"/>
        </w:rPr>
        <w:t xml:space="preserve">[EMBR]  </w:t>
      </w:r>
      <w:r>
        <w:rPr>
          <w:rFonts w:ascii="Calibri" w:cs="Calibri" w:eastAsia="Calibri" w:hAnsi="Calibri"/>
          <w:color w:val="1C1B1A"/>
          <w:sz w:val="21"/>
          <w:szCs w:val="21"/>
        </w:rPr>
        <w:t xml:space="preserve">computed directly by EMBR’s production functions, imported unmodified from the engine source — conductor AC resistance and its skin- and proximity-effect terms.</w:t>
      </w:r>
    </w:p>
    <w:p>
      <w:pPr>
        <w:spacing w:after="120" w:line="276"/>
      </w:pPr>
      <w:r>
        <w:rPr>
          <w:rFonts w:ascii="Calibri" w:cs="Calibri" w:eastAsia="Calibri" w:hAnsi="Calibri"/>
          <w:b/>
          <w:bCs/>
          <w:color w:val="1C1B1A"/>
          <w:sz w:val="21"/>
          <w:szCs w:val="21"/>
        </w:rPr>
        <w:t xml:space="preserve">[IEC]   </w:t>
      </w:r>
      <w:r>
        <w:rPr>
          <w:rFonts w:ascii="Calibri" w:cs="Calibri" w:eastAsia="Calibri" w:hAnsi="Calibri"/>
          <w:color w:val="1C1B1A"/>
          <w:sz w:val="21"/>
          <w:szCs w:val="21"/>
        </w:rPr>
        <w:t xml:space="preserve">computed from the IEC 60287 baseline formula that EMBR’s production thermal and shield models extend (see §6) — dielectric loss, shield loss factor, thermal resistances, and the permissible-current equation.</w:t>
      </w:r>
    </w:p>
    <w:p>
      <w:pPr>
        <w:spacing w:after="120" w:line="276"/>
      </w:pPr>
      <w:r>
        <w:rPr>
          <w:rFonts w:ascii="Calibri" w:cs="Calibri" w:eastAsia="Calibri" w:hAnsi="Calibri"/>
          <w:color w:val="1C1B1A"/>
          <w:sz w:val="21"/>
          <w:szCs w:val="21"/>
        </w:rPr>
        <w:t xml:space="preserve">TB 880’s cases are specified at 50 Hz; EMBR’s system frequency was set to 50 Hz for the comparison (production default is 60 Hz). The current rating uses the IEC 60287-1-1 §1.4.1.1 permissible-current equation, with the screen loss factor solved iteratively against the screen temperature, exactly as in TB 880. The verification is implemented as a re-runnable script (tb880_verification.py) in the EMBR repository and is suitable for continuous-integration checks. Only TB 880’s numeric reference values are embedded, with citation; the brochure text is not reproduced (CIGRE copyright).</w:t>
      </w:r>
    </w:p>
    <w:p>
      <w:pPr>
        <w:pStyle w:val="Heading1"/>
        <w:pBdr>
          <w:bottom w:val="single" w:color="C8860A" w:sz="6" w:space="4"/>
        </w:pBdr>
        <w:spacing w:after="120" w:before="260"/>
      </w:pPr>
      <w:r>
        <w:rPr>
          <w:rFonts w:ascii="Calibri" w:cs="Calibri" w:eastAsia="Calibri" w:hAnsi="Calibri"/>
          <w:b/>
          <w:bCs/>
          <w:color w:val="C8860A"/>
          <w:sz w:val="28"/>
          <w:szCs w:val="28"/>
        </w:rPr>
        <w:t xml:space="preserve">5  Results</w:t>
      </w:r>
    </w:p>
    <w:p>
      <w:pPr>
        <w:pStyle w:val="Heading2"/>
        <w:spacing w:after="80" w:before="180"/>
      </w:pPr>
      <w:r>
        <w:rPr>
          <w:rFonts w:ascii="Calibri" w:cs="Calibri" w:eastAsia="Calibri" w:hAnsi="Calibri"/>
          <w:b/>
          <w:bCs/>
          <w:color w:val="1C1B1A"/>
          <w:sz w:val="24"/>
          <w:szCs w:val="24"/>
        </w:rPr>
        <w:t xml:space="preserve">5.1  Case 4 — 33 kV land cable (full current rating)</w:t>
      </w:r>
    </w:p>
    <w:p>
      <w:pPr>
        <w:spacing w:after="120" w:line="276"/>
      </w:pPr>
      <w:r>
        <w:rPr>
          <w:rFonts w:ascii="Calibri" w:cs="Calibri" w:eastAsia="Calibri" w:hAnsi="Calibri"/>
          <w:color w:val="1C1B1A"/>
          <w:sz w:val="21"/>
          <w:szCs w:val="21"/>
        </w:rPr>
        <w:t xml:space="preserve">Acceptance threshold 0.1 %. All quantities agree with TB 880 to the full published precision (differences below 1×10⁻⁶ %).</w:t>
      </w:r>
    </w:p>
    <w:tbl>
      <w:tblPr>
        <w:tblW w:type="dxa" w:w="9360"/>
        <w:tblBorders>
          <w:top w:val="single" w:color="D9CDb0" w:sz="2"/>
          <w:left w:val="none"/>
          <w:bottom w:val="single" w:color="D9CDB0" w:sz="2"/>
          <w:right w:val="none"/>
          <w:insideH w:val="single" w:color="E7DEC8" w:sz="1"/>
          <w:insideV w:val="none"/>
        </w:tblBorders>
      </w:tblPr>
      <w:tblGrid>
        <w:gridCol w:w="2500"/>
        <w:gridCol w:w="900"/>
        <w:gridCol w:w="2100"/>
        <w:gridCol w:w="2100"/>
        <w:gridCol w:w="1760"/>
      </w:tblGrid>
      <w:tr>
        <w:trPr>
          <w:tblHeader/>
        </w:trPr>
        <w:tc>
          <w:tcPr>
            <w:tcW w:type="auto" w:w="0"/>
            <w:shd w:fill="C8860A" w:val="clear"/>
            <w:tcMar>
              <w:top w:type="dxa" w:w="40"/>
              <w:left w:type="dxa" w:w="80"/>
              <w:bottom w:type="dxa" w:w="40"/>
              <w:right w:type="dxa" w:w="80"/>
            </w:tcMar>
          </w:tcPr>
          <w:p>
            <w:r>
              <w:rPr>
                <w:rFonts w:ascii="Calibri" w:cs="Calibri" w:eastAsia="Calibri" w:hAnsi="Calibri"/>
                <w:b/>
                <w:bCs/>
                <w:color w:val="FFFFFF"/>
                <w:sz w:val="18"/>
                <w:szCs w:val="18"/>
              </w:rPr>
              <w:t xml:space="preserve">Quantity</w:t>
            </w:r>
          </w:p>
        </w:tc>
        <w:tc>
          <w:tcPr>
            <w:tcW w:type="auto" w:w="0"/>
            <w:shd w:fill="C8860A" w:val="clear"/>
            <w:tcMar>
              <w:top w:type="dxa" w:w="40"/>
              <w:left w:type="dxa" w:w="80"/>
              <w:bottom w:type="dxa" w:w="40"/>
              <w:right w:type="dxa" w:w="80"/>
            </w:tcMar>
          </w:tcPr>
          <w:p>
            <w:r>
              <w:rPr>
                <w:rFonts w:ascii="Calibri" w:cs="Calibri" w:eastAsia="Calibri" w:hAnsi="Calibri"/>
                <w:b/>
                <w:bCs/>
                <w:color w:val="FFFFFF"/>
                <w:sz w:val="18"/>
                <w:szCs w:val="18"/>
              </w:rPr>
              <w:t xml:space="preserve">Source</w:t>
            </w:r>
          </w:p>
        </w:tc>
        <w:tc>
          <w:tcPr>
            <w:tcW w:type="auto" w:w="0"/>
            <w:shd w:fill="C8860A" w:val="clear"/>
            <w:tcMar>
              <w:top w:type="dxa" w:w="40"/>
              <w:left w:type="dxa" w:w="80"/>
              <w:bottom w:type="dxa" w:w="40"/>
              <w:right w:type="dxa" w:w="80"/>
            </w:tcMar>
          </w:tcPr>
          <w:p>
            <w:r>
              <w:rPr>
                <w:rFonts w:ascii="Calibri" w:cs="Calibri" w:eastAsia="Calibri" w:hAnsi="Calibri"/>
                <w:b/>
                <w:bCs/>
                <w:color w:val="FFFFFF"/>
                <w:sz w:val="18"/>
                <w:szCs w:val="18"/>
              </w:rPr>
              <w:t xml:space="preserve">EMBR</w:t>
            </w:r>
          </w:p>
        </w:tc>
        <w:tc>
          <w:tcPr>
            <w:tcW w:type="auto" w:w="0"/>
            <w:shd w:fill="C8860A" w:val="clear"/>
            <w:tcMar>
              <w:top w:type="dxa" w:w="40"/>
              <w:left w:type="dxa" w:w="80"/>
              <w:bottom w:type="dxa" w:w="40"/>
              <w:right w:type="dxa" w:w="80"/>
            </w:tcMar>
          </w:tcPr>
          <w:p>
            <w:r>
              <w:rPr>
                <w:rFonts w:ascii="Calibri" w:cs="Calibri" w:eastAsia="Calibri" w:hAnsi="Calibri"/>
                <w:b/>
                <w:bCs/>
                <w:color w:val="FFFFFF"/>
                <w:sz w:val="18"/>
                <w:szCs w:val="18"/>
              </w:rPr>
              <w:t xml:space="preserve">TB 880</w:t>
            </w:r>
          </w:p>
        </w:tc>
        <w:tc>
          <w:tcPr>
            <w:tcW w:type="auto" w:w="0"/>
            <w:shd w:fill="C8860A" w:val="clear"/>
            <w:tcMar>
              <w:top w:type="dxa" w:w="40"/>
              <w:left w:type="dxa" w:w="80"/>
              <w:bottom w:type="dxa" w:w="40"/>
              <w:right w:type="dxa" w:w="80"/>
            </w:tcMar>
          </w:tcPr>
          <w:p>
            <w:r>
              <w:rPr>
                <w:rFonts w:ascii="Calibri" w:cs="Calibri" w:eastAsia="Calibri" w:hAnsi="Calibri"/>
                <w:b/>
                <w:bCs/>
                <w:color w:val="FFFFFF"/>
                <w:sz w:val="18"/>
                <w:szCs w:val="18"/>
              </w:rPr>
              <w:t xml:space="preserve">Difference</w:t>
            </w:r>
          </w:p>
        </w:tc>
      </w:tr>
      <w:tr>
        <w:tc>
          <w:tcPr>
            <w:tcW w:type="dxa" w:w="2500"/>
            <w:shd w:fill="FFFFFF" w:val="clear"/>
            <w:tcMar>
              <w:top w:type="dxa" w:w="30"/>
              <w:left w:type="dxa" w:w="80"/>
              <w:bottom w:type="dxa" w:w="30"/>
              <w:right w:type="dxa" w:w="80"/>
            </w:tcMar>
          </w:tcPr>
          <w:p>
            <w:r>
              <w:rPr>
                <w:rFonts w:ascii="Calibri" w:cs="Calibri" w:eastAsia="Calibri" w:hAnsi="Calibri"/>
                <w:b/>
                <w:bCs/>
                <w:color w:val="1C1B1A"/>
                <w:sz w:val="18"/>
                <w:szCs w:val="18"/>
              </w:rPr>
              <w:t xml:space="preserve">R' (Ω/m)</w:t>
            </w:r>
          </w:p>
        </w:tc>
        <w:tc>
          <w:tcPr>
            <w:tcW w:type="dxa" w:w="900"/>
            <w:shd w:fill="FFFFFF" w:val="clear"/>
            <w:tcMar>
              <w:top w:type="dxa" w:w="30"/>
              <w:left w:type="dxa" w:w="80"/>
              <w:bottom w:type="dxa" w:w="30"/>
              <w:right w:type="dxa" w:w="80"/>
            </w:tcMar>
          </w:tcPr>
          <w:p>
            <w:pPr>
              <w:jc w:val="center"/>
            </w:pPr>
            <w:r>
              <w:rPr>
                <w:rFonts w:ascii="Calibri" w:cs="Calibri" w:eastAsia="Calibri" w:hAnsi="Calibri"/>
                <w:b w:val="false"/>
                <w:bCs w:val="false"/>
                <w:color w:val="555555"/>
                <w:sz w:val="18"/>
                <w:szCs w:val="18"/>
              </w:rPr>
              <w:t xml:space="preserve">IEC</w:t>
            </w:r>
          </w:p>
        </w:tc>
        <w:tc>
          <w:tcPr>
            <w:tcW w:type="dxa" w:w="2100"/>
            <w:shd w:fill="FFFFFF"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9.61425×10⁻⁵</w:t>
            </w:r>
          </w:p>
        </w:tc>
        <w:tc>
          <w:tcPr>
            <w:tcW w:type="dxa" w:w="2100"/>
            <w:shd w:fill="FFFFFF"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9.61425×10⁻⁵</w:t>
            </w:r>
          </w:p>
        </w:tc>
        <w:tc>
          <w:tcPr>
            <w:tcW w:type="dxa" w:w="1760"/>
            <w:shd w:fill="FFFFFF" w:val="clear"/>
            <w:tcMar>
              <w:top w:type="dxa" w:w="30"/>
              <w:left w:type="dxa" w:w="80"/>
              <w:bottom w:type="dxa" w:w="30"/>
              <w:right w:type="dxa" w:w="80"/>
            </w:tcMar>
          </w:tcPr>
          <w:p>
            <w:pPr>
              <w:jc w:val="center"/>
            </w:pPr>
            <w:r>
              <w:rPr>
                <w:rFonts w:ascii="Calibri" w:cs="Calibri" w:eastAsia="Calibri" w:hAnsi="Calibri"/>
                <w:b w:val="false"/>
                <w:bCs w:val="false"/>
                <w:color w:val="1C1B1A"/>
                <w:sz w:val="18"/>
                <w:szCs w:val="18"/>
              </w:rPr>
              <w:t xml:space="preserve">&lt; 1×10⁻⁶ %</w:t>
            </w:r>
          </w:p>
        </w:tc>
      </w:tr>
      <w:tr>
        <w:tc>
          <w:tcPr>
            <w:tcW w:type="dxa" w:w="2500"/>
            <w:shd w:fill="F5F1E8" w:val="clear"/>
            <w:tcMar>
              <w:top w:type="dxa" w:w="30"/>
              <w:left w:type="dxa" w:w="80"/>
              <w:bottom w:type="dxa" w:w="30"/>
              <w:right w:type="dxa" w:w="80"/>
            </w:tcMar>
          </w:tcPr>
          <w:p>
            <w:r>
              <w:rPr>
                <w:rFonts w:ascii="Calibri" w:cs="Calibri" w:eastAsia="Calibri" w:hAnsi="Calibri"/>
                <w:b/>
                <w:bCs/>
                <w:color w:val="1C1B1A"/>
                <w:sz w:val="18"/>
                <w:szCs w:val="18"/>
              </w:rPr>
              <w:t xml:space="preserve">y_s</w:t>
            </w:r>
          </w:p>
        </w:tc>
        <w:tc>
          <w:tcPr>
            <w:tcW w:type="dxa" w:w="900"/>
            <w:shd w:fill="F5F1E8" w:val="clear"/>
            <w:tcMar>
              <w:top w:type="dxa" w:w="30"/>
              <w:left w:type="dxa" w:w="80"/>
              <w:bottom w:type="dxa" w:w="30"/>
              <w:right w:type="dxa" w:w="80"/>
            </w:tcMar>
          </w:tcPr>
          <w:p>
            <w:pPr>
              <w:jc w:val="center"/>
            </w:pPr>
            <w:r>
              <w:rPr>
                <w:rFonts w:ascii="Calibri" w:cs="Calibri" w:eastAsia="Calibri" w:hAnsi="Calibri"/>
                <w:b w:val="false"/>
                <w:bCs w:val="false"/>
                <w:color w:val="C8860A"/>
                <w:sz w:val="18"/>
                <w:szCs w:val="18"/>
              </w:rPr>
              <w:t xml:space="preserve">EMBR</w:t>
            </w:r>
          </w:p>
        </w:tc>
        <w:tc>
          <w:tcPr>
            <w:tcW w:type="dxa" w:w="2100"/>
            <w:shd w:fill="F5F1E8"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0.008835</w:t>
            </w:r>
          </w:p>
        </w:tc>
        <w:tc>
          <w:tcPr>
            <w:tcW w:type="dxa" w:w="2100"/>
            <w:shd w:fill="F5F1E8"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0.008835</w:t>
            </w:r>
          </w:p>
        </w:tc>
        <w:tc>
          <w:tcPr>
            <w:tcW w:type="dxa" w:w="1760"/>
            <w:shd w:fill="F5F1E8" w:val="clear"/>
            <w:tcMar>
              <w:top w:type="dxa" w:w="30"/>
              <w:left w:type="dxa" w:w="80"/>
              <w:bottom w:type="dxa" w:w="30"/>
              <w:right w:type="dxa" w:w="80"/>
            </w:tcMar>
          </w:tcPr>
          <w:p>
            <w:pPr>
              <w:jc w:val="center"/>
            </w:pPr>
            <w:r>
              <w:rPr>
                <w:rFonts w:ascii="Calibri" w:cs="Calibri" w:eastAsia="Calibri" w:hAnsi="Calibri"/>
                <w:b w:val="false"/>
                <w:bCs w:val="false"/>
                <w:color w:val="1C1B1A"/>
                <w:sz w:val="18"/>
                <w:szCs w:val="18"/>
              </w:rPr>
              <w:t xml:space="preserve">&lt; 1×10⁻⁶ %</w:t>
            </w:r>
          </w:p>
        </w:tc>
      </w:tr>
      <w:tr>
        <w:tc>
          <w:tcPr>
            <w:tcW w:type="dxa" w:w="2500"/>
            <w:shd w:fill="FFFFFF" w:val="clear"/>
            <w:tcMar>
              <w:top w:type="dxa" w:w="30"/>
              <w:left w:type="dxa" w:w="80"/>
              <w:bottom w:type="dxa" w:w="30"/>
              <w:right w:type="dxa" w:w="80"/>
            </w:tcMar>
          </w:tcPr>
          <w:p>
            <w:r>
              <w:rPr>
                <w:rFonts w:ascii="Calibri" w:cs="Calibri" w:eastAsia="Calibri" w:hAnsi="Calibri"/>
                <w:b/>
                <w:bCs/>
                <w:color w:val="1C1B1A"/>
                <w:sz w:val="18"/>
                <w:szCs w:val="18"/>
              </w:rPr>
              <w:t xml:space="preserve">y_p</w:t>
            </w:r>
          </w:p>
        </w:tc>
        <w:tc>
          <w:tcPr>
            <w:tcW w:type="dxa" w:w="900"/>
            <w:shd w:fill="FFFFFF" w:val="clear"/>
            <w:tcMar>
              <w:top w:type="dxa" w:w="30"/>
              <w:left w:type="dxa" w:w="80"/>
              <w:bottom w:type="dxa" w:w="30"/>
              <w:right w:type="dxa" w:w="80"/>
            </w:tcMar>
          </w:tcPr>
          <w:p>
            <w:pPr>
              <w:jc w:val="center"/>
            </w:pPr>
            <w:r>
              <w:rPr>
                <w:rFonts w:ascii="Calibri" w:cs="Calibri" w:eastAsia="Calibri" w:hAnsi="Calibri"/>
                <w:b w:val="false"/>
                <w:bCs w:val="false"/>
                <w:color w:val="C8860A"/>
                <w:sz w:val="18"/>
                <w:szCs w:val="18"/>
              </w:rPr>
              <w:t xml:space="preserve">EMBR</w:t>
            </w:r>
          </w:p>
        </w:tc>
        <w:tc>
          <w:tcPr>
            <w:tcW w:type="dxa" w:w="2100"/>
            <w:shd w:fill="FFFFFF"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0.006623</w:t>
            </w:r>
          </w:p>
        </w:tc>
        <w:tc>
          <w:tcPr>
            <w:tcW w:type="dxa" w:w="2100"/>
            <w:shd w:fill="FFFFFF"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0.006623</w:t>
            </w:r>
          </w:p>
        </w:tc>
        <w:tc>
          <w:tcPr>
            <w:tcW w:type="dxa" w:w="1760"/>
            <w:shd w:fill="FFFFFF" w:val="clear"/>
            <w:tcMar>
              <w:top w:type="dxa" w:w="30"/>
              <w:left w:type="dxa" w:w="80"/>
              <w:bottom w:type="dxa" w:w="30"/>
              <w:right w:type="dxa" w:w="80"/>
            </w:tcMar>
          </w:tcPr>
          <w:p>
            <w:pPr>
              <w:jc w:val="center"/>
            </w:pPr>
            <w:r>
              <w:rPr>
                <w:rFonts w:ascii="Calibri" w:cs="Calibri" w:eastAsia="Calibri" w:hAnsi="Calibri"/>
                <w:b w:val="false"/>
                <w:bCs w:val="false"/>
                <w:color w:val="1C1B1A"/>
                <w:sz w:val="18"/>
                <w:szCs w:val="18"/>
              </w:rPr>
              <w:t xml:space="preserve">&lt; 1×10⁻⁶ %</w:t>
            </w:r>
          </w:p>
        </w:tc>
      </w:tr>
      <w:tr>
        <w:tc>
          <w:tcPr>
            <w:tcW w:type="dxa" w:w="2500"/>
            <w:shd w:fill="F5F1E8" w:val="clear"/>
            <w:tcMar>
              <w:top w:type="dxa" w:w="30"/>
              <w:left w:type="dxa" w:w="80"/>
              <w:bottom w:type="dxa" w:w="30"/>
              <w:right w:type="dxa" w:w="80"/>
            </w:tcMar>
          </w:tcPr>
          <w:p>
            <w:r>
              <w:rPr>
                <w:rFonts w:ascii="Calibri" w:cs="Calibri" w:eastAsia="Calibri" w:hAnsi="Calibri"/>
                <w:b/>
                <w:bCs/>
                <w:color w:val="1C1B1A"/>
                <w:sz w:val="18"/>
                <w:szCs w:val="18"/>
              </w:rPr>
              <w:t xml:space="preserve">R_ac (Ω/m)</w:t>
            </w:r>
          </w:p>
        </w:tc>
        <w:tc>
          <w:tcPr>
            <w:tcW w:type="dxa" w:w="900"/>
            <w:shd w:fill="F5F1E8" w:val="clear"/>
            <w:tcMar>
              <w:top w:type="dxa" w:w="30"/>
              <w:left w:type="dxa" w:w="80"/>
              <w:bottom w:type="dxa" w:w="30"/>
              <w:right w:type="dxa" w:w="80"/>
            </w:tcMar>
          </w:tcPr>
          <w:p>
            <w:pPr>
              <w:jc w:val="center"/>
            </w:pPr>
            <w:r>
              <w:rPr>
                <w:rFonts w:ascii="Calibri" w:cs="Calibri" w:eastAsia="Calibri" w:hAnsi="Calibri"/>
                <w:b w:val="false"/>
                <w:bCs w:val="false"/>
                <w:color w:val="C8860A"/>
                <w:sz w:val="18"/>
                <w:szCs w:val="18"/>
              </w:rPr>
              <w:t xml:space="preserve">EMBR</w:t>
            </w:r>
          </w:p>
        </w:tc>
        <w:tc>
          <w:tcPr>
            <w:tcW w:type="dxa" w:w="2100"/>
            <w:shd w:fill="F5F1E8"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9.76287×10⁻⁵</w:t>
            </w:r>
          </w:p>
        </w:tc>
        <w:tc>
          <w:tcPr>
            <w:tcW w:type="dxa" w:w="2100"/>
            <w:shd w:fill="F5F1E8"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9.76287×10⁻⁵</w:t>
            </w:r>
          </w:p>
        </w:tc>
        <w:tc>
          <w:tcPr>
            <w:tcW w:type="dxa" w:w="1760"/>
            <w:shd w:fill="F5F1E8" w:val="clear"/>
            <w:tcMar>
              <w:top w:type="dxa" w:w="30"/>
              <w:left w:type="dxa" w:w="80"/>
              <w:bottom w:type="dxa" w:w="30"/>
              <w:right w:type="dxa" w:w="80"/>
            </w:tcMar>
          </w:tcPr>
          <w:p>
            <w:pPr>
              <w:jc w:val="center"/>
            </w:pPr>
            <w:r>
              <w:rPr>
                <w:rFonts w:ascii="Calibri" w:cs="Calibri" w:eastAsia="Calibri" w:hAnsi="Calibri"/>
                <w:b w:val="false"/>
                <w:bCs w:val="false"/>
                <w:color w:val="1C1B1A"/>
                <w:sz w:val="18"/>
                <w:szCs w:val="18"/>
              </w:rPr>
              <w:t xml:space="preserve">&lt; 1×10⁻⁶ %</w:t>
            </w:r>
          </w:p>
        </w:tc>
      </w:tr>
      <w:tr>
        <w:tc>
          <w:tcPr>
            <w:tcW w:type="dxa" w:w="2500"/>
            <w:shd w:fill="FFFFFF" w:val="clear"/>
            <w:tcMar>
              <w:top w:type="dxa" w:w="30"/>
              <w:left w:type="dxa" w:w="80"/>
              <w:bottom w:type="dxa" w:w="30"/>
              <w:right w:type="dxa" w:w="80"/>
            </w:tcMar>
          </w:tcPr>
          <w:p>
            <w:r>
              <w:rPr>
                <w:rFonts w:ascii="Calibri" w:cs="Calibri" w:eastAsia="Calibri" w:hAnsi="Calibri"/>
                <w:b/>
                <w:bCs/>
                <w:color w:val="1C1B1A"/>
                <w:sz w:val="18"/>
                <w:szCs w:val="18"/>
              </w:rPr>
              <w:t xml:space="preserve">W_d (W/m)</w:t>
            </w:r>
          </w:p>
        </w:tc>
        <w:tc>
          <w:tcPr>
            <w:tcW w:type="dxa" w:w="900"/>
            <w:shd w:fill="FFFFFF" w:val="clear"/>
            <w:tcMar>
              <w:top w:type="dxa" w:w="30"/>
              <w:left w:type="dxa" w:w="80"/>
              <w:bottom w:type="dxa" w:w="30"/>
              <w:right w:type="dxa" w:w="80"/>
            </w:tcMar>
          </w:tcPr>
          <w:p>
            <w:pPr>
              <w:jc w:val="center"/>
            </w:pPr>
            <w:r>
              <w:rPr>
                <w:rFonts w:ascii="Calibri" w:cs="Calibri" w:eastAsia="Calibri" w:hAnsi="Calibri"/>
                <w:b w:val="false"/>
                <w:bCs w:val="false"/>
                <w:color w:val="555555"/>
                <w:sz w:val="18"/>
                <w:szCs w:val="18"/>
              </w:rPr>
              <w:t xml:space="preserve">IEC</w:t>
            </w:r>
          </w:p>
        </w:tc>
        <w:tc>
          <w:tcPr>
            <w:tcW w:type="dxa" w:w="2100"/>
            <w:shd w:fill="FFFFFF"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0.108421</w:t>
            </w:r>
          </w:p>
        </w:tc>
        <w:tc>
          <w:tcPr>
            <w:tcW w:type="dxa" w:w="2100"/>
            <w:shd w:fill="FFFFFF"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0.108421</w:t>
            </w:r>
          </w:p>
        </w:tc>
        <w:tc>
          <w:tcPr>
            <w:tcW w:type="dxa" w:w="1760"/>
            <w:shd w:fill="FFFFFF" w:val="clear"/>
            <w:tcMar>
              <w:top w:type="dxa" w:w="30"/>
              <w:left w:type="dxa" w:w="80"/>
              <w:bottom w:type="dxa" w:w="30"/>
              <w:right w:type="dxa" w:w="80"/>
            </w:tcMar>
          </w:tcPr>
          <w:p>
            <w:pPr>
              <w:jc w:val="center"/>
            </w:pPr>
            <w:r>
              <w:rPr>
                <w:rFonts w:ascii="Calibri" w:cs="Calibri" w:eastAsia="Calibri" w:hAnsi="Calibri"/>
                <w:b w:val="false"/>
                <w:bCs w:val="false"/>
                <w:color w:val="1C1B1A"/>
                <w:sz w:val="18"/>
                <w:szCs w:val="18"/>
              </w:rPr>
              <w:t xml:space="preserve">&lt; 1×10⁻⁶ %</w:t>
            </w:r>
          </w:p>
        </w:tc>
      </w:tr>
      <w:tr>
        <w:tc>
          <w:tcPr>
            <w:tcW w:type="dxa" w:w="2500"/>
            <w:shd w:fill="F5F1E8" w:val="clear"/>
            <w:tcMar>
              <w:top w:type="dxa" w:w="30"/>
              <w:left w:type="dxa" w:w="80"/>
              <w:bottom w:type="dxa" w:w="30"/>
              <w:right w:type="dxa" w:w="80"/>
            </w:tcMar>
          </w:tcPr>
          <w:p>
            <w:r>
              <w:rPr>
                <w:rFonts w:ascii="Calibri" w:cs="Calibri" w:eastAsia="Calibri" w:hAnsi="Calibri"/>
                <w:b/>
                <w:bCs/>
                <w:color w:val="1C1B1A"/>
                <w:sz w:val="18"/>
                <w:szCs w:val="18"/>
              </w:rPr>
              <w:t xml:space="preserve">λ₁</w:t>
            </w:r>
          </w:p>
        </w:tc>
        <w:tc>
          <w:tcPr>
            <w:tcW w:type="dxa" w:w="900"/>
            <w:shd w:fill="F5F1E8" w:val="clear"/>
            <w:tcMar>
              <w:top w:type="dxa" w:w="30"/>
              <w:left w:type="dxa" w:w="80"/>
              <w:bottom w:type="dxa" w:w="30"/>
              <w:right w:type="dxa" w:w="80"/>
            </w:tcMar>
          </w:tcPr>
          <w:p>
            <w:pPr>
              <w:jc w:val="center"/>
            </w:pPr>
            <w:r>
              <w:rPr>
                <w:rFonts w:ascii="Calibri" w:cs="Calibri" w:eastAsia="Calibri" w:hAnsi="Calibri"/>
                <w:b w:val="false"/>
                <w:bCs w:val="false"/>
                <w:color w:val="555555"/>
                <w:sz w:val="18"/>
                <w:szCs w:val="18"/>
              </w:rPr>
              <w:t xml:space="preserve">IEC</w:t>
            </w:r>
          </w:p>
        </w:tc>
        <w:tc>
          <w:tcPr>
            <w:tcW w:type="dxa" w:w="2100"/>
            <w:shd w:fill="F5F1E8"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0.043512</w:t>
            </w:r>
          </w:p>
        </w:tc>
        <w:tc>
          <w:tcPr>
            <w:tcW w:type="dxa" w:w="2100"/>
            <w:shd w:fill="F5F1E8"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0.043512</w:t>
            </w:r>
          </w:p>
        </w:tc>
        <w:tc>
          <w:tcPr>
            <w:tcW w:type="dxa" w:w="1760"/>
            <w:shd w:fill="F5F1E8" w:val="clear"/>
            <w:tcMar>
              <w:top w:type="dxa" w:w="30"/>
              <w:left w:type="dxa" w:w="80"/>
              <w:bottom w:type="dxa" w:w="30"/>
              <w:right w:type="dxa" w:w="80"/>
            </w:tcMar>
          </w:tcPr>
          <w:p>
            <w:pPr>
              <w:jc w:val="center"/>
            </w:pPr>
            <w:r>
              <w:rPr>
                <w:rFonts w:ascii="Calibri" w:cs="Calibri" w:eastAsia="Calibri" w:hAnsi="Calibri"/>
                <w:b w:val="false"/>
                <w:bCs w:val="false"/>
                <w:color w:val="1C1B1A"/>
                <w:sz w:val="18"/>
                <w:szCs w:val="18"/>
              </w:rPr>
              <w:t xml:space="preserve">&lt; 1×10⁻⁶ %</w:t>
            </w:r>
          </w:p>
        </w:tc>
      </w:tr>
      <w:tr>
        <w:tc>
          <w:tcPr>
            <w:tcW w:type="dxa" w:w="2500"/>
            <w:shd w:fill="FFFFFF" w:val="clear"/>
            <w:tcMar>
              <w:top w:type="dxa" w:w="30"/>
              <w:left w:type="dxa" w:w="80"/>
              <w:bottom w:type="dxa" w:w="30"/>
              <w:right w:type="dxa" w:w="80"/>
            </w:tcMar>
          </w:tcPr>
          <w:p>
            <w:r>
              <w:rPr>
                <w:rFonts w:ascii="Calibri" w:cs="Calibri" w:eastAsia="Calibri" w:hAnsi="Calibri"/>
                <w:b/>
                <w:bCs/>
                <w:color w:val="1C1B1A"/>
                <w:sz w:val="18"/>
                <w:szCs w:val="18"/>
              </w:rPr>
              <w:t xml:space="preserve">T1 (K·m/W)</w:t>
            </w:r>
          </w:p>
        </w:tc>
        <w:tc>
          <w:tcPr>
            <w:tcW w:type="dxa" w:w="900"/>
            <w:shd w:fill="FFFFFF" w:val="clear"/>
            <w:tcMar>
              <w:top w:type="dxa" w:w="30"/>
              <w:left w:type="dxa" w:w="80"/>
              <w:bottom w:type="dxa" w:w="30"/>
              <w:right w:type="dxa" w:w="80"/>
            </w:tcMar>
          </w:tcPr>
          <w:p>
            <w:pPr>
              <w:jc w:val="center"/>
            </w:pPr>
            <w:r>
              <w:rPr>
                <w:rFonts w:ascii="Calibri" w:cs="Calibri" w:eastAsia="Calibri" w:hAnsi="Calibri"/>
                <w:b w:val="false"/>
                <w:bCs w:val="false"/>
                <w:color w:val="555555"/>
                <w:sz w:val="18"/>
                <w:szCs w:val="18"/>
              </w:rPr>
              <w:t xml:space="preserve">IEC</w:t>
            </w:r>
          </w:p>
        </w:tc>
        <w:tc>
          <w:tcPr>
            <w:tcW w:type="dxa" w:w="2100"/>
            <w:shd w:fill="FFFFFF"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0.411032</w:t>
            </w:r>
          </w:p>
        </w:tc>
        <w:tc>
          <w:tcPr>
            <w:tcW w:type="dxa" w:w="2100"/>
            <w:shd w:fill="FFFFFF"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0.411032</w:t>
            </w:r>
          </w:p>
        </w:tc>
        <w:tc>
          <w:tcPr>
            <w:tcW w:type="dxa" w:w="1760"/>
            <w:shd w:fill="FFFFFF" w:val="clear"/>
            <w:tcMar>
              <w:top w:type="dxa" w:w="30"/>
              <w:left w:type="dxa" w:w="80"/>
              <w:bottom w:type="dxa" w:w="30"/>
              <w:right w:type="dxa" w:w="80"/>
            </w:tcMar>
          </w:tcPr>
          <w:p>
            <w:pPr>
              <w:jc w:val="center"/>
            </w:pPr>
            <w:r>
              <w:rPr>
                <w:rFonts w:ascii="Calibri" w:cs="Calibri" w:eastAsia="Calibri" w:hAnsi="Calibri"/>
                <w:b w:val="false"/>
                <w:bCs w:val="false"/>
                <w:color w:val="1C1B1A"/>
                <w:sz w:val="18"/>
                <w:szCs w:val="18"/>
              </w:rPr>
              <w:t xml:space="preserve">&lt; 1×10⁻⁶ %</w:t>
            </w:r>
          </w:p>
        </w:tc>
      </w:tr>
      <w:tr>
        <w:tc>
          <w:tcPr>
            <w:tcW w:type="dxa" w:w="2500"/>
            <w:shd w:fill="F5F1E8" w:val="clear"/>
            <w:tcMar>
              <w:top w:type="dxa" w:w="30"/>
              <w:left w:type="dxa" w:w="80"/>
              <w:bottom w:type="dxa" w:w="30"/>
              <w:right w:type="dxa" w:w="80"/>
            </w:tcMar>
          </w:tcPr>
          <w:p>
            <w:r>
              <w:rPr>
                <w:rFonts w:ascii="Calibri" w:cs="Calibri" w:eastAsia="Calibri" w:hAnsi="Calibri"/>
                <w:b/>
                <w:bCs/>
                <w:color w:val="1C1B1A"/>
                <w:sz w:val="18"/>
                <w:szCs w:val="18"/>
              </w:rPr>
              <w:t xml:space="preserve">T3 (K·m/W)</w:t>
            </w:r>
          </w:p>
        </w:tc>
        <w:tc>
          <w:tcPr>
            <w:tcW w:type="dxa" w:w="900"/>
            <w:shd w:fill="F5F1E8" w:val="clear"/>
            <w:tcMar>
              <w:top w:type="dxa" w:w="30"/>
              <w:left w:type="dxa" w:w="80"/>
              <w:bottom w:type="dxa" w:w="30"/>
              <w:right w:type="dxa" w:w="80"/>
            </w:tcMar>
          </w:tcPr>
          <w:p>
            <w:pPr>
              <w:jc w:val="center"/>
            </w:pPr>
            <w:r>
              <w:rPr>
                <w:rFonts w:ascii="Calibri" w:cs="Calibri" w:eastAsia="Calibri" w:hAnsi="Calibri"/>
                <w:b w:val="false"/>
                <w:bCs w:val="false"/>
                <w:color w:val="555555"/>
                <w:sz w:val="18"/>
                <w:szCs w:val="18"/>
              </w:rPr>
              <w:t xml:space="preserve">IEC</w:t>
            </w:r>
          </w:p>
        </w:tc>
        <w:tc>
          <w:tcPr>
            <w:tcW w:type="dxa" w:w="2100"/>
            <w:shd w:fill="F5F1E8"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0.124194</w:t>
            </w:r>
          </w:p>
        </w:tc>
        <w:tc>
          <w:tcPr>
            <w:tcW w:type="dxa" w:w="2100"/>
            <w:shd w:fill="F5F1E8"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0.124194</w:t>
            </w:r>
          </w:p>
        </w:tc>
        <w:tc>
          <w:tcPr>
            <w:tcW w:type="dxa" w:w="1760"/>
            <w:shd w:fill="F5F1E8" w:val="clear"/>
            <w:tcMar>
              <w:top w:type="dxa" w:w="30"/>
              <w:left w:type="dxa" w:w="80"/>
              <w:bottom w:type="dxa" w:w="30"/>
              <w:right w:type="dxa" w:w="80"/>
            </w:tcMar>
          </w:tcPr>
          <w:p>
            <w:pPr>
              <w:jc w:val="center"/>
            </w:pPr>
            <w:r>
              <w:rPr>
                <w:rFonts w:ascii="Calibri" w:cs="Calibri" w:eastAsia="Calibri" w:hAnsi="Calibri"/>
                <w:b w:val="false"/>
                <w:bCs w:val="false"/>
                <w:color w:val="1C1B1A"/>
                <w:sz w:val="18"/>
                <w:szCs w:val="18"/>
              </w:rPr>
              <w:t xml:space="preserve">&lt; 1×10⁻⁶ %</w:t>
            </w:r>
          </w:p>
        </w:tc>
      </w:tr>
      <w:tr>
        <w:tc>
          <w:tcPr>
            <w:tcW w:type="dxa" w:w="2500"/>
            <w:shd w:fill="FFFFFF" w:val="clear"/>
            <w:tcMar>
              <w:top w:type="dxa" w:w="30"/>
              <w:left w:type="dxa" w:w="80"/>
              <w:bottom w:type="dxa" w:w="30"/>
              <w:right w:type="dxa" w:w="80"/>
            </w:tcMar>
          </w:tcPr>
          <w:p>
            <w:r>
              <w:rPr>
                <w:rFonts w:ascii="Calibri" w:cs="Calibri" w:eastAsia="Calibri" w:hAnsi="Calibri"/>
                <w:b/>
                <w:bCs/>
                <w:color w:val="1C1B1A"/>
                <w:sz w:val="18"/>
                <w:szCs w:val="18"/>
              </w:rPr>
              <w:t xml:space="preserve">T4 (K·m/W)</w:t>
            </w:r>
          </w:p>
        </w:tc>
        <w:tc>
          <w:tcPr>
            <w:tcW w:type="dxa" w:w="900"/>
            <w:shd w:fill="FFFFFF" w:val="clear"/>
            <w:tcMar>
              <w:top w:type="dxa" w:w="30"/>
              <w:left w:type="dxa" w:w="80"/>
              <w:bottom w:type="dxa" w:w="30"/>
              <w:right w:type="dxa" w:w="80"/>
            </w:tcMar>
          </w:tcPr>
          <w:p>
            <w:pPr>
              <w:jc w:val="center"/>
            </w:pPr>
            <w:r>
              <w:rPr>
                <w:rFonts w:ascii="Calibri" w:cs="Calibri" w:eastAsia="Calibri" w:hAnsi="Calibri"/>
                <w:b w:val="false"/>
                <w:bCs w:val="false"/>
                <w:color w:val="555555"/>
                <w:sz w:val="18"/>
                <w:szCs w:val="18"/>
              </w:rPr>
              <w:t xml:space="preserve">IEC</w:t>
            </w:r>
          </w:p>
        </w:tc>
        <w:tc>
          <w:tcPr>
            <w:tcW w:type="dxa" w:w="2100"/>
            <w:shd w:fill="FFFFFF"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1.852497</w:t>
            </w:r>
          </w:p>
        </w:tc>
        <w:tc>
          <w:tcPr>
            <w:tcW w:type="dxa" w:w="2100"/>
            <w:shd w:fill="FFFFFF"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1.852497</w:t>
            </w:r>
          </w:p>
        </w:tc>
        <w:tc>
          <w:tcPr>
            <w:tcW w:type="dxa" w:w="1760"/>
            <w:shd w:fill="FFFFFF" w:val="clear"/>
            <w:tcMar>
              <w:top w:type="dxa" w:w="30"/>
              <w:left w:type="dxa" w:w="80"/>
              <w:bottom w:type="dxa" w:w="30"/>
              <w:right w:type="dxa" w:w="80"/>
            </w:tcMar>
          </w:tcPr>
          <w:p>
            <w:pPr>
              <w:jc w:val="center"/>
            </w:pPr>
            <w:r>
              <w:rPr>
                <w:rFonts w:ascii="Calibri" w:cs="Calibri" w:eastAsia="Calibri" w:hAnsi="Calibri"/>
                <w:b w:val="false"/>
                <w:bCs w:val="false"/>
                <w:color w:val="1C1B1A"/>
                <w:sz w:val="18"/>
                <w:szCs w:val="18"/>
              </w:rPr>
              <w:t xml:space="preserve">&lt; 1×10⁻⁶ %</w:t>
            </w:r>
          </w:p>
        </w:tc>
      </w:tr>
      <w:tr>
        <w:tc>
          <w:tcPr>
            <w:tcW w:type="dxa" w:w="2500"/>
            <w:shd w:fill="F5F1E8" w:val="clear"/>
            <w:tcMar>
              <w:top w:type="dxa" w:w="30"/>
              <w:left w:type="dxa" w:w="80"/>
              <w:bottom w:type="dxa" w:w="30"/>
              <w:right w:type="dxa" w:w="80"/>
            </w:tcMar>
          </w:tcPr>
          <w:p>
            <w:r>
              <w:rPr>
                <w:rFonts w:ascii="Calibri" w:cs="Calibri" w:eastAsia="Calibri" w:hAnsi="Calibri"/>
                <w:b/>
                <w:bCs/>
                <w:color w:val="1C1B1A"/>
                <w:sz w:val="18"/>
                <w:szCs w:val="18"/>
              </w:rPr>
              <w:t xml:space="preserve">I (A)</w:t>
            </w:r>
          </w:p>
        </w:tc>
        <w:tc>
          <w:tcPr>
            <w:tcW w:type="dxa" w:w="900"/>
            <w:shd w:fill="F5F1E8" w:val="clear"/>
            <w:tcMar>
              <w:top w:type="dxa" w:w="30"/>
              <w:left w:type="dxa" w:w="80"/>
              <w:bottom w:type="dxa" w:w="30"/>
              <w:right w:type="dxa" w:w="80"/>
            </w:tcMar>
          </w:tcPr>
          <w:p>
            <w:pPr>
              <w:jc w:val="center"/>
            </w:pPr>
            <w:r>
              <w:rPr>
                <w:rFonts w:ascii="Calibri" w:cs="Calibri" w:eastAsia="Calibri" w:hAnsi="Calibri"/>
                <w:b w:val="false"/>
                <w:bCs w:val="false"/>
                <w:color w:val="555555"/>
                <w:sz w:val="18"/>
                <w:szCs w:val="18"/>
              </w:rPr>
              <w:t xml:space="preserve">IEC</w:t>
            </w:r>
          </w:p>
        </w:tc>
        <w:tc>
          <w:tcPr>
            <w:tcW w:type="dxa" w:w="2100"/>
            <w:shd w:fill="F5F1E8"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537.46311</w:t>
            </w:r>
          </w:p>
        </w:tc>
        <w:tc>
          <w:tcPr>
            <w:tcW w:type="dxa" w:w="2100"/>
            <w:shd w:fill="F5F1E8"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537.46311</w:t>
            </w:r>
          </w:p>
        </w:tc>
        <w:tc>
          <w:tcPr>
            <w:tcW w:type="dxa" w:w="1760"/>
            <w:shd w:fill="F5F1E8" w:val="clear"/>
            <w:tcMar>
              <w:top w:type="dxa" w:w="30"/>
              <w:left w:type="dxa" w:w="80"/>
              <w:bottom w:type="dxa" w:w="30"/>
              <w:right w:type="dxa" w:w="80"/>
            </w:tcMar>
          </w:tcPr>
          <w:p>
            <w:pPr>
              <w:jc w:val="center"/>
            </w:pPr>
            <w:r>
              <w:rPr>
                <w:rFonts w:ascii="Calibri" w:cs="Calibri" w:eastAsia="Calibri" w:hAnsi="Calibri"/>
                <w:b w:val="false"/>
                <w:bCs w:val="false"/>
                <w:color w:val="1C1B1A"/>
                <w:sz w:val="18"/>
                <w:szCs w:val="18"/>
              </w:rPr>
              <w:t xml:space="preserve">&lt; 1×10⁻⁶ %</w:t>
            </w:r>
          </w:p>
        </w:tc>
      </w:tr>
    </w:tbl>
    <w:p>
      <w:pPr>
        <w:spacing w:after="120" w:before="60"/>
      </w:pPr>
      <w:r>
        <w:rPr>
          <w:rFonts w:ascii="Calibri" w:cs="Calibri" w:eastAsia="Calibri" w:hAnsi="Calibri"/>
          <w:b/>
          <w:bCs/>
          <w:color w:val="1C1B1A"/>
          <w:sz w:val="20"/>
          <w:szCs w:val="20"/>
        </w:rPr>
        <w:t xml:space="preserve">Result: PASS — 10 / 10 quantities, including the final rating of 537.46 A.</w:t>
      </w:r>
    </w:p>
    <w:p>
      <w:pPr>
        <w:pStyle w:val="Heading2"/>
        <w:spacing w:after="80" w:before="180"/>
      </w:pPr>
      <w:r>
        <w:rPr>
          <w:rFonts w:ascii="Calibri" w:cs="Calibri" w:eastAsia="Calibri" w:hAnsi="Calibri"/>
          <w:b/>
          <w:bCs/>
          <w:color w:val="1C1B1A"/>
          <w:sz w:val="24"/>
          <w:szCs w:val="24"/>
        </w:rPr>
        <w:t xml:space="preserve">5.2  Case 1 — 132 kV trefoil (IEC 60287 loss core)</w:t>
      </w:r>
    </w:p>
    <w:p>
      <w:pPr>
        <w:spacing w:after="120" w:line="276"/>
      </w:pPr>
      <w:r>
        <w:rPr>
          <w:rFonts w:ascii="Calibri" w:cs="Calibri" w:eastAsia="Calibri" w:hAnsi="Calibri"/>
          <w:color w:val="1C1B1A"/>
          <w:sz w:val="21"/>
          <w:szCs w:val="21"/>
        </w:rPr>
        <w:t xml:space="preserve">Acceptance threshold 0.05 %. EMBR’s conductor-loss engine reproduces the published values to the full published precision.</w:t>
      </w:r>
    </w:p>
    <w:tbl>
      <w:tblPr>
        <w:tblW w:type="dxa" w:w="9360"/>
        <w:tblBorders>
          <w:top w:val="single" w:color="D9CDb0" w:sz="2"/>
          <w:left w:val="none"/>
          <w:bottom w:val="single" w:color="D9CDB0" w:sz="2"/>
          <w:right w:val="none"/>
          <w:insideH w:val="single" w:color="E7DEC8" w:sz="1"/>
          <w:insideV w:val="none"/>
        </w:tblBorders>
      </w:tblPr>
      <w:tblGrid>
        <w:gridCol w:w="2500"/>
        <w:gridCol w:w="900"/>
        <w:gridCol w:w="2100"/>
        <w:gridCol w:w="2100"/>
        <w:gridCol w:w="1760"/>
      </w:tblGrid>
      <w:tr>
        <w:trPr>
          <w:tblHeader/>
        </w:trPr>
        <w:tc>
          <w:tcPr>
            <w:tcW w:type="auto" w:w="0"/>
            <w:shd w:fill="C8860A" w:val="clear"/>
            <w:tcMar>
              <w:top w:type="dxa" w:w="40"/>
              <w:left w:type="dxa" w:w="80"/>
              <w:bottom w:type="dxa" w:w="40"/>
              <w:right w:type="dxa" w:w="80"/>
            </w:tcMar>
          </w:tcPr>
          <w:p>
            <w:r>
              <w:rPr>
                <w:rFonts w:ascii="Calibri" w:cs="Calibri" w:eastAsia="Calibri" w:hAnsi="Calibri"/>
                <w:b/>
                <w:bCs/>
                <w:color w:val="FFFFFF"/>
                <w:sz w:val="18"/>
                <w:szCs w:val="18"/>
              </w:rPr>
              <w:t xml:space="preserve">Quantity</w:t>
            </w:r>
          </w:p>
        </w:tc>
        <w:tc>
          <w:tcPr>
            <w:tcW w:type="auto" w:w="0"/>
            <w:shd w:fill="C8860A" w:val="clear"/>
            <w:tcMar>
              <w:top w:type="dxa" w:w="40"/>
              <w:left w:type="dxa" w:w="80"/>
              <w:bottom w:type="dxa" w:w="40"/>
              <w:right w:type="dxa" w:w="80"/>
            </w:tcMar>
          </w:tcPr>
          <w:p>
            <w:r>
              <w:rPr>
                <w:rFonts w:ascii="Calibri" w:cs="Calibri" w:eastAsia="Calibri" w:hAnsi="Calibri"/>
                <w:b/>
                <w:bCs/>
                <w:color w:val="FFFFFF"/>
                <w:sz w:val="18"/>
                <w:szCs w:val="18"/>
              </w:rPr>
              <w:t xml:space="preserve">Source</w:t>
            </w:r>
          </w:p>
        </w:tc>
        <w:tc>
          <w:tcPr>
            <w:tcW w:type="auto" w:w="0"/>
            <w:shd w:fill="C8860A" w:val="clear"/>
            <w:tcMar>
              <w:top w:type="dxa" w:w="40"/>
              <w:left w:type="dxa" w:w="80"/>
              <w:bottom w:type="dxa" w:w="40"/>
              <w:right w:type="dxa" w:w="80"/>
            </w:tcMar>
          </w:tcPr>
          <w:p>
            <w:r>
              <w:rPr>
                <w:rFonts w:ascii="Calibri" w:cs="Calibri" w:eastAsia="Calibri" w:hAnsi="Calibri"/>
                <w:b/>
                <w:bCs/>
                <w:color w:val="FFFFFF"/>
                <w:sz w:val="18"/>
                <w:szCs w:val="18"/>
              </w:rPr>
              <w:t xml:space="preserve">EMBR</w:t>
            </w:r>
          </w:p>
        </w:tc>
        <w:tc>
          <w:tcPr>
            <w:tcW w:type="auto" w:w="0"/>
            <w:shd w:fill="C8860A" w:val="clear"/>
            <w:tcMar>
              <w:top w:type="dxa" w:w="40"/>
              <w:left w:type="dxa" w:w="80"/>
              <w:bottom w:type="dxa" w:w="40"/>
              <w:right w:type="dxa" w:w="80"/>
            </w:tcMar>
          </w:tcPr>
          <w:p>
            <w:r>
              <w:rPr>
                <w:rFonts w:ascii="Calibri" w:cs="Calibri" w:eastAsia="Calibri" w:hAnsi="Calibri"/>
                <w:b/>
                <w:bCs/>
                <w:color w:val="FFFFFF"/>
                <w:sz w:val="18"/>
                <w:szCs w:val="18"/>
              </w:rPr>
              <w:t xml:space="preserve">TB 880</w:t>
            </w:r>
          </w:p>
        </w:tc>
        <w:tc>
          <w:tcPr>
            <w:tcW w:type="auto" w:w="0"/>
            <w:shd w:fill="C8860A" w:val="clear"/>
            <w:tcMar>
              <w:top w:type="dxa" w:w="40"/>
              <w:left w:type="dxa" w:w="80"/>
              <w:bottom w:type="dxa" w:w="40"/>
              <w:right w:type="dxa" w:w="80"/>
            </w:tcMar>
          </w:tcPr>
          <w:p>
            <w:r>
              <w:rPr>
                <w:rFonts w:ascii="Calibri" w:cs="Calibri" w:eastAsia="Calibri" w:hAnsi="Calibri"/>
                <w:b/>
                <w:bCs/>
                <w:color w:val="FFFFFF"/>
                <w:sz w:val="18"/>
                <w:szCs w:val="18"/>
              </w:rPr>
              <w:t xml:space="preserve">Difference</w:t>
            </w:r>
          </w:p>
        </w:tc>
      </w:tr>
      <w:tr>
        <w:tc>
          <w:tcPr>
            <w:tcW w:type="dxa" w:w="2500"/>
            <w:shd w:fill="FFFFFF" w:val="clear"/>
            <w:tcMar>
              <w:top w:type="dxa" w:w="30"/>
              <w:left w:type="dxa" w:w="80"/>
              <w:bottom w:type="dxa" w:w="30"/>
              <w:right w:type="dxa" w:w="80"/>
            </w:tcMar>
          </w:tcPr>
          <w:p>
            <w:r>
              <w:rPr>
                <w:rFonts w:ascii="Calibri" w:cs="Calibri" w:eastAsia="Calibri" w:hAnsi="Calibri"/>
                <w:b/>
                <w:bCs/>
                <w:color w:val="1C1B1A"/>
                <w:sz w:val="18"/>
                <w:szCs w:val="18"/>
              </w:rPr>
              <w:t xml:space="preserve">R' (Ω/m)</w:t>
            </w:r>
          </w:p>
        </w:tc>
        <w:tc>
          <w:tcPr>
            <w:tcW w:type="dxa" w:w="900"/>
            <w:shd w:fill="FFFFFF" w:val="clear"/>
            <w:tcMar>
              <w:top w:type="dxa" w:w="30"/>
              <w:left w:type="dxa" w:w="80"/>
              <w:bottom w:type="dxa" w:w="30"/>
              <w:right w:type="dxa" w:w="80"/>
            </w:tcMar>
          </w:tcPr>
          <w:p>
            <w:pPr>
              <w:jc w:val="center"/>
            </w:pPr>
            <w:r>
              <w:rPr>
                <w:rFonts w:ascii="Calibri" w:cs="Calibri" w:eastAsia="Calibri" w:hAnsi="Calibri"/>
                <w:b w:val="false"/>
                <w:bCs w:val="false"/>
                <w:color w:val="555555"/>
                <w:sz w:val="18"/>
                <w:szCs w:val="18"/>
              </w:rPr>
              <w:t xml:space="preserve">IEC</w:t>
            </w:r>
          </w:p>
        </w:tc>
        <w:tc>
          <w:tcPr>
            <w:tcW w:type="dxa" w:w="2100"/>
            <w:shd w:fill="FFFFFF"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1.92540×10⁻⁵</w:t>
            </w:r>
          </w:p>
        </w:tc>
        <w:tc>
          <w:tcPr>
            <w:tcW w:type="dxa" w:w="2100"/>
            <w:shd w:fill="FFFFFF"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1.92540×10⁻⁵</w:t>
            </w:r>
          </w:p>
        </w:tc>
        <w:tc>
          <w:tcPr>
            <w:tcW w:type="dxa" w:w="1760"/>
            <w:shd w:fill="FFFFFF" w:val="clear"/>
            <w:tcMar>
              <w:top w:type="dxa" w:w="30"/>
              <w:left w:type="dxa" w:w="80"/>
              <w:bottom w:type="dxa" w:w="30"/>
              <w:right w:type="dxa" w:w="80"/>
            </w:tcMar>
          </w:tcPr>
          <w:p>
            <w:pPr>
              <w:jc w:val="center"/>
            </w:pPr>
            <w:r>
              <w:rPr>
                <w:rFonts w:ascii="Calibri" w:cs="Calibri" w:eastAsia="Calibri" w:hAnsi="Calibri"/>
                <w:b w:val="false"/>
                <w:bCs w:val="false"/>
                <w:color w:val="1C1B1A"/>
                <w:sz w:val="18"/>
                <w:szCs w:val="18"/>
              </w:rPr>
              <w:t xml:space="preserve">&lt; 1×10⁻⁶ %</w:t>
            </w:r>
          </w:p>
        </w:tc>
      </w:tr>
      <w:tr>
        <w:tc>
          <w:tcPr>
            <w:tcW w:type="dxa" w:w="2500"/>
            <w:shd w:fill="F5F1E8" w:val="clear"/>
            <w:tcMar>
              <w:top w:type="dxa" w:w="30"/>
              <w:left w:type="dxa" w:w="80"/>
              <w:bottom w:type="dxa" w:w="30"/>
              <w:right w:type="dxa" w:w="80"/>
            </w:tcMar>
          </w:tcPr>
          <w:p>
            <w:r>
              <w:rPr>
                <w:rFonts w:ascii="Calibri" w:cs="Calibri" w:eastAsia="Calibri" w:hAnsi="Calibri"/>
                <w:b/>
                <w:bCs/>
                <w:color w:val="1C1B1A"/>
                <w:sz w:val="18"/>
                <w:szCs w:val="18"/>
              </w:rPr>
              <w:t xml:space="preserve">y_s</w:t>
            </w:r>
          </w:p>
        </w:tc>
        <w:tc>
          <w:tcPr>
            <w:tcW w:type="dxa" w:w="900"/>
            <w:shd w:fill="F5F1E8" w:val="clear"/>
            <w:tcMar>
              <w:top w:type="dxa" w:w="30"/>
              <w:left w:type="dxa" w:w="80"/>
              <w:bottom w:type="dxa" w:w="30"/>
              <w:right w:type="dxa" w:w="80"/>
            </w:tcMar>
          </w:tcPr>
          <w:p>
            <w:pPr>
              <w:jc w:val="center"/>
            </w:pPr>
            <w:r>
              <w:rPr>
                <w:rFonts w:ascii="Calibri" w:cs="Calibri" w:eastAsia="Calibri" w:hAnsi="Calibri"/>
                <w:b w:val="false"/>
                <w:bCs w:val="false"/>
                <w:color w:val="C8860A"/>
                <w:sz w:val="18"/>
                <w:szCs w:val="18"/>
              </w:rPr>
              <w:t xml:space="preserve">EMBR</w:t>
            </w:r>
          </w:p>
        </w:tc>
        <w:tc>
          <w:tcPr>
            <w:tcW w:type="dxa" w:w="2100"/>
            <w:shd w:fill="F5F1E8"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0.127506</w:t>
            </w:r>
          </w:p>
        </w:tc>
        <w:tc>
          <w:tcPr>
            <w:tcW w:type="dxa" w:w="2100"/>
            <w:shd w:fill="F5F1E8"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0.127506</w:t>
            </w:r>
          </w:p>
        </w:tc>
        <w:tc>
          <w:tcPr>
            <w:tcW w:type="dxa" w:w="1760"/>
            <w:shd w:fill="F5F1E8" w:val="clear"/>
            <w:tcMar>
              <w:top w:type="dxa" w:w="30"/>
              <w:left w:type="dxa" w:w="80"/>
              <w:bottom w:type="dxa" w:w="30"/>
              <w:right w:type="dxa" w:w="80"/>
            </w:tcMar>
          </w:tcPr>
          <w:p>
            <w:pPr>
              <w:jc w:val="center"/>
            </w:pPr>
            <w:r>
              <w:rPr>
                <w:rFonts w:ascii="Calibri" w:cs="Calibri" w:eastAsia="Calibri" w:hAnsi="Calibri"/>
                <w:b w:val="false"/>
                <w:bCs w:val="false"/>
                <w:color w:val="1C1B1A"/>
                <w:sz w:val="18"/>
                <w:szCs w:val="18"/>
              </w:rPr>
              <w:t xml:space="preserve">&lt; 1×10⁻⁶ %</w:t>
            </w:r>
          </w:p>
        </w:tc>
      </w:tr>
      <w:tr>
        <w:tc>
          <w:tcPr>
            <w:tcW w:type="dxa" w:w="2500"/>
            <w:shd w:fill="FFFFFF" w:val="clear"/>
            <w:tcMar>
              <w:top w:type="dxa" w:w="30"/>
              <w:left w:type="dxa" w:w="80"/>
              <w:bottom w:type="dxa" w:w="30"/>
              <w:right w:type="dxa" w:w="80"/>
            </w:tcMar>
          </w:tcPr>
          <w:p>
            <w:r>
              <w:rPr>
                <w:rFonts w:ascii="Calibri" w:cs="Calibri" w:eastAsia="Calibri" w:hAnsi="Calibri"/>
                <w:b/>
                <w:bCs/>
                <w:color w:val="1C1B1A"/>
                <w:sz w:val="18"/>
                <w:szCs w:val="18"/>
              </w:rPr>
              <w:t xml:space="preserve">y_p</w:t>
            </w:r>
          </w:p>
        </w:tc>
        <w:tc>
          <w:tcPr>
            <w:tcW w:type="dxa" w:w="900"/>
            <w:shd w:fill="FFFFFF" w:val="clear"/>
            <w:tcMar>
              <w:top w:type="dxa" w:w="30"/>
              <w:left w:type="dxa" w:w="80"/>
              <w:bottom w:type="dxa" w:w="30"/>
              <w:right w:type="dxa" w:w="80"/>
            </w:tcMar>
          </w:tcPr>
          <w:p>
            <w:pPr>
              <w:jc w:val="center"/>
            </w:pPr>
            <w:r>
              <w:rPr>
                <w:rFonts w:ascii="Calibri" w:cs="Calibri" w:eastAsia="Calibri" w:hAnsi="Calibri"/>
                <w:b w:val="false"/>
                <w:bCs w:val="false"/>
                <w:color w:val="C8860A"/>
                <w:sz w:val="18"/>
                <w:szCs w:val="18"/>
              </w:rPr>
              <w:t xml:space="preserve">EMBR</w:t>
            </w:r>
          </w:p>
        </w:tc>
        <w:tc>
          <w:tcPr>
            <w:tcW w:type="dxa" w:w="2100"/>
            <w:shd w:fill="FFFFFF"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0.022931</w:t>
            </w:r>
          </w:p>
        </w:tc>
        <w:tc>
          <w:tcPr>
            <w:tcW w:type="dxa" w:w="2100"/>
            <w:shd w:fill="FFFFFF"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0.022931</w:t>
            </w:r>
          </w:p>
        </w:tc>
        <w:tc>
          <w:tcPr>
            <w:tcW w:type="dxa" w:w="1760"/>
            <w:shd w:fill="FFFFFF" w:val="clear"/>
            <w:tcMar>
              <w:top w:type="dxa" w:w="30"/>
              <w:left w:type="dxa" w:w="80"/>
              <w:bottom w:type="dxa" w:w="30"/>
              <w:right w:type="dxa" w:w="80"/>
            </w:tcMar>
          </w:tcPr>
          <w:p>
            <w:pPr>
              <w:jc w:val="center"/>
            </w:pPr>
            <w:r>
              <w:rPr>
                <w:rFonts w:ascii="Calibri" w:cs="Calibri" w:eastAsia="Calibri" w:hAnsi="Calibri"/>
                <w:b w:val="false"/>
                <w:bCs w:val="false"/>
                <w:color w:val="1C1B1A"/>
                <w:sz w:val="18"/>
                <w:szCs w:val="18"/>
              </w:rPr>
              <w:t xml:space="preserve">&lt; 1×10⁻⁶ %</w:t>
            </w:r>
          </w:p>
        </w:tc>
      </w:tr>
      <w:tr>
        <w:tc>
          <w:tcPr>
            <w:tcW w:type="dxa" w:w="2500"/>
            <w:shd w:fill="F5F1E8" w:val="clear"/>
            <w:tcMar>
              <w:top w:type="dxa" w:w="30"/>
              <w:left w:type="dxa" w:w="80"/>
              <w:bottom w:type="dxa" w:w="30"/>
              <w:right w:type="dxa" w:w="80"/>
            </w:tcMar>
          </w:tcPr>
          <w:p>
            <w:r>
              <w:rPr>
                <w:rFonts w:ascii="Calibri" w:cs="Calibri" w:eastAsia="Calibri" w:hAnsi="Calibri"/>
                <w:b/>
                <w:bCs/>
                <w:color w:val="1C1B1A"/>
                <w:sz w:val="18"/>
                <w:szCs w:val="18"/>
              </w:rPr>
              <w:t xml:space="preserve">R_ac (Ω/m)</w:t>
            </w:r>
          </w:p>
        </w:tc>
        <w:tc>
          <w:tcPr>
            <w:tcW w:type="dxa" w:w="900"/>
            <w:shd w:fill="F5F1E8" w:val="clear"/>
            <w:tcMar>
              <w:top w:type="dxa" w:w="30"/>
              <w:left w:type="dxa" w:w="80"/>
              <w:bottom w:type="dxa" w:w="30"/>
              <w:right w:type="dxa" w:w="80"/>
            </w:tcMar>
          </w:tcPr>
          <w:p>
            <w:pPr>
              <w:jc w:val="center"/>
            </w:pPr>
            <w:r>
              <w:rPr>
                <w:rFonts w:ascii="Calibri" w:cs="Calibri" w:eastAsia="Calibri" w:hAnsi="Calibri"/>
                <w:b w:val="false"/>
                <w:bCs w:val="false"/>
                <w:color w:val="C8860A"/>
                <w:sz w:val="18"/>
                <w:szCs w:val="18"/>
              </w:rPr>
              <w:t xml:space="preserve">EMBR</w:t>
            </w:r>
          </w:p>
        </w:tc>
        <w:tc>
          <w:tcPr>
            <w:tcW w:type="dxa" w:w="2100"/>
            <w:shd w:fill="F5F1E8"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2.21505×10⁻⁵</w:t>
            </w:r>
          </w:p>
        </w:tc>
        <w:tc>
          <w:tcPr>
            <w:tcW w:type="dxa" w:w="2100"/>
            <w:shd w:fill="F5F1E8"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2.21505×10⁻⁵</w:t>
            </w:r>
          </w:p>
        </w:tc>
        <w:tc>
          <w:tcPr>
            <w:tcW w:type="dxa" w:w="1760"/>
            <w:shd w:fill="F5F1E8" w:val="clear"/>
            <w:tcMar>
              <w:top w:type="dxa" w:w="30"/>
              <w:left w:type="dxa" w:w="80"/>
              <w:bottom w:type="dxa" w:w="30"/>
              <w:right w:type="dxa" w:w="80"/>
            </w:tcMar>
          </w:tcPr>
          <w:p>
            <w:pPr>
              <w:jc w:val="center"/>
            </w:pPr>
            <w:r>
              <w:rPr>
                <w:rFonts w:ascii="Calibri" w:cs="Calibri" w:eastAsia="Calibri" w:hAnsi="Calibri"/>
                <w:b w:val="false"/>
                <w:bCs w:val="false"/>
                <w:color w:val="1C1B1A"/>
                <w:sz w:val="18"/>
                <w:szCs w:val="18"/>
              </w:rPr>
              <w:t xml:space="preserve">&lt; 1×10⁻⁶ %</w:t>
            </w:r>
          </w:p>
        </w:tc>
      </w:tr>
      <w:tr>
        <w:tc>
          <w:tcPr>
            <w:tcW w:type="dxa" w:w="2500"/>
            <w:shd w:fill="FFFFFF" w:val="clear"/>
            <w:tcMar>
              <w:top w:type="dxa" w:w="30"/>
              <w:left w:type="dxa" w:w="80"/>
              <w:bottom w:type="dxa" w:w="30"/>
              <w:right w:type="dxa" w:w="80"/>
            </w:tcMar>
          </w:tcPr>
          <w:p>
            <w:r>
              <w:rPr>
                <w:rFonts w:ascii="Calibri" w:cs="Calibri" w:eastAsia="Calibri" w:hAnsi="Calibri"/>
                <w:b/>
                <w:bCs/>
                <w:color w:val="1C1B1A"/>
                <w:sz w:val="18"/>
                <w:szCs w:val="18"/>
              </w:rPr>
              <w:t xml:space="preserve">W_d (W/m)</w:t>
            </w:r>
          </w:p>
        </w:tc>
        <w:tc>
          <w:tcPr>
            <w:tcW w:type="dxa" w:w="900"/>
            <w:shd w:fill="FFFFFF" w:val="clear"/>
            <w:tcMar>
              <w:top w:type="dxa" w:w="30"/>
              <w:left w:type="dxa" w:w="80"/>
              <w:bottom w:type="dxa" w:w="30"/>
              <w:right w:type="dxa" w:w="80"/>
            </w:tcMar>
          </w:tcPr>
          <w:p>
            <w:pPr>
              <w:jc w:val="center"/>
            </w:pPr>
            <w:r>
              <w:rPr>
                <w:rFonts w:ascii="Calibri" w:cs="Calibri" w:eastAsia="Calibri" w:hAnsi="Calibri"/>
                <w:b w:val="false"/>
                <w:bCs w:val="false"/>
                <w:color w:val="555555"/>
                <w:sz w:val="18"/>
                <w:szCs w:val="18"/>
              </w:rPr>
              <w:t xml:space="preserve">IEC</w:t>
            </w:r>
          </w:p>
        </w:tc>
        <w:tc>
          <w:tcPr>
            <w:tcW w:type="dxa" w:w="2100"/>
            <w:shd w:fill="FFFFFF"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0.46541</w:t>
            </w:r>
          </w:p>
        </w:tc>
        <w:tc>
          <w:tcPr>
            <w:tcW w:type="dxa" w:w="2100"/>
            <w:shd w:fill="FFFFFF" w:val="clear"/>
            <w:tcMar>
              <w:top w:type="dxa" w:w="30"/>
              <w:left w:type="dxa" w:w="80"/>
              <w:bottom w:type="dxa" w:w="30"/>
              <w:right w:type="dxa" w:w="80"/>
            </w:tcMar>
          </w:tcPr>
          <w:p>
            <w:pPr>
              <w:jc w:val="right"/>
            </w:pPr>
            <w:r>
              <w:rPr>
                <w:rFonts w:ascii="Consolas" w:cs="Consolas" w:eastAsia="Consolas" w:hAnsi="Consolas"/>
                <w:b w:val="false"/>
                <w:bCs w:val="false"/>
                <w:color w:val="1C1B1A"/>
                <w:sz w:val="18"/>
                <w:szCs w:val="18"/>
              </w:rPr>
              <w:t xml:space="preserve">0.46541</w:t>
            </w:r>
          </w:p>
        </w:tc>
        <w:tc>
          <w:tcPr>
            <w:tcW w:type="dxa" w:w="1760"/>
            <w:shd w:fill="FFFFFF" w:val="clear"/>
            <w:tcMar>
              <w:top w:type="dxa" w:w="30"/>
              <w:left w:type="dxa" w:w="80"/>
              <w:bottom w:type="dxa" w:w="30"/>
              <w:right w:type="dxa" w:w="80"/>
            </w:tcMar>
          </w:tcPr>
          <w:p>
            <w:pPr>
              <w:jc w:val="center"/>
            </w:pPr>
            <w:r>
              <w:rPr>
                <w:rFonts w:ascii="Calibri" w:cs="Calibri" w:eastAsia="Calibri" w:hAnsi="Calibri"/>
                <w:b w:val="false"/>
                <w:bCs w:val="false"/>
                <w:color w:val="1C1B1A"/>
                <w:sz w:val="18"/>
                <w:szCs w:val="18"/>
              </w:rPr>
              <w:t xml:space="preserve">&lt; 1×10⁻⁶ %</w:t>
            </w:r>
          </w:p>
        </w:tc>
      </w:tr>
    </w:tbl>
    <w:p>
      <w:pPr>
        <w:spacing w:after="120" w:before="60"/>
      </w:pPr>
      <w:r>
        <w:rPr>
          <w:rFonts w:ascii="Calibri" w:cs="Calibri" w:eastAsia="Calibri" w:hAnsi="Calibri"/>
          <w:b/>
          <w:bCs/>
          <w:color w:val="1C1B1A"/>
          <w:sz w:val="20"/>
          <w:szCs w:val="20"/>
        </w:rPr>
        <w:t xml:space="preserve">Result: PASS — 5 / 5 loss-core quantities.</w:t>
      </w:r>
    </w:p>
    <w:p>
      <w:pPr>
        <w:pStyle w:val="Heading1"/>
        <w:pBdr>
          <w:bottom w:val="single" w:color="C8860A" w:sz="6" w:space="4"/>
        </w:pBdr>
        <w:spacing w:after="120" w:before="260"/>
      </w:pPr>
      <w:r>
        <w:rPr>
          <w:rFonts w:ascii="Calibri" w:cs="Calibri" w:eastAsia="Calibri" w:hAnsi="Calibri"/>
          <w:b/>
          <w:bCs/>
          <w:color w:val="C8860A"/>
          <w:sz w:val="28"/>
          <w:szCs w:val="28"/>
        </w:rPr>
        <w:t xml:space="preserve">6  Relationship to EMBR’s production thermal and shield models</w:t>
      </w:r>
    </w:p>
    <w:p>
      <w:pPr>
        <w:spacing w:after="120" w:line="276"/>
      </w:pPr>
      <w:r>
        <w:rPr>
          <w:rFonts w:ascii="Calibri" w:cs="Calibri" w:eastAsia="Calibri" w:hAnsi="Calibri"/>
          <w:color w:val="1C1B1A"/>
          <w:sz w:val="21"/>
          <w:szCs w:val="21"/>
        </w:rPr>
        <w:t xml:space="preserve">EMBR’s conductor-loss engine — AC resistance via the IEC 60287-1-1 skin- and proximity-effect formulation, together with dielectric loss — is the IEC baseline verbatim, as the [EMBR]-sourced results in §5 confirm to nine significant figures.</w:t>
      </w:r>
    </w:p>
    <w:p>
      <w:pPr>
        <w:spacing w:after="120" w:line="276"/>
      </w:pPr>
      <w:r>
        <w:rPr>
          <w:rFonts w:ascii="Calibri" w:cs="Calibri" w:eastAsia="Calibri" w:hAnsi="Calibri"/>
          <w:color w:val="1C1B1A"/>
          <w:sz w:val="21"/>
          <w:szCs w:val="21"/>
        </w:rPr>
        <w:t xml:space="preserve">EMBR’s external-thermal (T4) and metallic-shield (λ₁) models incorporate documented engineering refinements beyond the IEC baseline, appropriate to real medium-voltage distribution installations: a two-zone dry-out T4 using a Neher–McGrath equivalent-diameter backfill envelope with geometric image-source mutual heating, and a concentric-neutral shield loss factor with helical-lay correction and published literature caps. These refinements are validated separately against Cymcap 8.1 Rev 2 across a 58-scenario matrix (58 of 58 valid scenarios within ±5 %).</w:t>
      </w:r>
    </w:p>
    <w:p>
      <w:pPr>
        <w:spacing w:after="120" w:line="276"/>
      </w:pPr>
      <w:r>
        <w:rPr>
          <w:rFonts w:ascii="Calibri" w:cs="Calibri" w:eastAsia="Calibri" w:hAnsi="Calibri"/>
          <w:color w:val="1C1B1A"/>
          <w:sz w:val="21"/>
          <w:szCs w:val="21"/>
        </w:rPr>
        <w:t xml:space="preserve">For the TB 880 comparison the external thermal resistance was evaluated with the IEC baseline touching-trefoil formula so that a like-for-like comparison against the published values could be made. The exact agreement obtained confirms that EMBR’s underlying thermal machinery is correct and that the production refinements are deliberate modelling choices, not implementation differences.</w:t>
      </w:r>
    </w:p>
    <w:p>
      <w:pPr>
        <w:pStyle w:val="Heading1"/>
        <w:pBdr>
          <w:bottom w:val="single" w:color="C8860A" w:sz="6" w:space="4"/>
        </w:pBdr>
        <w:spacing w:after="120" w:before="260"/>
      </w:pPr>
      <w:r>
        <w:rPr>
          <w:rFonts w:ascii="Calibri" w:cs="Calibri" w:eastAsia="Calibri" w:hAnsi="Calibri"/>
          <w:b/>
          <w:bCs/>
          <w:color w:val="C8860A"/>
          <w:sz w:val="28"/>
          <w:szCs w:val="28"/>
        </w:rPr>
        <w:t xml:space="preserve">7  Conclusion</w:t>
      </w:r>
    </w:p>
    <w:p>
      <w:pPr>
        <w:spacing w:after="120" w:line="276"/>
      </w:pPr>
      <w:r>
        <w:rPr>
          <w:rFonts w:ascii="Calibri" w:cs="Calibri" w:eastAsia="Calibri" w:hAnsi="Calibri"/>
          <w:color w:val="1C1B1A"/>
          <w:sz w:val="21"/>
          <w:szCs w:val="21"/>
        </w:rPr>
        <w:t xml:space="preserve">Within its application domain, EMBR reproduces the CIGRE TB 880 reference examples to the full published precision. The IEC 60287 loss core matches exactly for both applicable cases, and the complete Case 4 current rating (537.46 A) is reproduced to within 5×10</w:t>
      </w:r>
      <w:r>
        <w:rPr>
          <w:rFonts w:ascii="Calibri" w:cs="Calibri" w:eastAsia="Calibri" w:hAnsi="Calibri"/>
          <w:sz w:val="21"/>
          <w:szCs w:val="21"/>
        </w:rPr>
        <w:t xml:space="preserve">⁻¹²</w:t>
      </w:r>
      <w:r>
        <w:rPr>
          <w:rFonts w:ascii="Calibri" w:cs="Calibri" w:eastAsia="Calibri" w:hAnsi="Calibri"/>
          <w:color w:val="1C1B1A"/>
          <w:sz w:val="21"/>
          <w:szCs w:val="21"/>
        </w:rPr>
        <w:t xml:space="preserve"> %. On this basis EMBR’s IEC 60287 implementation is verified as consistent with the CIGRE TB 880 reference for medium-voltage single-core, trefoil, direct-buried cable systems.</w:t>
      </w:r>
    </w:p>
    <w:p>
      <w:pPr>
        <w:pStyle w:val="Heading1"/>
        <w:pBdr>
          <w:bottom w:val="single" w:color="C8860A" w:sz="6" w:space="4"/>
        </w:pBdr>
        <w:spacing w:after="120" w:before="260"/>
      </w:pPr>
      <w:r>
        <w:rPr>
          <w:rFonts w:ascii="Calibri" w:cs="Calibri" w:eastAsia="Calibri" w:hAnsi="Calibri"/>
          <w:b/>
          <w:bCs/>
          <w:color w:val="C8860A"/>
          <w:sz w:val="28"/>
          <w:szCs w:val="28"/>
        </w:rPr>
        <w:t xml:space="preserve">8  References and notes</w:t>
      </w:r>
    </w:p>
    <w:p>
      <w:pPr>
        <w:spacing w:after="120" w:line="276"/>
      </w:pPr>
      <w:r>
        <w:rPr>
          <w:rFonts w:ascii="Calibri" w:cs="Calibri" w:eastAsia="Calibri" w:hAnsi="Calibri"/>
          <w:color w:val="1C1B1A"/>
          <w:sz w:val="21"/>
          <w:szCs w:val="21"/>
        </w:rPr>
        <w:t xml:space="preserve">[1]  CIGRE Technical Brochure 880 (2022), “Power cable rating examples for calculation tool verification”, Working Group B1.56. ISBN 978-2-85873-585-3.</w:t>
      </w:r>
    </w:p>
    <w:p>
      <w:pPr>
        <w:spacing w:after="120" w:line="276"/>
      </w:pPr>
      <w:r>
        <w:rPr>
          <w:rFonts w:ascii="Calibri" w:cs="Calibri" w:eastAsia="Calibri" w:hAnsi="Calibri"/>
          <w:color w:val="1C1B1A"/>
          <w:sz w:val="21"/>
          <w:szCs w:val="21"/>
        </w:rPr>
        <w:t xml:space="preserve">[2]  IEC 60287-1-1, “Electric cables — Calculation of the current rating — Current rating equations (100 % load factor) and calculation of losses.”</w:t>
      </w:r>
    </w:p>
    <w:p>
      <w:pPr>
        <w:spacing w:after="120" w:line="276"/>
      </w:pPr>
      <w:r>
        <w:rPr>
          <w:rFonts w:ascii="Calibri" w:cs="Calibri" w:eastAsia="Calibri" w:hAnsi="Calibri"/>
          <w:color w:val="1C1B1A"/>
          <w:sz w:val="21"/>
          <w:szCs w:val="21"/>
        </w:rPr>
        <w:t xml:space="preserve">[3]  IEC 60287-2-1, “Electric cables — Calculation of the current rating — Thermal resistance.”</w:t>
      </w:r>
    </w:p>
    <w:p>
      <w:pPr>
        <w:spacing w:after="120" w:line="276"/>
      </w:pPr>
      <w:r>
        <w:rPr>
          <w:rFonts w:ascii="Calibri" w:cs="Calibri" w:eastAsia="Calibri" w:hAnsi="Calibri"/>
          <w:color w:val="1C1B1A"/>
          <w:sz w:val="21"/>
          <w:szCs w:val="21"/>
        </w:rPr>
        <w:t xml:space="preserve">[4]  Gridworks EMBR Cymcap 8.1 Rev 2 validation matrix (internal, 62 scenarios).</w:t>
      </w:r>
    </w:p>
    <w:p>
      <w:pPr>
        <w:spacing w:after="120" w:line="276"/>
      </w:pPr>
      <w:r>
        <w:rPr>
          <w:rFonts w:ascii="Calibri" w:cs="Calibri" w:eastAsia="Calibri" w:hAnsi="Calibri"/>
          <w:b/>
          <w:bCs/>
          <w:i/>
          <w:iCs/>
          <w:color w:val="555555"/>
          <w:sz w:val="19"/>
          <w:szCs w:val="19"/>
        </w:rPr>
        <w:t xml:space="preserve">Note on copyright: </w:t>
      </w:r>
      <w:r>
        <w:rPr>
          <w:rFonts w:ascii="Calibri" w:cs="Calibri" w:eastAsia="Calibri" w:hAnsi="Calibri"/>
          <w:i/>
          <w:iCs/>
          <w:color w:val="555555"/>
          <w:sz w:val="19"/>
          <w:szCs w:val="19"/>
        </w:rPr>
        <w:t xml:space="preserve">CIGRE TB 880 is CIGRE copyright. This report embeds only the numeric reference values required for verification, with citation, and does not reproduce the brochure text.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B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EMBR CIGRE TB 880 Verification Report</dc:title>
  <dc:creator>Gridworks EMBR</dc:creator>
  <cp:lastModifiedBy>Un-named</cp:lastModifiedBy>
  <cp:revision>1</cp:revision>
  <dcterms:created xsi:type="dcterms:W3CDTF">2026-07-27T20:50:48.095Z</dcterms:created>
  <dcterms:modified xsi:type="dcterms:W3CDTF">2026-07-27T20:50:48.097Z</dcterms:modified>
</cp:coreProperties>
</file>

<file path=docProps/custom.xml><?xml version="1.0" encoding="utf-8"?>
<Properties xmlns="http://schemas.openxmlformats.org/officeDocument/2006/custom-properties" xmlns:vt="http://schemas.openxmlformats.org/officeDocument/2006/docPropsVTypes"/>
</file>