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مشخصات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دانشجو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عنوان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پروژه</w:t>
      </w:r>
    </w:p>
    <w:p w:rsidR="00000000" w:rsidDel="00000000" w:rsidP="00000000" w:rsidRDefault="00000000" w:rsidRPr="00000000" w14:paraId="00000002">
      <w:pPr>
        <w:bidi w:val="1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خانوادگی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امیرمحمد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پیرحسینلو</w:t>
      </w:r>
    </w:p>
    <w:p w:rsidR="00000000" w:rsidDel="00000000" w:rsidP="00000000" w:rsidRDefault="00000000" w:rsidRPr="00000000" w14:paraId="00000003">
      <w:pPr>
        <w:bidi w:val="1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دانشجویی</w:t>
      </w:r>
      <w:r w:rsidDel="00000000" w:rsidR="00000000" w:rsidRPr="00000000">
        <w:rPr>
          <w:sz w:val="24"/>
          <w:szCs w:val="24"/>
          <w:rtl w:val="1"/>
        </w:rPr>
        <w:t xml:space="preserve">: ۴۰۱۴۴۳۰۲۹</w:t>
      </w:r>
    </w:p>
    <w:p w:rsidR="00000000" w:rsidDel="00000000" w:rsidP="00000000" w:rsidRDefault="00000000" w:rsidRPr="00000000" w14:paraId="00000004">
      <w:pPr>
        <w:bidi w:val="1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عنوان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بررسی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جنبه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مالی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متاورس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خلاصه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فعاليتهاي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انجام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۱۰ </w:t>
      </w:r>
      <w:r w:rsidDel="00000000" w:rsidR="00000000" w:rsidRPr="00000000">
        <w:rPr>
          <w:sz w:val="24"/>
          <w:szCs w:val="24"/>
          <w:rtl w:val="1"/>
        </w:rPr>
        <w:t xml:space="preserve">مقاله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مطالعه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literature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survey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متاورس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ارتباط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تنگاتنگی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مقاله</w:t>
      </w:r>
      <w:r w:rsidDel="00000000" w:rsidR="00000000" w:rsidRPr="00000000">
        <w:rPr>
          <w:sz w:val="24"/>
          <w:szCs w:val="24"/>
          <w:rtl w:val="1"/>
        </w:rPr>
        <w:t xml:space="preserve">‌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مطالعه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خیلی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وسیع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NFT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ICO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Airdrop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موضوعاتی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w:anchor="3zxw5qcvonvc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[4]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متاورس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تهیه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مطالعه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شرح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مطالعات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انجام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متاورس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چهار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متاورس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عبارتند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ICO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Airdrop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NFT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تحقیق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تعدادی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چهار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مطالعه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ادامه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نتایج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ICO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Airdrop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NFT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مقالاتی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مطالعه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عمیقی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نداشتند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ICO</w:t>
      </w:r>
      <w:r w:rsidDel="00000000" w:rsidR="00000000" w:rsidRPr="00000000">
        <w:rPr>
          <w:b w:val="1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سهام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شرکت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IPO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سهام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عمومی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قیمت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خریداران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انگیزه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ICO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فرایند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تفاوت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سهام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رمزارز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شرکت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رمزارز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رمزارز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ICO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استارتاپ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البته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تلگرام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ICO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رمزارز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تفاوت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،‌ </w:t>
      </w:r>
      <w:r w:rsidDel="00000000" w:rsidR="00000000" w:rsidRPr="00000000">
        <w:rPr>
          <w:sz w:val="24"/>
          <w:szCs w:val="24"/>
          <w:rtl w:val="1"/>
        </w:rPr>
        <w:t xml:space="preserve">سازمان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بورس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نیازمند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حسابرسی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پیچیده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استارتاپ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نوپا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ماهیت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توسعه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سریع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ساختار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پیشرفته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دلیل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نتیجه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شرکت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توزیع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0" w:firstLine="0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روش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تامین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مالی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(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ICO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)،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وجود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اینکه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یک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پدیده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جدید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است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یک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روش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بسیار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محبوب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برای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افزایش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سرمایه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برای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استارتاپ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فناوری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تبدیل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شده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است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.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ICO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عنوان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یک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روش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فروش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توکن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نیز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شناخته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شده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اند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زیرا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در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روش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استارتاپ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جدید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فروش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توکن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مجموعه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از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سرمایه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گذاران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افزایش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سرمایه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یابند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.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مکانیزم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جمع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آوری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سرمایه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از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لحاظ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از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پلتفرم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دیجیتال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و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عدم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وجود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میانجی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مالی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شبیه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کمپین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جمع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آوری</w:t>
      </w:r>
      <w:r w:rsidDel="00000000" w:rsidR="00000000" w:rsidRPr="00000000">
        <w:rPr>
          <w:sz w:val="24"/>
          <w:szCs w:val="24"/>
          <w:shd w:fill="fcfcfc" w:val="clear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سرمایه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است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.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حال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آنچه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که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ICO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را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از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سایر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مکانیزم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تأمین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مالی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متمایز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کند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صدور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توکن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رمزنگاری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است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.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توکن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پس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از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صدور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عنوان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روشی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برای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تأمین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مالی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پروژه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ها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به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سرمایه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گذاران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فروخته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می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‌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شوند</w:t>
      </w:r>
      <w:r w:rsidDel="00000000" w:rsidR="00000000" w:rsidRPr="00000000">
        <w:rPr>
          <w:sz w:val="24"/>
          <w:szCs w:val="24"/>
          <w:shd w:fill="fcfcfc" w:val="clear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گروه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رمزارز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رمزنگاری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تقسیم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رمزارزها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پرداخت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استیبل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کوین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تقسیم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رمزنگاری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امنیتی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امنیتی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گاهی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رأی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حالی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خدمات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محصولات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انحصاری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مقاله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مطالعه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عوامل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موثر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خلاصه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شرح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تجاری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1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،‌ </w:t>
      </w:r>
      <w:r w:rsidDel="00000000" w:rsidR="00000000" w:rsidRPr="00000000">
        <w:rPr>
          <w:sz w:val="24"/>
          <w:szCs w:val="24"/>
          <w:rtl w:val="1"/>
        </w:rPr>
        <w:t xml:space="preserve">کیفیت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توانمندی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تیم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آینده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فعالیت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شبکه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اجتماعی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سرمایه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گذاران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ادامه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عوامل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جزئیات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تیم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کیفیت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شاخص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اولیه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تعدادی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مطالعات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رابطه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منتشر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سابقه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تجربه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اعضای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اندازه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کیفیت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مدیریتی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شاخص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کد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منبع</w:t>
      </w:r>
      <w:r w:rsidDel="00000000" w:rsidR="00000000" w:rsidRPr="00000000">
        <w:rPr>
          <w:b w:val="1"/>
          <w:sz w:val="24"/>
          <w:szCs w:val="24"/>
          <w:highlight w:val="white"/>
          <w:vertAlign w:val="superscript"/>
        </w:rPr>
        <w:footnoteReference w:customMarkFollows="0"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حضور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تأثیر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قوی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مثبتی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طرف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افشای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عمومی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فناوری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کپی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شاید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مزیت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رقابتی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نوع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توکن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امتیاز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بالاتری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امنیتی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اختصاص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سایر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رمزارزها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حضور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۹۰٪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مبالغ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جمع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آوری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تشکیل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طرف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امنیتی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۵٪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مبالغ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جمع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آوری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تشکیل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بلاکچین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اتریوم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اولین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قراردادهای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هوشمند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13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غیرمتمرکز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14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اساس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اتریوم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ERC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20)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۸۸.۱٪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مزایای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اتریوم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تعامل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اجزای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تراکنش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اکوسیستم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اتریوم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مبتنی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اتریوم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ظرفیت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فنی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صادر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white paper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سندی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عموم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اجزای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کمپین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نویسندگان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معتقدند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انتشار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کاغذ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سفید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کمپین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ضروری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همراه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کیفیت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مبلغ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جمع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آوری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افزایش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فعالیت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اجتماعی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نظرات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رسانه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اجتماعی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نقش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مهمی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کاهش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ضد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نقیض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اجتماعی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منتشر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روابط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موسسان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تقویت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KYC</w:t>
      </w:r>
      <w:r w:rsidDel="00000000" w:rsidR="00000000" w:rsidRPr="00000000">
        <w:rPr>
          <w:b w:val="1"/>
          <w:sz w:val="24"/>
          <w:szCs w:val="24"/>
          <w:highlight w:val="white"/>
          <w:vertAlign w:val="superscript"/>
        </w:rPr>
        <w:footnoteReference w:customMarkFollows="0"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معنای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هویتی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تعدادی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بشناسند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محدودیت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کاهش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اضافی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افزایش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جمع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آوری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منجر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تحت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تاثیر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سوی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روابط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بلند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موسسان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منجر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رتبه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بندی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سایت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رتبه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بندی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نقش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مهمی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پوشش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گسترده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کمپین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نقادان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منجر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فروش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رتبه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بندی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بالاتر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رتبه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بندی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پایین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بهتری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فروش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احتمال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VC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16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افزایش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یابد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حقوق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گذاران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حقوق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مالکیت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واقع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حقوق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مالکیت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کامل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حفظ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برخی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مشارکت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درآمد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کارآفرین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بخشی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ریسک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منتقل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کاهش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حقوق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کنترلی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حقوق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مالکیت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صریح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کسب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جایزه</w:t>
      </w:r>
      <w:r w:rsidDel="00000000" w:rsidR="00000000" w:rsidRPr="00000000">
        <w:rPr>
          <w:b w:val="1"/>
          <w:sz w:val="24"/>
          <w:szCs w:val="24"/>
          <w:highlight w:val="white"/>
          <w:vertAlign w:val="superscript"/>
        </w:rPr>
        <w:footnoteReference w:customMarkFollows="0"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ساختارهای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جایزه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تشویق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حجم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افزایش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bonus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ریسک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کاهش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کمپین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افزایش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مطالعه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bonus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کمپین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ممکن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علاقه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دچار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ممکن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کیفیت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پایین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کمپین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مطالعات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کمپین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احتمال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جمع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آوری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برسند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کمپین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بلندتر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عدم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اعتماد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صورتی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حداقل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ششم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بودن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کمپین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سهم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موسسان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ها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ارزیابی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جزئیات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درصد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موسسان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کارآفرینان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موفقیت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کسب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سطوح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بالاتر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اعتماد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کسب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درصد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مرتبط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صادر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شده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حداکثر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قرارداد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هوشمند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تعیین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رابطه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مثبتی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میزان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جمع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آوری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کمپین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مطالعات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احتمالا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ً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افزایش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عدم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اطمینان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کسب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مطالعات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هنوز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قطعی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نیستند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احساسات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بازار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نوسان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پذیر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پیچیده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سرعت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ریسک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آگاه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تأسیس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تحت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شرایطی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عدم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اطمینان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ارزهایی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دوره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احساسات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منفی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لیست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کوتاهی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بازدهی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منفی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xiso4ka5p45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مقاله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مطرح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بسنده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خلاصه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موسسان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استارتاپ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سرمایه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گذاران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ذکر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بگیرند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نهایت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ICO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شکست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منجر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Airdrop</w:t>
      </w:r>
      <w:r w:rsidDel="00000000" w:rsidR="00000000" w:rsidRPr="00000000">
        <w:rPr>
          <w:b w:val="1"/>
          <w:sz w:val="24"/>
          <w:szCs w:val="24"/>
          <w:highlight w:val="white"/>
          <w:vertAlign w:val="superscript"/>
        </w:rPr>
        <w:footnoteReference w:customMarkFollows="0" w:id="18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مکانیزم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اقتصادی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برخی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استراتژی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کسب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متعارف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چندجانبه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اشتراکات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خریداران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فروشندگان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شروع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سرد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19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مواجه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عبارت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طرف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اندازه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کافی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مشارکت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نداشته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طرف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منفعتی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نتیجه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گیرد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معمول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استراتژی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سوبسید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طرف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جانبه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تنها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۲۰۱۵، ۲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میلیارد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دلار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سوبسید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رانندگان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مسافران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صرف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معادل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سوبسید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مطرح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تفاوت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استراتژی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ادامه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تفاوت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سوبسیدها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ارزهای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فیات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مقابل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داشتن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حقوق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مالکیت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حکومتی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شبیه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سهام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معمولا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ً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برخلاف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سوبسید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معمولا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ً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مستقیم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وابسته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برخی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اساس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فعالیت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1"/>
        </w:rPr>
        <w:t xml:space="preserve">گذشته</w:t>
      </w:r>
      <w:r w:rsidDel="00000000" w:rsidR="00000000" w:rsidRPr="00000000">
        <w:rPr>
          <w:sz w:val="24"/>
          <w:szCs w:val="24"/>
          <w:highlight w:val="white"/>
          <w:u w:val="singl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u w:val="single"/>
          <w:rtl w:val="1"/>
        </w:rPr>
        <w:t xml:space="preserve">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پروتکل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دلایل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مختلفی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اثرات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سوبسید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نقدینگی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20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متمرکز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21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پذیر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نظارت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حالی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سوبسید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اثرات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ذکر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ندارد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مقاله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۱۲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نهایت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نتیجه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رسیده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بازاریابی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متمرکز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1"/>
        </w:rPr>
        <w:t xml:space="preserve">سازی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اکثر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دسته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bidi w:val="1"/>
        <w:spacing w:after="240" w:before="24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task-based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آوردن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مجموعه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اقدامات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مثال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معامله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staking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نقدینگی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جمله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bidi w:val="1"/>
        <w:spacing w:after="240" w:before="24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retrospective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دسته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خاص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پروتکل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خاص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فعالیت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مثال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اندوخته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اتریوم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مقداری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ادامه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پنج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bidi w:val="1"/>
        <w:spacing w:after="240" w:before="24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Livekeeper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لایوپیر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اشتراک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ویدیویی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متمرکز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محتوای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ویدیویی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مجموعه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transcoder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تماشا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لایوپیر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اتریوم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یعنی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LPT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صحت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سنجی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دوم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22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لایوپیر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۶۳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درصد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مارس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۲۰۱۸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توزیع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حسابی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Ethereum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حداقل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موجودی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۰.۱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ETH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افزایش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تقاضا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شخص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ثالث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توانستند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نمایندگی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حساب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قسمت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کوچکی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دسته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retrospective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گیرد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bidi w:val="1"/>
        <w:spacing w:after="240" w:before="24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Stellar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استلار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دیجیتال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تمرکز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تراکنش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سریع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کارمزد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استلار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۲۰۱۴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federated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Byzantine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agreement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consensus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استلار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انتشار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استلار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XLM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اولین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نوامبر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۲۰۱۸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ژوئیه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۲۰۱۹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۴۰۰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میلیون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XLM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کیف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Blockchain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دوم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سپتامبر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۲۰۱۹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۱۰۰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میلیون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XLM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پیام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رسان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Keybase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مطالب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بازاریابی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بوده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bidi w:val="1"/>
        <w:spacing w:after="240" w:before="24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Uniswap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صرافی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متمرکز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Ethereum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مکانیزم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بازارسازی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خودکار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23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استخر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دارایی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24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کنندگان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نقدینگی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معامله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پروتکل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Uniswap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نوامبر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۲۰۱۸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اولین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۲۰۲۰،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Uniswap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اکوسیستم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مالی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غیرمتمرکز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DeFi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Ethereum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تبدیل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سپتامبر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۲۰۲۰،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SushiSwap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Uniswap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فورک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25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SUSHI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رقیب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Uniswap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تبدیل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Uniswap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فقط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هفت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SushiSwap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تهدید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پاسخ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دهندگان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نقدینگی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کاربرانی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جابجا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دارندگان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توکن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SOCKS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توزیع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bidi w:val="1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Osmosis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۵۰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OSMO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اولیه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توکن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مکانیزم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صدور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6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عبارت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توکن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میلیارد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رسد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ATOM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اقدامات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دادند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bidi w:val="1"/>
        <w:spacing w:after="0" w:afterAutospacing="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staking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bidi w:val="1"/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نقدینگی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bidi w:val="1"/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دادن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bidi w:val="1"/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معامله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based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bidi w:val="1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dYdX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dYdX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صرافی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غیرمتمرکز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اتریوم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امانت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معاملات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مارجین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فعالیت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dYdX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سال</w:t>
      </w:r>
      <w:r w:rsidDel="00000000" w:rsidR="00000000" w:rsidRPr="00000000">
        <w:rPr>
          <w:sz w:val="24"/>
          <w:szCs w:val="24"/>
          <w:rtl w:val="1"/>
        </w:rPr>
        <w:t xml:space="preserve"> ۲۰۱۷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اندازی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سال</w:t>
      </w:r>
      <w:r w:rsidDel="00000000" w:rsidR="00000000" w:rsidRPr="00000000">
        <w:rPr>
          <w:sz w:val="24"/>
          <w:szCs w:val="24"/>
          <w:rtl w:val="1"/>
        </w:rPr>
        <w:t xml:space="preserve"> ۲۰۲۱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بلاکچین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۲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اتریوم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مهاجرت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هزینه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عملیاتی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زنجیره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اتریوم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کاهش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اندازی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dYdX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چهار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اندازی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بنیاد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dYdX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گرفت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توزیع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ترکیبی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retrospective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based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dYdX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dYdX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معاملات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dYdX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بستگی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توکن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28 </w:t>
      </w:r>
      <w:r w:rsidDel="00000000" w:rsidR="00000000" w:rsidRPr="00000000">
        <w:rPr>
          <w:sz w:val="24"/>
          <w:szCs w:val="24"/>
          <w:rtl w:val="1"/>
        </w:rPr>
        <w:t xml:space="preserve">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ایردراپ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معاملات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w:anchor="5b5a5xzbhck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عناوین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فعالیتهای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پیش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بینی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برای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ادامه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مطالعه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مقالات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ساخت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Decentraland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تجربه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متاورس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گزارش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متاورس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Decentraland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اینجا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متاورس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مطالعه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مقاله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یافتم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تحقیق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مشتاقم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مطالعه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کنم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مراجع</w:t>
      </w:r>
    </w:p>
    <w:bookmarkStart w:colFirst="0" w:colLast="0" w:name="xiso4ka5p458" w:id="0"/>
    <w:bookmarkEnd w:id="0"/>
    <w:p w:rsidR="00000000" w:rsidDel="00000000" w:rsidP="00000000" w:rsidRDefault="00000000" w:rsidRPr="00000000" w14:paraId="0000006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[1]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Moxoto, Ana Claudia De, Paulo Melo, and Elias Soukiazes. "Initial Coin Offering (ICO): a systematic review of the literature." (2021).</w:t>
      </w:r>
    </w:p>
    <w:p w:rsidR="00000000" w:rsidDel="00000000" w:rsidP="00000000" w:rsidRDefault="00000000" w:rsidRPr="00000000" w14:paraId="0000006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5b5a5xzbhck0" w:id="1"/>
    <w:bookmarkEnd w:id="1"/>
    <w:p w:rsidR="00000000" w:rsidDel="00000000" w:rsidP="00000000" w:rsidRDefault="00000000" w:rsidRPr="00000000" w14:paraId="0000006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[2]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Allen, Darcy WE, Chris Berg, and Aaron M. Lane. "Why airdrop cryptocurrency tokens?."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Business Research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163 (2023): 113945.</w:t>
      </w:r>
    </w:p>
    <w:p w:rsidR="00000000" w:rsidDel="00000000" w:rsidP="00000000" w:rsidRDefault="00000000" w:rsidRPr="00000000" w14:paraId="0000006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[3]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Kräussl, Roman, and Alessandro Tugnetti. "Non-fungible tokens (NFTs): A review of pricing determinants, applications and opportunities."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Applications and Opportunities (May 17, 2022)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(2022).</w:t>
      </w:r>
    </w:p>
    <w:p w:rsidR="00000000" w:rsidDel="00000000" w:rsidP="00000000" w:rsidRDefault="00000000" w:rsidRPr="00000000" w14:paraId="0000006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3zxw5qcvonvc" w:id="2"/>
    <w:bookmarkEnd w:id="2"/>
    <w:p w:rsidR="00000000" w:rsidDel="00000000" w:rsidP="00000000" w:rsidRDefault="00000000" w:rsidRPr="00000000" w14:paraId="0000006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[4]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Werner, Sam M., et al. "Sok: Decentralized finance (defi)."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arXiv preprint arXiv:2101.08778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(2021).</w:t>
      </w:r>
    </w:p>
    <w:p w:rsidR="00000000" w:rsidDel="00000000" w:rsidP="00000000" w:rsidRDefault="00000000" w:rsidRPr="00000000" w14:paraId="0000006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[5]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Huynh-The, Thien, et al. "Blockchain for the metaverse: A Review."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Future Generation Computer Systems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(2023).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De</w:t>
      </w:r>
      <w:r w:rsidDel="00000000" w:rsidR="00000000" w:rsidRPr="00000000">
        <w:rPr>
          <w:sz w:val="20"/>
          <w:szCs w:val="20"/>
          <w:rtl w:val="0"/>
        </w:rPr>
        <w:t xml:space="preserve">centralized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Fi</w:t>
      </w:r>
      <w:r w:rsidDel="00000000" w:rsidR="00000000" w:rsidRPr="00000000">
        <w:rPr>
          <w:sz w:val="20"/>
          <w:szCs w:val="20"/>
          <w:rtl w:val="0"/>
        </w:rPr>
        <w:t xml:space="preserve">nance</w:t>
      </w:r>
    </w:p>
  </w:footnote>
  <w:footnote w:id="1"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Initial Coin Offering</w:t>
      </w:r>
    </w:p>
  </w:footnote>
  <w:footnote w:id="2">
    <w:p w:rsidR="00000000" w:rsidDel="00000000" w:rsidP="00000000" w:rsidRDefault="00000000" w:rsidRPr="00000000" w14:paraId="000000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Non-Fungible Token</w:t>
      </w:r>
    </w:p>
  </w:footnote>
  <w:footnote w:id="5">
    <w:p w:rsidR="00000000" w:rsidDel="00000000" w:rsidP="00000000" w:rsidRDefault="00000000" w:rsidRPr="00000000" w14:paraId="0000006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cryptocurrency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6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cryptoasset</w:t>
      </w:r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6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payment token</w:t>
      </w:r>
      <w:r w:rsidDel="00000000" w:rsidR="00000000" w:rsidRPr="00000000">
        <w:rPr>
          <w:rtl w:val="0"/>
        </w:rPr>
      </w:r>
    </w:p>
  </w:footnote>
  <w:footnote w:id="8"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stable coin</w:t>
      </w:r>
      <w:r w:rsidDel="00000000" w:rsidR="00000000" w:rsidRPr="00000000">
        <w:rPr>
          <w:rtl w:val="0"/>
        </w:rPr>
      </w:r>
    </w:p>
  </w:footnote>
  <w:footnote w:id="9"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security token</w:t>
      </w:r>
      <w:r w:rsidDel="00000000" w:rsidR="00000000" w:rsidRPr="00000000">
        <w:rPr>
          <w:rtl w:val="0"/>
        </w:rPr>
      </w:r>
    </w:p>
  </w:footnote>
  <w:footnote w:id="10"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utility token</w:t>
      </w:r>
      <w:r w:rsidDel="00000000" w:rsidR="00000000" w:rsidRPr="00000000">
        <w:rPr>
          <w:rtl w:val="0"/>
        </w:rPr>
      </w:r>
    </w:p>
  </w:footnote>
  <w:footnote w:id="13"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smart contract</w:t>
      </w:r>
    </w:p>
  </w:footnote>
  <w:footnote w:id="14"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decentralized apps (dApps)</w:t>
      </w:r>
    </w:p>
  </w:footnote>
  <w:footnote w:id="15">
    <w:p w:rsidR="00000000" w:rsidDel="00000000" w:rsidP="00000000" w:rsidRDefault="00000000" w:rsidRPr="00000000" w14:paraId="000000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Know Your Customer</w:t>
      </w:r>
    </w:p>
  </w:footnote>
  <w:footnote w:id="17"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bonus</w:t>
      </w:r>
    </w:p>
  </w:footnote>
  <w:footnote w:id="19"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"cold start" problem</w:t>
      </w:r>
    </w:p>
  </w:footnote>
  <w:footnote w:id="20"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liquidity</w:t>
      </w:r>
    </w:p>
  </w:footnote>
  <w:footnote w:id="21">
    <w:p w:rsidR="00000000" w:rsidDel="00000000" w:rsidP="00000000" w:rsidRDefault="00000000" w:rsidRPr="00000000" w14:paraId="000000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decentralization</w:t>
      </w:r>
    </w:p>
  </w:footnote>
  <w:footnote w:id="24">
    <w:p w:rsidR="00000000" w:rsidDel="00000000" w:rsidP="00000000" w:rsidRDefault="00000000" w:rsidRPr="00000000" w14:paraId="000000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asset pool</w:t>
      </w:r>
    </w:p>
  </w:footnote>
  <w:footnote w:id="23"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automated market making</w:t>
      </w:r>
    </w:p>
  </w:footnote>
  <w:footnote w:id="18"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مطالب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این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بخش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از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مقاله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‌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ی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hyperlink w:anchor="5b5a5xzbhck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هستند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مطالب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این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بخش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از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مقاله</w:t>
      </w:r>
      <w:r w:rsidDel="00000000" w:rsidR="00000000" w:rsidRPr="00000000">
        <w:rPr>
          <w:sz w:val="20"/>
          <w:szCs w:val="20"/>
          <w:rtl w:val="1"/>
        </w:rPr>
        <w:t xml:space="preserve">‌</w:t>
      </w:r>
      <w:r w:rsidDel="00000000" w:rsidR="00000000" w:rsidRPr="00000000">
        <w:rPr>
          <w:sz w:val="20"/>
          <w:szCs w:val="20"/>
          <w:rtl w:val="1"/>
        </w:rPr>
        <w:t xml:space="preserve">ی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w:anchor="xiso4ka5p45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هستند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crowdfunding</w:t>
      </w:r>
    </w:p>
  </w:footnote>
  <w:footnote w:id="11"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business model</w:t>
      </w:r>
    </w:p>
  </w:footnote>
  <w:footnote w:id="12"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source code</w:t>
      </w:r>
    </w:p>
  </w:footnote>
  <w:footnote w:id="16"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venture capital</w:t>
      </w:r>
    </w:p>
  </w:footnote>
  <w:footnote w:id="22">
    <w:p w:rsidR="00000000" w:rsidDel="00000000" w:rsidP="00000000" w:rsidRDefault="00000000" w:rsidRPr="00000000" w14:paraId="000000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delegated proof of stake validation</w:t>
      </w:r>
    </w:p>
  </w:footnote>
  <w:footnote w:id="25">
    <w:p w:rsidR="00000000" w:rsidDel="00000000" w:rsidP="00000000" w:rsidRDefault="00000000" w:rsidRPr="00000000" w14:paraId="000000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fork</w:t>
      </w:r>
    </w:p>
  </w:footnote>
  <w:footnote w:id="26">
    <w:p w:rsidR="00000000" w:rsidDel="00000000" w:rsidP="00000000" w:rsidRDefault="00000000" w:rsidRPr="00000000" w14:paraId="000000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issuance</w:t>
      </w:r>
    </w:p>
  </w:footnote>
  <w:footnote w:id="27">
    <w:p w:rsidR="00000000" w:rsidDel="00000000" w:rsidP="00000000" w:rsidRDefault="00000000" w:rsidRPr="00000000" w14:paraId="000000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voting</w:t>
      </w:r>
    </w:p>
  </w:footnote>
  <w:footnote w:id="28">
    <w:p w:rsidR="00000000" w:rsidDel="00000000" w:rsidP="00000000" w:rsidRDefault="00000000" w:rsidRPr="00000000" w14:paraId="000000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trading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centraland.org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