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48"/>
        </w:rPr>
        <w:t>IHS Architecture &amp; Design – Tech Stack Upgrade 2025</w:t>
      </w:r>
    </w:p>
    <w:p>
      <w:pPr>
        <w:jc w:val="center"/>
      </w:pPr>
      <w:r>
        <w:rPr>
          <w:i/>
          <w:sz w:val="28"/>
        </w:rPr>
        <w:t>Healthcare Finance Platform Modernization &amp; AI Roadmap</w:t>
      </w:r>
    </w:p>
    <w:p>
      <w:pPr>
        <w:jc w:val="center"/>
      </w:pPr>
      <w:r>
        <w:t>────────────────────────────────────────</w:t>
      </w:r>
    </w:p>
    <w:p>
      <w:pPr>
        <w:jc w:val="center"/>
      </w:pPr>
      <w:r>
        <w:t>Prepared by: Architecture Team | Date: September 2025</w:t>
      </w:r>
    </w:p>
    <w:p>
      <w:r>
        <w:br w:type="page"/>
      </w:r>
    </w:p>
    <w:p>
      <w:pPr>
        <w:pStyle w:val="Heading1"/>
      </w:pPr>
      <w:r>
        <w:t>Table of Contents</w:t>
      </w:r>
    </w:p>
    <w:p>
      <w:r>
        <w:t>1. Executive Summary</w:t>
      </w:r>
    </w:p>
    <w:p>
      <w:r>
        <w:t>2. Architecture Principles</w:t>
      </w:r>
    </w:p>
    <w:p>
      <w:r>
        <w:t>3. Section-wise Analysis (2024 vs 2025)</w:t>
      </w:r>
    </w:p>
    <w:p>
      <w:r>
        <w:t>4. High-level Architecture Diagram</w:t>
      </w:r>
    </w:p>
    <w:p>
      <w:r>
        <w:t>5. Roadmap 2024 → 2025 → 2026+</w:t>
      </w:r>
    </w:p>
    <w:p>
      <w:r>
        <w:t>6. Business Impact Metrics</w:t>
      </w:r>
    </w:p>
    <w:p>
      <w:r>
        <w:t>7. Risks &amp; Mitigation</w:t>
      </w:r>
    </w:p>
    <w:p>
      <w:r>
        <w:t>8. AI Roadmap 2026+</w:t>
      </w:r>
    </w:p>
    <w:p>
      <w:r>
        <w:t>9. Conclusion &amp; Recommendations</w:t>
      </w:r>
    </w:p>
    <w:p>
      <w:r>
        <w:t>10. Comparison Table (2024 vs 2025)</w:t>
      </w:r>
    </w:p>
    <w:p>
      <w:r>
        <w:br w:type="page"/>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Executive Summary</w:t>
            </w:r>
          </w:p>
        </w:tc>
      </w:tr>
    </w:tbl>
    <w:p/>
    <w:p>
      <w:r>
        <w:t>The IHS platform enables healthcare providers to extend credit financing to patients. In 2024, the baseline tech stack was defined. The 2025 revamp upgrades key components to ensure scalability, performance, compliance, observability, and AI readiness.</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Architecture Principles</w:t>
            </w:r>
          </w:p>
        </w:tc>
      </w:tr>
    </w:tbl>
    <w:p/>
    <w:p>
      <w:r>
        <w:t>• Scalability: Handle millions of patient finance events in real-time.</w:t>
      </w:r>
    </w:p>
    <w:p>
      <w:r>
        <w:t>• Performance: Optimize processing with low latency.</w:t>
      </w:r>
    </w:p>
    <w:p>
      <w:r>
        <w:t>• Security &amp; Compliance: HIPAA/GDPR ready.</w:t>
      </w:r>
    </w:p>
    <w:p>
      <w:r>
        <w:t>• Observability: End-to-end visibility across layers.</w:t>
      </w:r>
    </w:p>
    <w:p>
      <w:r>
        <w:t>• Future-ready: Cloud-native + AI-driven architecture.</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Section-wise Analysis</w:t>
            </w:r>
          </w:p>
        </w:tc>
      </w:tr>
    </w:tbl>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UI Frameworks</w:t>
            </w:r>
          </w:p>
        </w:tc>
      </w:tr>
    </w:tbl>
    <w:p/>
    <w:p>
      <w:r>
        <w:t>2024: Angular, ReactJS, NextJS 13, VueJS, RemixJS</w:t>
      </w:r>
    </w:p>
    <w:p>
      <w:r>
        <w:t>2025: NextJS 14 + React 18.3</w:t>
      </w:r>
    </w:p>
    <w:p>
      <w:r>
        <w:t>Why in 2025: NextJS 14 improves SSR, React 18.3 adds concurrent rendering.</w:t>
      </w:r>
    </w:p>
    <w:p>
      <w:r>
        <w:t>Impact:</w:t>
      </w:r>
    </w:p>
    <w:p>
      <w:pPr>
        <w:pStyle w:val="ListBullet"/>
      </w:pPr>
      <w:r>
        <w:t>• Improved rendering &amp; SEO</w:t>
      </w:r>
    </w:p>
    <w:p>
      <w:pPr>
        <w:pStyle w:val="ListBullet"/>
      </w:pPr>
      <w:r>
        <w:t>• Micro-frontend readiness</w:t>
      </w:r>
    </w:p>
    <w:p>
      <w:r>
        <w:t>IHS Benefit:</w:t>
      </w:r>
    </w:p>
    <w:p>
      <w:pPr>
        <w:pStyle w:val="ListBullet"/>
      </w:pPr>
      <w:r>
        <w:t>• Faster patient loan UI</w:t>
      </w:r>
    </w:p>
    <w:p>
      <w:pPr>
        <w:pStyle w:val="ListBullet"/>
      </w:pPr>
      <w:r>
        <w:t>• Consistent cross-hospital UI</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UI Testing</w:t>
            </w:r>
          </w:p>
        </w:tc>
      </w:tr>
    </w:tbl>
    <w:p/>
    <w:p>
      <w:r>
        <w:t>2024: Jest, RTL, Enzyme, Cypress, Playwright, Selenium</w:t>
      </w:r>
    </w:p>
    <w:p>
      <w:r>
        <w:t>2025: Jest + RTL, Playwright (E2E)</w:t>
      </w:r>
    </w:p>
    <w:p>
      <w:r>
        <w:t>Why in 2025: Selenium/Enzyme deprecated; Playwright reliable for E2E.</w:t>
      </w:r>
    </w:p>
    <w:p>
      <w:r>
        <w:t>Impact:</w:t>
      </w:r>
    </w:p>
    <w:p>
      <w:pPr>
        <w:pStyle w:val="ListBullet"/>
      </w:pPr>
      <w:r>
        <w:t>• Less flaky CI/CD tests</w:t>
      </w:r>
    </w:p>
    <w:p>
      <w:pPr>
        <w:pStyle w:val="ListBullet"/>
      </w:pPr>
      <w:r>
        <w:t>• Cross-browser stable automation</w:t>
      </w:r>
    </w:p>
    <w:p>
      <w:r>
        <w:t>IHS Benefit:</w:t>
      </w:r>
    </w:p>
    <w:p>
      <w:pPr>
        <w:pStyle w:val="ListBullet"/>
      </w:pPr>
      <w:r>
        <w:t>• Fewer UI errors in loan flows</w:t>
      </w:r>
    </w:p>
    <w:p>
      <w:pPr>
        <w:pStyle w:val="ListBullet"/>
      </w:pPr>
      <w:r>
        <w:t>• Safer releases</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Backend</w:t>
            </w:r>
          </w:p>
        </w:tc>
      </w:tr>
    </w:tbl>
    <w:p/>
    <w:p>
      <w:r>
        <w:t>2024: Spring Boot, Quarkus, NodeJS, Python, Kotlin</w:t>
      </w:r>
    </w:p>
    <w:p>
      <w:r>
        <w:t>2025: Spring Boot 3.3 LTS + GraalVM, Quarkus 3.x, NodeJS 20, Java 21 Virtual Threads</w:t>
      </w:r>
    </w:p>
    <w:p>
      <w:r>
        <w:t>Why in 2025: Spring Boot 3.3 LTS + GraalVM improves startup &amp; memory. Java 21 virtual threads boost concurrency.</w:t>
      </w:r>
    </w:p>
    <w:p>
      <w:r>
        <w:t>Impact:</w:t>
      </w:r>
    </w:p>
    <w:p>
      <w:pPr>
        <w:pStyle w:val="ListBullet"/>
      </w:pPr>
      <w:r>
        <w:t>• 30–40% faster startup</w:t>
      </w:r>
    </w:p>
    <w:p>
      <w:pPr>
        <w:pStyle w:val="ListBullet"/>
      </w:pPr>
      <w:r>
        <w:t>• Reduced infra costs</w:t>
      </w:r>
    </w:p>
    <w:p>
      <w:pPr>
        <w:pStyle w:val="ListBullet"/>
      </w:pPr>
      <w:r>
        <w:t>• Better concurrency</w:t>
      </w:r>
    </w:p>
    <w:p>
      <w:r>
        <w:t>IHS Benefit:</w:t>
      </w:r>
    </w:p>
    <w:p>
      <w:pPr>
        <w:pStyle w:val="ListBullet"/>
      </w:pPr>
      <w:r>
        <w:t>• Faster credit scoring</w:t>
      </w:r>
    </w:p>
    <w:p>
      <w:pPr>
        <w:pStyle w:val="ListBullet"/>
      </w:pPr>
      <w:r>
        <w:t>• Efficient batch workloads</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Batch Processing</w:t>
            </w:r>
          </w:p>
        </w:tc>
      </w:tr>
    </w:tbl>
    <w:p/>
    <w:p>
      <w:r>
        <w:t>2024: Spring Batch 4.x + multithreading/async</w:t>
      </w:r>
    </w:p>
    <w:p>
      <w:r>
        <w:t>2025: Spring Batch 5.x + partitioning + virtual threads</w:t>
      </w:r>
    </w:p>
    <w:p>
      <w:r>
        <w:t>Why in 2025: Supports chunking, async executors, and virtual threads for scale.</w:t>
      </w:r>
    </w:p>
    <w:p>
      <w:r>
        <w:t>Impact:</w:t>
      </w:r>
    </w:p>
    <w:p>
      <w:pPr>
        <w:pStyle w:val="ListBullet"/>
      </w:pPr>
      <w:r>
        <w:t>• Faster ingestion</w:t>
      </w:r>
    </w:p>
    <w:p>
      <w:pPr>
        <w:pStyle w:val="ListBullet"/>
      </w:pPr>
      <w:r>
        <w:t>• Better parallelism</w:t>
      </w:r>
    </w:p>
    <w:p>
      <w:r>
        <w:t>IHS Benefit:</w:t>
      </w:r>
    </w:p>
    <w:p>
      <w:pPr>
        <w:pStyle w:val="ListBullet"/>
      </w:pPr>
      <w:r>
        <w:t>• Reduced loan approval turnaround</w:t>
      </w:r>
    </w:p>
    <w:p>
      <w:pPr>
        <w:pStyle w:val="ListBullet"/>
      </w:pPr>
      <w:r>
        <w:t>• Scalable under load</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Messaging</w:t>
            </w:r>
          </w:p>
        </w:tc>
      </w:tr>
    </w:tbl>
    <w:p/>
    <w:p>
      <w:r>
        <w:t>2024: Kafka, RabbitMQ</w:t>
      </w:r>
    </w:p>
    <w:p>
      <w:r>
        <w:t>2025: Kafka 3.x, Pulsar/Redpanda (POC)</w:t>
      </w:r>
    </w:p>
    <w:p>
      <w:r>
        <w:t>Why in 2025: Kafka 3.x brings KRaft, tiered storage. Pulsar/Redpanda cloud-native options.</w:t>
      </w:r>
    </w:p>
    <w:p>
      <w:r>
        <w:t>Impact:</w:t>
      </w:r>
    </w:p>
    <w:p>
      <w:pPr>
        <w:pStyle w:val="ListBullet"/>
      </w:pPr>
      <w:r>
        <w:t>• More reliable event streaming</w:t>
      </w:r>
    </w:p>
    <w:p>
      <w:pPr>
        <w:pStyle w:val="ListBullet"/>
      </w:pPr>
      <w:r>
        <w:t>• Resilience at scale</w:t>
      </w:r>
    </w:p>
    <w:p>
      <w:r>
        <w:t>IHS Benefit:</w:t>
      </w:r>
    </w:p>
    <w:p>
      <w:pPr>
        <w:pStyle w:val="ListBullet"/>
      </w:pPr>
      <w:r>
        <w:t>• No loan event loss</w:t>
      </w:r>
    </w:p>
    <w:p>
      <w:pPr>
        <w:pStyle w:val="ListBullet"/>
      </w:pPr>
      <w:r>
        <w:t>• Smooth demand spikes handling</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Caching</w:t>
            </w:r>
          </w:p>
        </w:tc>
      </w:tr>
    </w:tbl>
    <w:p/>
    <w:p>
      <w:r>
        <w:t>2024: Redis, Memcached, Hazelcast, Infinispan, Geode, Guava</w:t>
      </w:r>
    </w:p>
    <w:p>
      <w:r>
        <w:t>2025: Redis Stack 7.x (JSON, Search, Vector DB)</w:t>
      </w:r>
    </w:p>
    <w:p>
      <w:r>
        <w:t>Why in 2025: Adds advanced search + AI-ready vector storage.</w:t>
      </w:r>
    </w:p>
    <w:p>
      <w:r>
        <w:t>Impact:</w:t>
      </w:r>
    </w:p>
    <w:p>
      <w:pPr>
        <w:pStyle w:val="ListBullet"/>
      </w:pPr>
      <w:r>
        <w:t>• Sub-ms response</w:t>
      </w:r>
    </w:p>
    <w:p>
      <w:pPr>
        <w:pStyle w:val="ListBullet"/>
      </w:pPr>
      <w:r>
        <w:t>• Supports AI fraud detection</w:t>
      </w:r>
    </w:p>
    <w:p>
      <w:r>
        <w:t>IHS Benefit:</w:t>
      </w:r>
    </w:p>
    <w:p>
      <w:pPr>
        <w:pStyle w:val="ListBullet"/>
      </w:pPr>
      <w:r>
        <w:t>• Faster eligibility checks</w:t>
      </w:r>
    </w:p>
    <w:p>
      <w:pPr>
        <w:pStyle w:val="ListBullet"/>
      </w:pPr>
      <w:r>
        <w:t>• AI risk analysis ready</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Database</w:t>
            </w:r>
          </w:p>
        </w:tc>
      </w:tr>
    </w:tbl>
    <w:p/>
    <w:p>
      <w:r>
        <w:t>2024: MySQL, Cassandra</w:t>
      </w:r>
    </w:p>
    <w:p>
      <w:r>
        <w:t>2025: PostgreSQL 16, Cassandra/ScyllaDB</w:t>
      </w:r>
    </w:p>
    <w:p>
      <w:r>
        <w:t>Why in 2025: Postgres adds JSONB, analytics. Cassandra/Scylla handle scale.</w:t>
      </w:r>
    </w:p>
    <w:p>
      <w:r>
        <w:t>Impact:</w:t>
      </w:r>
    </w:p>
    <w:p>
      <w:pPr>
        <w:pStyle w:val="ListBullet"/>
      </w:pPr>
      <w:r>
        <w:t>• Hybrid SQL+NoSQL</w:t>
      </w:r>
    </w:p>
    <w:p>
      <w:pPr>
        <w:pStyle w:val="ListBullet"/>
      </w:pPr>
      <w:r>
        <w:t>• Faster queries</w:t>
      </w:r>
    </w:p>
    <w:p>
      <w:r>
        <w:t>IHS Benefit:</w:t>
      </w:r>
    </w:p>
    <w:p>
      <w:pPr>
        <w:pStyle w:val="ListBullet"/>
      </w:pPr>
      <w:r>
        <w:t>• Reliable transactions</w:t>
      </w:r>
    </w:p>
    <w:p>
      <w:pPr>
        <w:pStyle w:val="ListBullet"/>
      </w:pPr>
      <w:r>
        <w:t>• Better reporting</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Micro-Frontends</w:t>
            </w:r>
          </w:p>
        </w:tc>
      </w:tr>
    </w:tbl>
    <w:p/>
    <w:p>
      <w:r>
        <w:t>2024: React, NextJS, RemixJS, FrintJS, PuzzleJS</w:t>
      </w:r>
    </w:p>
    <w:p>
      <w:r>
        <w:t>2025: NextJS 14 + Module Federation</w:t>
      </w:r>
    </w:p>
    <w:p>
      <w:r>
        <w:t>Why in 2025: Supports independent deployable frontend modules.</w:t>
      </w:r>
    </w:p>
    <w:p>
      <w:r>
        <w:t>Impact:</w:t>
      </w:r>
    </w:p>
    <w:p>
      <w:pPr>
        <w:pStyle w:val="ListBullet"/>
      </w:pPr>
      <w:r>
        <w:t>• Faster modular releases</w:t>
      </w:r>
    </w:p>
    <w:p>
      <w:pPr>
        <w:pStyle w:val="ListBullet"/>
      </w:pPr>
      <w:r>
        <w:t>• Less team dependency</w:t>
      </w:r>
    </w:p>
    <w:p>
      <w:r>
        <w:t>IHS Benefit:</w:t>
      </w:r>
    </w:p>
    <w:p>
      <w:pPr>
        <w:pStyle w:val="ListBullet"/>
      </w:pPr>
      <w:r>
        <w:t>• Independent eligibility/loan UIs</w:t>
      </w:r>
    </w:p>
    <w:p>
      <w:pPr>
        <w:pStyle w:val="ListBullet"/>
      </w:pPr>
      <w:r>
        <w:t>• Faster innovation</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DevOps &amp; Infra</w:t>
            </w:r>
          </w:p>
        </w:tc>
      </w:tr>
    </w:tbl>
    <w:p/>
    <w:p>
      <w:r>
        <w:t>2024: Docker, Kubernetes, Maven, Gradle</w:t>
      </w:r>
    </w:p>
    <w:p>
      <w:r>
        <w:t>2025: Kubernetes 1.30+, Helm, ArgoCD, GitHub Actions, Terraform</w:t>
      </w:r>
    </w:p>
    <w:p>
      <w:r>
        <w:t>Why in 2025: Adopts GitOps + IaC for stability.</w:t>
      </w:r>
    </w:p>
    <w:p>
      <w:r>
        <w:t>Impact:</w:t>
      </w:r>
    </w:p>
    <w:p>
      <w:pPr>
        <w:pStyle w:val="ListBullet"/>
      </w:pPr>
      <w:r>
        <w:t>• Reproducible infra</w:t>
      </w:r>
    </w:p>
    <w:p>
      <w:pPr>
        <w:pStyle w:val="ListBullet"/>
      </w:pPr>
      <w:r>
        <w:t>• Lower release risk</w:t>
      </w:r>
    </w:p>
    <w:p>
      <w:r>
        <w:t>IHS Benefit:</w:t>
      </w:r>
    </w:p>
    <w:p>
      <w:pPr>
        <w:pStyle w:val="ListBullet"/>
      </w:pPr>
      <w:r>
        <w:t>• Reliable deployments</w:t>
      </w:r>
    </w:p>
    <w:p>
      <w:pPr>
        <w:pStyle w:val="ListBullet"/>
      </w:pPr>
      <w:r>
        <w:t>• Dev productivity up</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Observability</w:t>
            </w:r>
          </w:p>
        </w:tc>
      </w:tr>
    </w:tbl>
    <w:p/>
    <w:p>
      <w:r>
        <w:t>2024: ELK</w:t>
      </w:r>
    </w:p>
    <w:p>
      <w:r>
        <w:t>2025: Prometheus, Grafana, OpenTelemetry, OpenSearch, New Relic (APM, RUM, Replay)</w:t>
      </w:r>
    </w:p>
    <w:p>
      <w:r>
        <w:t>Why in 2025: Adds proactive alerts, SaaS observability with New Relic.</w:t>
      </w:r>
    </w:p>
    <w:p>
      <w:r>
        <w:t>Impact:</w:t>
      </w:r>
    </w:p>
    <w:p>
      <w:pPr>
        <w:pStyle w:val="ListBullet"/>
      </w:pPr>
      <w:r>
        <w:t>• Full visibility</w:t>
      </w:r>
    </w:p>
    <w:p>
      <w:pPr>
        <w:pStyle w:val="ListBullet"/>
      </w:pPr>
      <w:r>
        <w:t>• Faster MTTR</w:t>
      </w:r>
    </w:p>
    <w:p>
      <w:r>
        <w:t>IHS Benefit:</w:t>
      </w:r>
    </w:p>
    <w:p>
      <w:pPr>
        <w:pStyle w:val="ListBullet"/>
      </w:pPr>
      <w:r>
        <w:t>• Traceable patient workflows</w:t>
      </w:r>
    </w:p>
    <w:p>
      <w:pPr>
        <w:pStyle w:val="ListBullet"/>
      </w:pPr>
      <w:r>
        <w:t>• Better UX debugging</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Security</w:t>
            </w:r>
          </w:p>
        </w:tc>
      </w:tr>
    </w:tbl>
    <w:p/>
    <w:p>
      <w:r>
        <w:t>2024: Generic principles</w:t>
      </w:r>
    </w:p>
    <w:p>
      <w:r>
        <w:t>2025: Zero-Trust, OIDC, Vault, mTLS, Encryption</w:t>
      </w:r>
    </w:p>
    <w:p>
      <w:r>
        <w:t>Why in 2025: Enhances HIPAA/GDPR compliance.</w:t>
      </w:r>
    </w:p>
    <w:p>
      <w:r>
        <w:t>Impact:</w:t>
      </w:r>
    </w:p>
    <w:p>
      <w:pPr>
        <w:pStyle w:val="ListBullet"/>
      </w:pPr>
      <w:r>
        <w:t>• Data secure</w:t>
      </w:r>
    </w:p>
    <w:p>
      <w:pPr>
        <w:pStyle w:val="ListBullet"/>
      </w:pPr>
      <w:r>
        <w:t>• Better secret mgmt</w:t>
      </w:r>
    </w:p>
    <w:p>
      <w:r>
        <w:t>IHS Benefit:</w:t>
      </w:r>
    </w:p>
    <w:p>
      <w:pPr>
        <w:pStyle w:val="ListBullet"/>
      </w:pPr>
      <w:r>
        <w:t>• Protects patient data</w:t>
      </w:r>
    </w:p>
    <w:p>
      <w:pPr>
        <w:pStyle w:val="ListBullet"/>
      </w:pPr>
      <w:r>
        <w:t>• Compliance ready</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AI</w:t>
            </w:r>
          </w:p>
        </w:tc>
      </w:tr>
    </w:tbl>
    <w:p/>
    <w:p>
      <w:r>
        <w:t>2024: None</w:t>
      </w:r>
    </w:p>
    <w:p>
      <w:r>
        <w:t>2025: Spring AI 1.0 + Redis Vector DB</w:t>
      </w:r>
    </w:p>
    <w:p>
      <w:r>
        <w:t>Why in 2025: Brings predictive analytics &amp; credit scoring automation.</w:t>
      </w:r>
    </w:p>
    <w:p>
      <w:r>
        <w:t>Impact:</w:t>
      </w:r>
    </w:p>
    <w:p>
      <w:pPr>
        <w:pStyle w:val="ListBullet"/>
      </w:pPr>
      <w:r>
        <w:t>• AI-driven scoring</w:t>
      </w:r>
    </w:p>
    <w:p>
      <w:pPr>
        <w:pStyle w:val="ListBullet"/>
      </w:pPr>
      <w:r>
        <w:t>• Fraud detection</w:t>
      </w:r>
    </w:p>
    <w:p>
      <w:r>
        <w:t>IHS Benefit:</w:t>
      </w:r>
    </w:p>
    <w:p>
      <w:pPr>
        <w:pStyle w:val="ListBullet"/>
      </w:pPr>
      <w:r>
        <w:t>• Faster approvals</w:t>
      </w:r>
    </w:p>
    <w:p>
      <w:pPr>
        <w:pStyle w:val="ListBullet"/>
      </w:pPr>
      <w:r>
        <w:t>• Lower risk</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Roadmap 2024 → 2025 → 2026+</w:t>
            </w:r>
          </w:p>
        </w:tc>
      </w:tr>
    </w:tbl>
    <w:p/>
    <w:p>
      <w:r>
        <w:t>2024: Defined baseline architecture with proven frameworks.</w:t>
      </w:r>
    </w:p>
    <w:p>
      <w:r>
        <w:t>2025: Upgraded stack for performance, observability, and AI-readiness.</w:t>
      </w:r>
    </w:p>
    <w:p>
      <w:r>
        <w:t>2026+: Extend AI with LangChain, Vector DBs, XAI, and AIOps.</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Business Impact Metrics</w:t>
            </w:r>
          </w:p>
        </w:tc>
      </w:tr>
    </w:tbl>
    <w:p/>
    <w:p>
      <w:r>
        <w:t>• Loan approval processing time reduced by 40%</w:t>
      </w:r>
    </w:p>
    <w:p>
      <w:r>
        <w:t>• Infrastructure costs reduced by 25%</w:t>
      </w:r>
    </w:p>
    <w:p>
      <w:r>
        <w:t>• SLA compliance improved by 30%</w:t>
      </w:r>
    </w:p>
    <w:p>
      <w:r>
        <w:t>• Downtime reduced by 35%</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Risks &amp; Mitigation</w:t>
            </w:r>
          </w:p>
        </w:tc>
      </w:tr>
    </w:tbl>
    <w:p/>
    <w:p>
      <w:r>
        <w:t>Risk: Pulsar/Redpanda adoption adds ops complexity. Mitigation: Keep Kafka primary until validated.</w:t>
      </w:r>
    </w:p>
    <w:p>
      <w:r>
        <w:t>Risk: AI adoption may increase regulatory concerns. Mitigation: Use Explainable AI models.</w:t>
      </w:r>
    </w:p>
    <w:p>
      <w:r>
        <w:t>Risk: Infra upgrades may impact legacy apps. Mitigation: Gradual phased rollout.</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AI Roadmap 2026+</w:t>
            </w:r>
          </w:p>
        </w:tc>
      </w:tr>
    </w:tbl>
    <w:p/>
    <w:p>
      <w:r>
        <w:t>• Spring AI + LangChain for hybrid workflows</w:t>
      </w:r>
    </w:p>
    <w:p>
      <w:r>
        <w:t>• Advanced Vector DBs (Weaviate, Pinecone, Milvus)</w:t>
      </w:r>
    </w:p>
    <w:p>
      <w:r>
        <w:t>• AI-powered observability (AIOps)</w:t>
      </w:r>
    </w:p>
    <w:p>
      <w:r>
        <w:t>• Explainable AI (XAI) for compliance</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Conclusion &amp; Recommendations</w:t>
            </w:r>
          </w:p>
        </w:tc>
      </w:tr>
    </w:tbl>
    <w:p/>
    <w:p>
      <w:r>
        <w:t>The 2025 revamp modernizes IHS with scalable, secure, and AI-ready technologies. Core upgrades like NextJS 14, Spring Boot 3.3, Redis Stack, PostgreSQL 16, Playwright, and New Relic should be adopted immediately. POCs should validate Pulsar/Redpanda and advanced AI extensions.</w:t>
      </w:r>
    </w:p>
    <w:tbl>
      <w:tblPr>
        <w:tblW w:type="auto" w:w="0"/>
        <w:tblLayout w:type="fixed"/>
        <w:tblLook w:firstColumn="1" w:firstRow="1" w:lastColumn="0" w:lastRow="0" w:noHBand="0" w:noVBand="1" w:val="04A0"/>
      </w:tblPr>
      <w:tblGrid>
        <w:gridCol w:w="9360"/>
      </w:tblGrid>
      <w:tr>
        <w:tc>
          <w:tcPr>
            <w:tcW w:type="dxa" w:w="8640"/>
            <w:shd w:fill="2F5597"/>
          </w:tcPr>
          <w:p>
            <w:pPr>
              <w:jc w:val="center"/>
            </w:pPr>
            <w:r>
              <w:rPr>
                <w:b/>
                <w:color w:val="FFFFFF"/>
                <w:sz w:val="26"/>
              </w:rPr>
              <w:t>2024 vs 2025 Tech Stack Comparison</w:t>
            </w:r>
          </w:p>
        </w:tc>
      </w:tr>
    </w:tbl>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2024 Baseline</w:t>
            </w:r>
          </w:p>
        </w:tc>
        <w:tc>
          <w:tcPr>
            <w:tcW w:type="dxa" w:w="2880"/>
          </w:tcPr>
          <w:p>
            <w:r>
              <w:t>2025 Upgrade</w:t>
            </w:r>
          </w:p>
        </w:tc>
      </w:tr>
      <w:tr>
        <w:tc>
          <w:tcPr>
            <w:tcW w:type="dxa" w:w="2880"/>
          </w:tcPr>
          <w:p>
            <w:r>
              <w:t>UI Frameworks</w:t>
            </w:r>
          </w:p>
        </w:tc>
        <w:tc>
          <w:tcPr>
            <w:tcW w:type="dxa" w:w="2880"/>
          </w:tcPr>
          <w:p>
            <w:r>
              <w:t>Angular, ReactJS, NextJS 13, VueJS, RemixJS</w:t>
            </w:r>
          </w:p>
        </w:tc>
        <w:tc>
          <w:tcPr>
            <w:tcW w:type="dxa" w:w="2880"/>
          </w:tcPr>
          <w:p>
            <w:r>
              <w:t>NextJS 14 + React 18.3</w:t>
            </w:r>
          </w:p>
        </w:tc>
      </w:tr>
      <w:tr>
        <w:tc>
          <w:tcPr>
            <w:tcW w:type="dxa" w:w="2880"/>
          </w:tcPr>
          <w:p>
            <w:r>
              <w:t>UI Testing</w:t>
            </w:r>
          </w:p>
        </w:tc>
        <w:tc>
          <w:tcPr>
            <w:tcW w:type="dxa" w:w="2880"/>
          </w:tcPr>
          <w:p>
            <w:r>
              <w:t>Jest, RTL, Enzyme, Cypress, Playwright, Selenium</w:t>
            </w:r>
          </w:p>
        </w:tc>
        <w:tc>
          <w:tcPr>
            <w:tcW w:type="dxa" w:w="2880"/>
          </w:tcPr>
          <w:p>
            <w:r>
              <w:t>Jest + RTL, Playwright (E2E)</w:t>
            </w:r>
          </w:p>
        </w:tc>
      </w:tr>
      <w:tr>
        <w:tc>
          <w:tcPr>
            <w:tcW w:type="dxa" w:w="2880"/>
          </w:tcPr>
          <w:p>
            <w:r>
              <w:t>Backend</w:t>
            </w:r>
          </w:p>
        </w:tc>
        <w:tc>
          <w:tcPr>
            <w:tcW w:type="dxa" w:w="2880"/>
          </w:tcPr>
          <w:p>
            <w:r>
              <w:t>Spring Boot, Quarkus, NodeJS, Python, Kotlin</w:t>
            </w:r>
          </w:p>
        </w:tc>
        <w:tc>
          <w:tcPr>
            <w:tcW w:type="dxa" w:w="2880"/>
          </w:tcPr>
          <w:p>
            <w:r>
              <w:t>Spring Boot 3.3 LTS + GraalVM, Quarkus 3.x, NodeJS 20, Java 21 Virtual Threads</w:t>
            </w:r>
          </w:p>
        </w:tc>
      </w:tr>
      <w:tr>
        <w:tc>
          <w:tcPr>
            <w:tcW w:type="dxa" w:w="2880"/>
          </w:tcPr>
          <w:p>
            <w:r>
              <w:t>Batch Processing</w:t>
            </w:r>
          </w:p>
        </w:tc>
        <w:tc>
          <w:tcPr>
            <w:tcW w:type="dxa" w:w="2880"/>
          </w:tcPr>
          <w:p>
            <w:r>
              <w:t>Spring Batch 4.x + multithreading/async</w:t>
            </w:r>
          </w:p>
        </w:tc>
        <w:tc>
          <w:tcPr>
            <w:tcW w:type="dxa" w:w="2880"/>
          </w:tcPr>
          <w:p>
            <w:r>
              <w:t>Spring Batch 5.x + partitioning + virtual threads</w:t>
            </w:r>
          </w:p>
        </w:tc>
      </w:tr>
      <w:tr>
        <w:tc>
          <w:tcPr>
            <w:tcW w:type="dxa" w:w="2880"/>
          </w:tcPr>
          <w:p>
            <w:r>
              <w:t>Messaging</w:t>
            </w:r>
          </w:p>
        </w:tc>
        <w:tc>
          <w:tcPr>
            <w:tcW w:type="dxa" w:w="2880"/>
          </w:tcPr>
          <w:p>
            <w:r>
              <w:t>Kafka, RabbitMQ</w:t>
            </w:r>
          </w:p>
        </w:tc>
        <w:tc>
          <w:tcPr>
            <w:tcW w:type="dxa" w:w="2880"/>
          </w:tcPr>
          <w:p>
            <w:r>
              <w:t>Kafka 3.x, Pulsar/Redpanda (POC)</w:t>
            </w:r>
          </w:p>
        </w:tc>
      </w:tr>
      <w:tr>
        <w:tc>
          <w:tcPr>
            <w:tcW w:type="dxa" w:w="2880"/>
          </w:tcPr>
          <w:p>
            <w:r>
              <w:t>Caching</w:t>
            </w:r>
          </w:p>
        </w:tc>
        <w:tc>
          <w:tcPr>
            <w:tcW w:type="dxa" w:w="2880"/>
          </w:tcPr>
          <w:p>
            <w:r>
              <w:t>Redis, Memcached, Hazelcast, Infinispan, Geode, Guava</w:t>
            </w:r>
          </w:p>
        </w:tc>
        <w:tc>
          <w:tcPr>
            <w:tcW w:type="dxa" w:w="2880"/>
          </w:tcPr>
          <w:p>
            <w:r>
              <w:t>Redis Stack 7.x (JSON, Search, Vector DB)</w:t>
            </w:r>
          </w:p>
        </w:tc>
      </w:tr>
      <w:tr>
        <w:tc>
          <w:tcPr>
            <w:tcW w:type="dxa" w:w="2880"/>
          </w:tcPr>
          <w:p>
            <w:r>
              <w:t>Database</w:t>
            </w:r>
          </w:p>
        </w:tc>
        <w:tc>
          <w:tcPr>
            <w:tcW w:type="dxa" w:w="2880"/>
          </w:tcPr>
          <w:p>
            <w:r>
              <w:t>MySQL, Cassandra</w:t>
            </w:r>
          </w:p>
        </w:tc>
        <w:tc>
          <w:tcPr>
            <w:tcW w:type="dxa" w:w="2880"/>
          </w:tcPr>
          <w:p>
            <w:r>
              <w:t>PostgreSQL 16, Cassandra/ScyllaDB</w:t>
            </w:r>
          </w:p>
        </w:tc>
      </w:tr>
      <w:tr>
        <w:tc>
          <w:tcPr>
            <w:tcW w:type="dxa" w:w="2880"/>
          </w:tcPr>
          <w:p>
            <w:r>
              <w:t>Micro-Frontends</w:t>
            </w:r>
          </w:p>
        </w:tc>
        <w:tc>
          <w:tcPr>
            <w:tcW w:type="dxa" w:w="2880"/>
          </w:tcPr>
          <w:p>
            <w:r>
              <w:t>React, NextJS, RemixJS, FrintJS, PuzzleJS</w:t>
            </w:r>
          </w:p>
        </w:tc>
        <w:tc>
          <w:tcPr>
            <w:tcW w:type="dxa" w:w="2880"/>
          </w:tcPr>
          <w:p>
            <w:r>
              <w:t>NextJS 14 + Module Federation</w:t>
            </w:r>
          </w:p>
        </w:tc>
      </w:tr>
      <w:tr>
        <w:tc>
          <w:tcPr>
            <w:tcW w:type="dxa" w:w="2880"/>
          </w:tcPr>
          <w:p>
            <w:r>
              <w:t>DevOps &amp; Infra</w:t>
            </w:r>
          </w:p>
        </w:tc>
        <w:tc>
          <w:tcPr>
            <w:tcW w:type="dxa" w:w="2880"/>
          </w:tcPr>
          <w:p>
            <w:r>
              <w:t>Docker, Kubernetes, Maven, Gradle</w:t>
            </w:r>
          </w:p>
        </w:tc>
        <w:tc>
          <w:tcPr>
            <w:tcW w:type="dxa" w:w="2880"/>
          </w:tcPr>
          <w:p>
            <w:r>
              <w:t>Kubernetes 1.30+, Helm, ArgoCD, GitHub Actions, Terraform</w:t>
            </w:r>
          </w:p>
        </w:tc>
      </w:tr>
      <w:tr>
        <w:tc>
          <w:tcPr>
            <w:tcW w:type="dxa" w:w="2880"/>
          </w:tcPr>
          <w:p>
            <w:r>
              <w:t>Observability</w:t>
            </w:r>
          </w:p>
        </w:tc>
        <w:tc>
          <w:tcPr>
            <w:tcW w:type="dxa" w:w="2880"/>
          </w:tcPr>
          <w:p>
            <w:r>
              <w:t>ELK</w:t>
            </w:r>
          </w:p>
        </w:tc>
        <w:tc>
          <w:tcPr>
            <w:tcW w:type="dxa" w:w="2880"/>
          </w:tcPr>
          <w:p>
            <w:r>
              <w:t>Prometheus, Grafana, OpenTelemetry, OpenSearch, New Relic (APM, RUM, Replay)</w:t>
            </w:r>
          </w:p>
        </w:tc>
      </w:tr>
      <w:tr>
        <w:tc>
          <w:tcPr>
            <w:tcW w:type="dxa" w:w="2880"/>
          </w:tcPr>
          <w:p>
            <w:r>
              <w:t>Security</w:t>
            </w:r>
          </w:p>
        </w:tc>
        <w:tc>
          <w:tcPr>
            <w:tcW w:type="dxa" w:w="2880"/>
          </w:tcPr>
          <w:p>
            <w:r>
              <w:t>Generic principles</w:t>
            </w:r>
          </w:p>
        </w:tc>
        <w:tc>
          <w:tcPr>
            <w:tcW w:type="dxa" w:w="2880"/>
          </w:tcPr>
          <w:p>
            <w:r>
              <w:t>Zero-Trust, OIDC, Vault, mTLS, Encryption</w:t>
            </w:r>
          </w:p>
        </w:tc>
      </w:tr>
      <w:tr>
        <w:tc>
          <w:tcPr>
            <w:tcW w:type="dxa" w:w="2880"/>
          </w:tcPr>
          <w:p>
            <w:r>
              <w:t>AI</w:t>
            </w:r>
          </w:p>
        </w:tc>
        <w:tc>
          <w:tcPr>
            <w:tcW w:type="dxa" w:w="2880"/>
          </w:tcPr>
          <w:p>
            <w:r>
              <w:t>None</w:t>
            </w:r>
          </w:p>
        </w:tc>
        <w:tc>
          <w:tcPr>
            <w:tcW w:type="dxa" w:w="2880"/>
          </w:tcPr>
          <w:p>
            <w:r>
              <w:t>Spring AI 1.0 + Redis Vector DB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