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A"/>
        <w:jc w:val="center"/>
        <w:rPr>
          <w:sz w:val="24"/>
          <w:szCs w:val="24"/>
        </w:rPr>
      </w:pPr>
      <w:r>
        <w:rPr>
          <w:sz w:val="24"/>
          <w:szCs w:val="24"/>
          <w:rtl w:val="0"/>
          <w:lang w:val="en-US"/>
        </w:rPr>
        <w:t>Mike Hightower</w:t>
      </w:r>
    </w:p>
    <w:p>
      <w:pPr>
        <w:pStyle w:val="Body A"/>
        <w:jc w:val="center"/>
        <w:rPr>
          <w:sz w:val="24"/>
          <w:szCs w:val="24"/>
        </w:rPr>
      </w:pPr>
      <w:r>
        <w:rPr>
          <w:sz w:val="24"/>
          <w:szCs w:val="24"/>
          <w:rtl w:val="0"/>
          <w:lang w:val="en-US"/>
        </w:rPr>
        <w:t>Research Professor, University of New Mexico</w:t>
      </w:r>
    </w:p>
    <w:p>
      <w:pPr>
        <w:pStyle w:val="Body A"/>
        <w:jc w:val="center"/>
        <w:rPr>
          <w:sz w:val="24"/>
          <w:szCs w:val="24"/>
          <w:lang w:val="pt-PT"/>
        </w:rPr>
      </w:pPr>
      <w:r>
        <w:rPr>
          <w:sz w:val="24"/>
          <w:szCs w:val="24"/>
          <w:rtl w:val="0"/>
          <w:lang w:val="pt-PT"/>
        </w:rPr>
        <w:t>Albuquerque, NM</w:t>
      </w:r>
    </w:p>
    <w:p>
      <w:pPr>
        <w:pStyle w:val="Body A"/>
        <w:jc w:val="center"/>
        <w:rPr>
          <w:sz w:val="24"/>
          <w:szCs w:val="24"/>
        </w:rPr>
      </w:pPr>
    </w:p>
    <w:p>
      <w:pPr>
        <w:pStyle w:val="Body A"/>
        <w:jc w:val="center"/>
        <w:rPr>
          <w:sz w:val="24"/>
          <w:szCs w:val="24"/>
        </w:rPr>
      </w:pPr>
      <w:r>
        <mc:AlternateContent>
          <mc:Choice Requires="wps">
            <w:drawing>
              <wp:anchor distT="0" distB="0" distL="0" distR="0" simplePos="0" relativeHeight="251659264" behindDoc="0" locked="0" layoutInCell="1" allowOverlap="1">
                <wp:simplePos x="0" y="0"/>
                <wp:positionH relativeFrom="column">
                  <wp:posOffset>-20322</wp:posOffset>
                </wp:positionH>
                <wp:positionV relativeFrom="line">
                  <wp:posOffset>-9524</wp:posOffset>
                </wp:positionV>
                <wp:extent cx="6035677" cy="636"/>
                <wp:effectExtent l="0" t="0" r="0" b="0"/>
                <wp:wrapNone/>
                <wp:docPr id="1073741825" name="officeArt object"/>
                <wp:cNvGraphicFramePr/>
                <a:graphic xmlns:a="http://schemas.openxmlformats.org/drawingml/2006/main">
                  <a:graphicData uri="http://schemas.microsoft.com/office/word/2010/wordprocessingShape">
                    <wps:wsp>
                      <wps:cNvSpPr/>
                      <wps:spPr>
                        <a:xfrm>
                          <a:off x="0" y="0"/>
                          <a:ext cx="6035677" cy="636"/>
                        </a:xfrm>
                        <a:prstGeom prst="line">
                          <a:avLst/>
                        </a:prstGeom>
                        <a:noFill/>
                        <a:ln w="25400" cap="flat">
                          <a:solidFill>
                            <a:srgbClr val="000000"/>
                          </a:solidFill>
                          <a:prstDash val="solid"/>
                          <a:round/>
                        </a:ln>
                        <a:effectLst/>
                      </wps:spPr>
                      <wps:bodyPr/>
                    </wps:wsp>
                  </a:graphicData>
                </a:graphic>
              </wp:anchor>
            </w:drawing>
          </mc:Choice>
          <mc:Fallback>
            <w:pict>
              <v:line id="_x0000_s1026" style="visibility:visible;position:absolute;margin-left:-1.6pt;margin-top:-0.8pt;width:475.3pt;height:0.1pt;z-index:251659264;mso-position-horizontal:absolute;mso-position-horizontal-relative:text;mso-position-vertical:absolute;mso-position-vertical-relative:line;mso-wrap-distance-left:0.0pt;mso-wrap-distance-top:0.0pt;mso-wrap-distance-right:0.0pt;mso-wrap-distance-bottom:0.0pt;">
                <v:fill on="f"/>
                <v:stroke filltype="solid" color="#000000" opacity="100.0%" weight="2.0pt" dashstyle="solid" endcap="flat" joinstyle="round" linestyle="single" startarrow="none" startarrowwidth="medium" startarrowlength="medium" endarrow="none" endarrowwidth="medium" endarrowlength="medium"/>
                <w10:wrap type="none" side="bothSides" anchorx="text"/>
              </v:line>
            </w:pict>
          </mc:Fallback>
        </mc:AlternateContent>
      </w:r>
    </w:p>
    <w:p>
      <w:pPr>
        <w:pStyle w:val="Body A"/>
        <w:jc w:val="center"/>
        <w:rPr>
          <w:sz w:val="24"/>
          <w:szCs w:val="24"/>
        </w:rPr>
      </w:pPr>
      <w:r>
        <w:rPr>
          <w:sz w:val="24"/>
          <w:szCs w:val="24"/>
          <w:rtl w:val="0"/>
          <w:lang w:val="en-US"/>
        </w:rPr>
        <w:t>PROFILE</w:t>
      </w:r>
    </w:p>
    <w:p>
      <w:pPr>
        <w:pStyle w:val="Body A"/>
        <w:jc w:val="center"/>
        <w:rPr>
          <w:sz w:val="24"/>
          <w:szCs w:val="24"/>
        </w:rPr>
      </w:pPr>
    </w:p>
    <w:p>
      <w:pPr>
        <w:pStyle w:val="Achievement"/>
        <w:ind w:left="0" w:firstLine="0"/>
        <w:rPr>
          <w:rFonts w:ascii="Times New Roman" w:cs="Times New Roman" w:hAnsi="Times New Roman" w:eastAsia="Times New Roman"/>
          <w:sz w:val="24"/>
          <w:szCs w:val="24"/>
        </w:rPr>
      </w:pPr>
      <w:r>
        <w:rPr>
          <w:rFonts w:ascii="Times New Roman" w:hAnsi="Times New Roman"/>
          <w:sz w:val="24"/>
          <w:szCs w:val="24"/>
          <w:rtl w:val="0"/>
          <w:lang w:val="en-US"/>
        </w:rPr>
        <w:t xml:space="preserve">Mr. Hightower is a </w:t>
      </w:r>
      <w:r>
        <w:rPr>
          <w:rFonts w:ascii="Times New Roman" w:hAnsi="Times New Roman"/>
          <w:sz w:val="24"/>
          <w:szCs w:val="24"/>
          <w:rtl w:val="0"/>
          <w:lang w:val="en-US"/>
        </w:rPr>
        <w:t>Research Professor at the University of New Mexico</w:t>
      </w:r>
      <w:r>
        <w:rPr>
          <w:rFonts w:ascii="Times New Roman" w:hAnsi="Times New Roman" w:hint="default"/>
          <w:sz w:val="24"/>
          <w:szCs w:val="24"/>
          <w:rtl w:val="0"/>
          <w:lang w:val="en-US"/>
        </w:rPr>
        <w:t>’</w:t>
      </w:r>
      <w:r>
        <w:rPr>
          <w:rFonts w:ascii="Times New Roman" w:hAnsi="Times New Roman"/>
          <w:sz w:val="24"/>
          <w:szCs w:val="24"/>
          <w:rtl w:val="0"/>
          <w:lang w:val="en-US"/>
        </w:rPr>
        <w:t>s Center for Water and the Environment.  A</w:t>
      </w:r>
      <w:r>
        <w:rPr>
          <w:rFonts w:ascii="Times New Roman" w:hAnsi="Times New Roman"/>
          <w:sz w:val="24"/>
          <w:szCs w:val="24"/>
          <w:rtl w:val="0"/>
          <w:lang w:val="en-US"/>
        </w:rPr>
        <w:t xml:space="preserve">fter serving 38 years at Sandia National Laboratories in Albuquerque, </w:t>
      </w:r>
      <w:r>
        <w:rPr>
          <w:rFonts w:ascii="Times New Roman" w:hAnsi="Times New Roman"/>
          <w:sz w:val="24"/>
          <w:szCs w:val="24"/>
          <w:rtl w:val="0"/>
          <w:lang w:val="en-US"/>
        </w:rPr>
        <w:t>Mike continues as a mentor on energy and water issues</w:t>
      </w:r>
      <w:r>
        <w:rPr>
          <w:rFonts w:ascii="Times New Roman" w:hAnsi="Times New Roman"/>
          <w:sz w:val="24"/>
          <w:szCs w:val="24"/>
          <w:rtl w:val="0"/>
          <w:lang w:val="en-US"/>
        </w:rPr>
        <w:t>.  Mike holds Bachelor</w:t>
      </w:r>
      <w:r>
        <w:rPr>
          <w:rFonts w:ascii="Times New Roman" w:hAnsi="Times New Roman" w:hint="default"/>
          <w:sz w:val="24"/>
          <w:szCs w:val="24"/>
          <w:rtl w:val="0"/>
          <w:lang w:val="en-US"/>
        </w:rPr>
        <w:t>’</w:t>
      </w:r>
      <w:r>
        <w:rPr>
          <w:rFonts w:ascii="Times New Roman" w:hAnsi="Times New Roman"/>
          <w:sz w:val="24"/>
          <w:szCs w:val="24"/>
          <w:rtl w:val="0"/>
          <w:lang w:val="en-US"/>
        </w:rPr>
        <w:t>s and Master</w:t>
      </w:r>
      <w:r>
        <w:rPr>
          <w:rFonts w:ascii="Times New Roman" w:hAnsi="Times New Roman" w:hint="default"/>
          <w:sz w:val="24"/>
          <w:szCs w:val="24"/>
          <w:rtl w:val="0"/>
          <w:lang w:val="en-US"/>
        </w:rPr>
        <w:t>’</w:t>
      </w:r>
      <w:r>
        <w:rPr>
          <w:rFonts w:ascii="Times New Roman" w:hAnsi="Times New Roman"/>
          <w:sz w:val="24"/>
          <w:szCs w:val="24"/>
          <w:rtl w:val="0"/>
          <w:lang w:val="en-US"/>
        </w:rPr>
        <w:t>s degrees in civil and environmental engineering from New Mexico State University and has 40 years of experience in space, weapons, and energy and natural resources research and engineering.  H</w:t>
      </w:r>
      <w:r>
        <w:rPr>
          <w:rFonts w:ascii="Times New Roman" w:hAnsi="Times New Roman"/>
          <w:sz w:val="24"/>
          <w:szCs w:val="24"/>
          <w:rtl w:val="0"/>
          <w:lang w:val="en-US"/>
        </w:rPr>
        <w:t>i</w:t>
      </w:r>
      <w:r>
        <w:rPr>
          <w:rFonts w:ascii="Times New Roman" w:hAnsi="Times New Roman"/>
          <w:sz w:val="24"/>
          <w:szCs w:val="24"/>
          <w:rtl w:val="0"/>
          <w:lang w:val="en-US"/>
        </w:rPr>
        <w:t xml:space="preserve">s focus in the past two decades has been on the use of distributed and renewable energy and water treatment technologies to enhance economic development, global public health, and infrastructure and natural resource security and resiliency. </w:t>
      </w:r>
    </w:p>
    <w:p>
      <w:pPr>
        <w:pStyle w:val="Achievement"/>
        <w:ind w:left="0" w:firstLine="0"/>
      </w:pPr>
      <w:r>
        <w:rPr>
          <w:rFonts w:ascii="Times New Roman" w:hAnsi="Times New Roman"/>
          <w:sz w:val="24"/>
          <w:szCs w:val="24"/>
          <w:rtl w:val="0"/>
          <w:lang w:val="en-US"/>
        </w:rPr>
        <w:t xml:space="preserve">Since 2000 </w:t>
      </w:r>
      <w:r>
        <w:rPr>
          <w:rFonts w:ascii="Times New Roman" w:hAnsi="Times New Roman"/>
          <w:sz w:val="24"/>
          <w:szCs w:val="24"/>
          <w:rtl w:val="0"/>
          <w:lang w:val="en-US"/>
        </w:rPr>
        <w:t>Mike</w:t>
      </w:r>
      <w:r>
        <w:rPr>
          <w:rFonts w:ascii="Times New Roman" w:hAnsi="Times New Roman"/>
          <w:sz w:val="24"/>
          <w:szCs w:val="24"/>
          <w:rtl w:val="0"/>
          <w:lang w:val="en-US"/>
        </w:rPr>
        <w:t xml:space="preserve"> has </w:t>
      </w:r>
      <w:r>
        <w:rPr>
          <w:rFonts w:ascii="Times New Roman" w:hAnsi="Times New Roman"/>
          <w:sz w:val="24"/>
          <w:szCs w:val="24"/>
          <w:rtl w:val="0"/>
          <w:lang w:val="en-US"/>
        </w:rPr>
        <w:t xml:space="preserve">actively </w:t>
      </w:r>
      <w:r>
        <w:rPr>
          <w:rFonts w:ascii="Times New Roman" w:hAnsi="Times New Roman"/>
          <w:sz w:val="24"/>
          <w:szCs w:val="24"/>
          <w:rtl w:val="0"/>
          <w:lang w:val="en-US"/>
        </w:rPr>
        <w:t>supported the Departments of Interior</w:t>
      </w:r>
      <w:r>
        <w:rPr>
          <w:rFonts w:ascii="Times New Roman" w:hAnsi="Times New Roman"/>
          <w:sz w:val="24"/>
          <w:szCs w:val="24"/>
          <w:rtl w:val="0"/>
          <w:lang w:val="en-US"/>
        </w:rPr>
        <w:t>, State, Defense,</w:t>
      </w:r>
      <w:r>
        <w:rPr>
          <w:rFonts w:ascii="Times New Roman" w:hAnsi="Times New Roman"/>
          <w:sz w:val="24"/>
          <w:szCs w:val="24"/>
          <w:rtl w:val="0"/>
          <w:lang w:val="en-US"/>
        </w:rPr>
        <w:t xml:space="preserve"> and Energy in establishing science and technology programs to address</w:t>
      </w:r>
      <w:r>
        <w:rPr>
          <w:rFonts w:ascii="Times New Roman" w:hAnsi="Times New Roman"/>
          <w:sz w:val="24"/>
          <w:szCs w:val="24"/>
          <w:rtl w:val="0"/>
          <w:lang w:val="en-US"/>
        </w:rPr>
        <w:t xml:space="preserve"> energy and water sustainability issues and</w:t>
      </w:r>
      <w:r>
        <w:rPr>
          <w:rFonts w:ascii="Times New Roman" w:hAnsi="Times New Roman"/>
          <w:sz w:val="24"/>
          <w:szCs w:val="24"/>
          <w:rtl w:val="0"/>
          <w:lang w:val="en-US"/>
        </w:rPr>
        <w:t xml:space="preserve"> interdependencies. These efforts have </w:t>
      </w:r>
      <w:r>
        <w:rPr>
          <w:rFonts w:ascii="Times New Roman" w:hAnsi="Times New Roman"/>
          <w:sz w:val="24"/>
          <w:szCs w:val="24"/>
          <w:rtl w:val="0"/>
          <w:lang w:val="en-US"/>
        </w:rPr>
        <w:t xml:space="preserve">centered on advanced treatment and desalination of non-traditional water resources such as brackish ground water, oil and gas produced water, and power plant cooling water to efficiently and cost effectively reduce fresh water use and supplement fresh water supply availability in inland areas.  Mike has had numerous articles and reports published on desalination and energy/water interdependencies including two Reports to </w:t>
      </w:r>
      <w:r>
        <w:rPr>
          <w:rFonts w:ascii="Times New Roman" w:hAnsi="Times New Roman"/>
          <w:sz w:val="24"/>
          <w:szCs w:val="24"/>
          <w:rtl w:val="0"/>
          <w:lang w:val="en-US"/>
        </w:rPr>
        <w:t xml:space="preserve">Congress, </w:t>
      </w:r>
      <w:r>
        <w:rPr>
          <w:rFonts w:ascii="Times New Roman" w:hAnsi="Times New Roman"/>
          <w:sz w:val="24"/>
          <w:szCs w:val="24"/>
          <w:rtl w:val="0"/>
          <w:lang w:val="en-US"/>
        </w:rPr>
        <w:t xml:space="preserve">an article in Nature, an Energy Water Food research roadmap for the National Science Foundation, and chapters in three books. </w:t>
      </w:r>
      <w:r>
        <w:rPr>
          <w:rFonts w:ascii="Times New Roman" w:cs="Times New Roman" w:hAnsi="Times New Roman" w:eastAsia="Times New Roman"/>
          <w:sz w:val="24"/>
          <w:szCs w:val="24"/>
        </w:rPr>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Achievement">
    <w:name w:val="Achievement"/>
    <w:next w:val="Achievement"/>
    <w:pPr>
      <w:keepNext w:val="0"/>
      <w:keepLines w:val="0"/>
      <w:pageBreakBefore w:val="0"/>
      <w:widowControl w:val="1"/>
      <w:shd w:val="clear" w:color="auto" w:fill="auto"/>
      <w:suppressAutoHyphens w:val="0"/>
      <w:bidi w:val="0"/>
      <w:spacing w:before="0" w:after="60" w:line="220" w:lineRule="atLeast"/>
      <w:ind w:left="240" w:right="0" w:hanging="240"/>
      <w:jc w:val="both"/>
      <w:outlineLvl w:val="9"/>
    </w:pPr>
    <w:rPr>
      <w:rFonts w:ascii="Arial" w:cs="Arial Unicode MS" w:hAnsi="Arial" w:eastAsia="Arial Unicode MS"/>
      <w:b w:val="0"/>
      <w:bCs w:val="0"/>
      <w:i w:val="0"/>
      <w:iCs w:val="0"/>
      <w:caps w:val="0"/>
      <w:smallCaps w:val="0"/>
      <w:strike w:val="0"/>
      <w:dstrike w:val="0"/>
      <w:outline w:val="0"/>
      <w:color w:val="000000"/>
      <w:spacing w:val="-5"/>
      <w:kern w:val="0"/>
      <w:position w:val="0"/>
      <w:sz w:val="20"/>
      <w:szCs w:val="20"/>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