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70C" w:rsidRPr="004917B9" w:rsidRDefault="00F9570C" w:rsidP="000722F0">
      <w:pPr>
        <w:spacing w:after="0"/>
        <w:contextualSpacing/>
        <w:jc w:val="center"/>
        <w:rPr>
          <w:b/>
        </w:rPr>
      </w:pPr>
      <w:r w:rsidRPr="004917B9">
        <w:rPr>
          <w:b/>
        </w:rPr>
        <w:t>KENNETH W. APPELL</w:t>
      </w:r>
    </w:p>
    <w:p w:rsidR="00F9570C" w:rsidRDefault="00F9570C" w:rsidP="000722F0">
      <w:pPr>
        <w:spacing w:after="0"/>
        <w:contextualSpacing/>
        <w:jc w:val="center"/>
      </w:pPr>
      <w:r>
        <w:t>60836 State Route 124</w:t>
      </w:r>
    </w:p>
    <w:p w:rsidR="00F9570C" w:rsidRDefault="00F9570C" w:rsidP="000722F0">
      <w:pPr>
        <w:spacing w:after="0"/>
        <w:contextualSpacing/>
        <w:jc w:val="center"/>
      </w:pPr>
      <w:r>
        <w:t xml:space="preserve">Long </w:t>
      </w:r>
      <w:smartTag w:uri="urn:schemas-microsoft-com:office:smarttags" w:element="place">
        <w:smartTag w:uri="urn:schemas-microsoft-com:office:smarttags" w:element="City">
          <w:r>
            <w:t>Bottom</w:t>
          </w:r>
        </w:smartTag>
        <w:r>
          <w:t xml:space="preserve">, </w:t>
        </w:r>
        <w:smartTag w:uri="urn:schemas-microsoft-com:office:smarttags" w:element="State">
          <w:r>
            <w:t>Ohio</w:t>
          </w:r>
        </w:smartTag>
        <w:r>
          <w:t xml:space="preserve">   </w:t>
        </w:r>
        <w:smartTag w:uri="urn:schemas-microsoft-com:office:smarttags" w:element="PostalCode">
          <w:r>
            <w:t>45743</w:t>
          </w:r>
        </w:smartTag>
      </w:smartTag>
    </w:p>
    <w:p w:rsidR="00F9570C" w:rsidRDefault="00F9570C" w:rsidP="000722F0">
      <w:pPr>
        <w:spacing w:after="0"/>
        <w:contextualSpacing/>
        <w:jc w:val="center"/>
      </w:pPr>
      <w:r>
        <w:t>Home:  (740) 949-2652</w:t>
      </w:r>
    </w:p>
    <w:p w:rsidR="00F9570C" w:rsidRDefault="00D66023" w:rsidP="000722F0">
      <w:pPr>
        <w:spacing w:after="0"/>
        <w:contextualSpacing/>
        <w:jc w:val="center"/>
      </w:pPr>
      <w:r>
        <w:t>Mobile</w:t>
      </w:r>
      <w:r w:rsidR="00F9570C">
        <w:t xml:space="preserve">:  (740) </w:t>
      </w:r>
      <w:r>
        <w:t>538</w:t>
      </w:r>
      <w:r w:rsidR="00F9570C">
        <w:t>-</w:t>
      </w:r>
      <w:r>
        <w:t>4729</w:t>
      </w:r>
    </w:p>
    <w:p w:rsidR="00F9570C" w:rsidRPr="00213E40" w:rsidRDefault="00F9570C" w:rsidP="004917B9">
      <w:pPr>
        <w:contextualSpacing/>
        <w:rPr>
          <w:b/>
        </w:rPr>
      </w:pPr>
      <w:r w:rsidRPr="00213E40">
        <w:rPr>
          <w:b/>
        </w:rPr>
        <w:t>EXPERIENCE: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90"/>
        <w:gridCol w:w="7668"/>
      </w:tblGrid>
      <w:tr w:rsidR="00F9570C" w:rsidRPr="00A045F3" w:rsidTr="00A045F3">
        <w:tc>
          <w:tcPr>
            <w:tcW w:w="1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Default="00F9570C" w:rsidP="00A045F3">
            <w:pPr>
              <w:spacing w:after="0" w:line="240" w:lineRule="auto"/>
              <w:contextualSpacing/>
            </w:pPr>
            <w:r>
              <w:t>03/12 - Present</w:t>
            </w:r>
          </w:p>
        </w:tc>
        <w:tc>
          <w:tcPr>
            <w:tcW w:w="7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Default="00F9570C" w:rsidP="00A045F3">
            <w:pPr>
              <w:spacing w:after="0" w:line="240" w:lineRule="auto"/>
              <w:contextualSpacing/>
              <w:rPr>
                <w:u w:val="single"/>
              </w:rPr>
            </w:pPr>
            <w:r>
              <w:rPr>
                <w:u w:val="single"/>
              </w:rPr>
              <w:t>Senior Process Engineer</w:t>
            </w:r>
          </w:p>
          <w:p w:rsidR="00F9570C" w:rsidRDefault="00F9570C" w:rsidP="00A045F3">
            <w:pPr>
              <w:spacing w:after="0" w:line="240" w:lineRule="auto"/>
              <w:contextualSpacing/>
            </w:pPr>
            <w:r w:rsidRPr="00DE0A0B">
              <w:t>Solvay Specialty Polymers</w:t>
            </w:r>
          </w:p>
          <w:p w:rsidR="00F9570C" w:rsidRDefault="00F9570C" w:rsidP="00A045F3">
            <w:pPr>
              <w:spacing w:after="0" w:line="240" w:lineRule="auto"/>
              <w:contextualSpacing/>
            </w:pPr>
            <w:smartTag w:uri="urn:schemas-microsoft-com:office:smarttags" w:element="City">
              <w:r>
                <w:t>Marietta</w:t>
              </w:r>
            </w:smartTag>
            <w:r>
              <w:t xml:space="preserve"> Plant / </w:t>
            </w:r>
            <w:smartTag w:uri="urn:schemas-microsoft-com:office:smarttags" w:element="City">
              <w:smartTag w:uri="urn:schemas-microsoft-com:office:smarttags" w:element="place">
                <w:r>
                  <w:t>Marietta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Ohio</w:t>
                </w:r>
              </w:smartTag>
            </w:smartTag>
          </w:p>
          <w:p w:rsidR="00F9570C" w:rsidRDefault="00F9570C" w:rsidP="00296AD9">
            <w:pPr>
              <w:spacing w:after="0" w:line="240" w:lineRule="auto"/>
              <w:contextualSpacing/>
            </w:pPr>
          </w:p>
          <w:p w:rsidR="005F5223" w:rsidRDefault="005F5223" w:rsidP="005F522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42"/>
            </w:pPr>
            <w:r>
              <w:t xml:space="preserve">On-Going:  Radel Batch Cycle Time Reduction Projects have reduced batch cycle </w:t>
            </w:r>
            <w:r w:rsidR="00DE6972">
              <w:t xml:space="preserve">time </w:t>
            </w:r>
            <w:r>
              <w:t xml:space="preserve">from 15 </w:t>
            </w:r>
            <w:proofErr w:type="spellStart"/>
            <w:r>
              <w:t>hrs</w:t>
            </w:r>
            <w:proofErr w:type="spellEnd"/>
            <w:r>
              <w:t xml:space="preserve"> to </w:t>
            </w:r>
            <w:r w:rsidR="0095526B">
              <w:t>8</w:t>
            </w:r>
            <w:bookmarkStart w:id="0" w:name="_GoBack"/>
            <w:bookmarkEnd w:id="0"/>
            <w:r>
              <w:t>hrs.  Once all equipment is installed, cycle times will be less than 7 hrs.</w:t>
            </w:r>
          </w:p>
          <w:p w:rsidR="00D66023" w:rsidRDefault="000722F0" w:rsidP="00D6602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42"/>
            </w:pPr>
            <w:r>
              <w:t>2017</w:t>
            </w:r>
            <w:r w:rsidR="005F5223">
              <w:t>-2018</w:t>
            </w:r>
            <w:r>
              <w:t xml:space="preserve"> </w:t>
            </w:r>
            <w:r w:rsidR="00D34C55">
              <w:t xml:space="preserve">Lead Process Engineer for the new Molten Sulfone Monomer Storage and Feed System.  This project involved steam jacketed piping, new pumps </w:t>
            </w:r>
            <w:r>
              <w:t>and exchangers,</w:t>
            </w:r>
            <w:r w:rsidR="00D34C55">
              <w:t xml:space="preserve"> </w:t>
            </w:r>
            <w:r>
              <w:t>with</w:t>
            </w:r>
            <w:r w:rsidR="00D34C55">
              <w:t xml:space="preserve"> new and revised control logic. </w:t>
            </w:r>
          </w:p>
          <w:p w:rsidR="00D66023" w:rsidRDefault="000722F0" w:rsidP="00D6602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42"/>
            </w:pPr>
            <w:r>
              <w:t>2015</w:t>
            </w:r>
            <w:r w:rsidR="005F5223">
              <w:t>-2016</w:t>
            </w:r>
            <w:r>
              <w:t xml:space="preserve"> </w:t>
            </w:r>
            <w:r w:rsidR="00D66023">
              <w:t>Lead Process Engineer for</w:t>
            </w:r>
            <w:r w:rsidR="009B561F">
              <w:t xml:space="preserve"> Borger Texas Ryton Plant’s Slurry System and Salt Flash Concentrator Projects.  This involved new pumps, new piping</w:t>
            </w:r>
            <w:r w:rsidR="005F5223">
              <w:t xml:space="preserve"> and</w:t>
            </w:r>
            <w:r w:rsidR="009B561F">
              <w:t xml:space="preserve"> new control logic which resulted in those unit operations meeting or exceeding nameplate.</w:t>
            </w:r>
          </w:p>
          <w:p w:rsidR="00D66023" w:rsidRDefault="005F5223" w:rsidP="00D6602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42"/>
            </w:pPr>
            <w:r>
              <w:t>2012-</w:t>
            </w:r>
            <w:r w:rsidR="000722F0">
              <w:t xml:space="preserve">2014 </w:t>
            </w:r>
            <w:r w:rsidR="00D66023">
              <w:t>Lead Process Engineer for Radel Post Expansion Stabilization Project</w:t>
            </w:r>
            <w:r w:rsidR="009B561F">
              <w:t xml:space="preserve"> that increased Line 2 production rate by 40%;</w:t>
            </w:r>
            <w:r w:rsidR="00D66023">
              <w:t xml:space="preserve"> </w:t>
            </w:r>
            <w:r w:rsidR="009B561F">
              <w:t>a) s</w:t>
            </w:r>
            <w:r w:rsidR="00D66023">
              <w:t>ized new column reboiler to improve heat transfer and reduce fouling</w:t>
            </w:r>
            <w:r w:rsidR="009B561F">
              <w:t xml:space="preserve">, b) </w:t>
            </w:r>
            <w:r w:rsidR="00D66023">
              <w:t>completely revamped a salt slurry system with new pumps, piping</w:t>
            </w:r>
            <w:r w:rsidR="009B561F">
              <w:t xml:space="preserve"> and control system and c) troubleshot and sized a new static mixer heat exchanger for a flash operation in devolatilization.</w:t>
            </w:r>
          </w:p>
          <w:p w:rsidR="00D66023" w:rsidRDefault="005F5223" w:rsidP="00D6602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42"/>
            </w:pPr>
            <w:r>
              <w:t>2012-</w:t>
            </w:r>
            <w:r w:rsidR="000722F0">
              <w:t xml:space="preserve">2013 </w:t>
            </w:r>
            <w:r w:rsidR="00D66023">
              <w:t xml:space="preserve">Led Radel Solvent Color Improvement that reduced solvent color by greater than 50% and increased the </w:t>
            </w:r>
            <w:proofErr w:type="spellStart"/>
            <w:r w:rsidR="00D66023">
              <w:t>Ppk</w:t>
            </w:r>
            <w:proofErr w:type="spellEnd"/>
            <w:r w:rsidR="00D66023">
              <w:t xml:space="preserve"> from less than 1 to greater than 2.</w:t>
            </w:r>
          </w:p>
          <w:p w:rsidR="00D34C55" w:rsidRPr="00DE0A0B" w:rsidRDefault="00D34C55" w:rsidP="00D34C55">
            <w:pPr>
              <w:spacing w:after="0" w:line="240" w:lineRule="auto"/>
            </w:pPr>
          </w:p>
        </w:tc>
      </w:tr>
      <w:tr w:rsidR="00F9570C" w:rsidRPr="00A045F3" w:rsidTr="00A045F3">
        <w:tc>
          <w:tcPr>
            <w:tcW w:w="1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Default="00F9570C" w:rsidP="00A045F3">
            <w:pPr>
              <w:spacing w:after="0" w:line="240" w:lineRule="auto"/>
              <w:contextualSpacing/>
            </w:pPr>
          </w:p>
          <w:p w:rsidR="00D34C55" w:rsidRDefault="00D34C55" w:rsidP="00A045F3">
            <w:pPr>
              <w:spacing w:after="0" w:line="240" w:lineRule="auto"/>
              <w:contextualSpacing/>
            </w:pPr>
          </w:p>
          <w:p w:rsidR="00737A59" w:rsidRDefault="00737A59" w:rsidP="00A045F3">
            <w:pPr>
              <w:spacing w:after="0" w:line="240" w:lineRule="auto"/>
              <w:contextualSpacing/>
            </w:pPr>
          </w:p>
          <w:p w:rsidR="00737A59" w:rsidRDefault="00737A59" w:rsidP="00A045F3">
            <w:pPr>
              <w:spacing w:after="0" w:line="240" w:lineRule="auto"/>
              <w:contextualSpacing/>
            </w:pP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 xml:space="preserve">01/09 </w:t>
            </w:r>
            <w:r>
              <w:t>–</w:t>
            </w:r>
            <w:r w:rsidRPr="00A045F3">
              <w:t xml:space="preserve"> </w:t>
            </w:r>
            <w:r>
              <w:t>03/12</w:t>
            </w:r>
          </w:p>
        </w:tc>
        <w:tc>
          <w:tcPr>
            <w:tcW w:w="7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7A59" w:rsidRPr="00737A59" w:rsidRDefault="00737A59" w:rsidP="00D34C5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2" w:hanging="342"/>
              <w:rPr>
                <w:u w:val="single"/>
              </w:rPr>
            </w:pPr>
            <w:r>
              <w:t xml:space="preserve">2017 Solvay Specialty Polymers Marietta Site Significant Contribution Winner for Radel </w:t>
            </w:r>
            <w:r w:rsidR="009920B3">
              <w:t>B</w:t>
            </w:r>
            <w:r>
              <w:t>atch Reactor Enhanced Termination and Ventless Transfer Project.</w:t>
            </w:r>
          </w:p>
          <w:p w:rsidR="00D34C55" w:rsidRPr="00D34C55" w:rsidRDefault="00D34C55" w:rsidP="00D34C5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42" w:hanging="342"/>
              <w:rPr>
                <w:u w:val="single"/>
              </w:rPr>
            </w:pPr>
            <w:r>
              <w:t>2015 Solvay North America</w:t>
            </w:r>
            <w:r w:rsidR="00875B97">
              <w:t>’s</w:t>
            </w:r>
            <w:r>
              <w:t xml:space="preserve"> highest rated process engineer.</w:t>
            </w:r>
          </w:p>
          <w:p w:rsidR="00D34C55" w:rsidRPr="00D34C55" w:rsidRDefault="00D34C55" w:rsidP="00D34C55">
            <w:pPr>
              <w:spacing w:after="0" w:line="240" w:lineRule="auto"/>
              <w:rPr>
                <w:u w:val="single"/>
              </w:rPr>
            </w:pPr>
          </w:p>
          <w:p w:rsidR="00F9570C" w:rsidRPr="00A045F3" w:rsidRDefault="00D66023" w:rsidP="00A045F3">
            <w:pPr>
              <w:spacing w:after="0" w:line="240" w:lineRule="auto"/>
              <w:contextualSpacing/>
              <w:rPr>
                <w:u w:val="single"/>
              </w:rPr>
            </w:pPr>
            <w:r>
              <w:rPr>
                <w:u w:val="single"/>
              </w:rPr>
              <w:t xml:space="preserve">Senior </w:t>
            </w:r>
            <w:r w:rsidR="00F9570C" w:rsidRPr="00A045F3">
              <w:rPr>
                <w:u w:val="single"/>
              </w:rPr>
              <w:t>Process Engineer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KRATON Polymers, Inc.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 xml:space="preserve">Belpre Plant / </w:t>
            </w:r>
            <w:smartTag w:uri="urn:schemas-microsoft-com:office:smarttags" w:element="place">
              <w:smartTag w:uri="urn:schemas-microsoft-com:office:smarttags" w:element="City">
                <w:r w:rsidRPr="00A045F3">
                  <w:t>Belpre</w:t>
                </w:r>
              </w:smartTag>
              <w:r w:rsidRPr="00A045F3">
                <w:t xml:space="preserve">, </w:t>
              </w:r>
              <w:smartTag w:uri="urn:schemas-microsoft-com:office:smarttags" w:element="State">
                <w:r w:rsidRPr="00A045F3">
                  <w:t>Ohio</w:t>
                </w:r>
              </w:smartTag>
            </w:smartTag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(The world’s largest producer of block co-polymers)</w:t>
            </w:r>
          </w:p>
          <w:p w:rsidR="00F9570C" w:rsidRPr="00A045F3" w:rsidRDefault="00F9570C" w:rsidP="00A045F3">
            <w:pPr>
              <w:tabs>
                <w:tab w:val="left" w:pos="4788"/>
              </w:tabs>
              <w:spacing w:after="0" w:line="240" w:lineRule="auto"/>
              <w:contextualSpacing/>
            </w:pPr>
            <w:r w:rsidRPr="00A045F3">
              <w:tab/>
            </w:r>
          </w:p>
          <w:p w:rsidR="00F9570C" w:rsidRPr="00A045F3" w:rsidRDefault="00F9570C" w:rsidP="00A045F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A045F3">
              <w:t>Member of the Global Manufacturing Team representing the USBC production units from the Belpre site.</w:t>
            </w:r>
          </w:p>
          <w:p w:rsidR="00F9570C" w:rsidRPr="00A045F3" w:rsidRDefault="00F9570C" w:rsidP="00A045F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A045F3">
              <w:t>Led cost savings projects that saved over $1MM</w:t>
            </w:r>
            <w:r>
              <w:t xml:space="preserve"> each </w:t>
            </w:r>
            <w:r w:rsidRPr="00A045F3">
              <w:t xml:space="preserve">in 2011 in </w:t>
            </w:r>
            <w:r>
              <w:t xml:space="preserve">terms of </w:t>
            </w:r>
            <w:r w:rsidRPr="00A045F3">
              <w:t>hydrogen usage, anti-oxidant consumption and production losses caused by inadequate monomer flow.</w:t>
            </w:r>
          </w:p>
          <w:p w:rsidR="00F9570C" w:rsidRPr="00A045F3" w:rsidRDefault="00F9570C" w:rsidP="00A045F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A045F3">
              <w:t>Lead process engineer and wet-end start-up manager for the K-1 Isoprene Rubber (IR) Project.  This was a $30MM capital project that converted K-1 from an USBC plant into an IR and USBC swing plant.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</w:p>
          <w:p w:rsidR="00F9570C" w:rsidRPr="00A045F3" w:rsidRDefault="00F9570C" w:rsidP="00AC78D1">
            <w:pPr>
              <w:pStyle w:val="ListParagraph"/>
              <w:numPr>
                <w:ilvl w:val="1"/>
                <w:numId w:val="4"/>
              </w:numPr>
              <w:tabs>
                <w:tab w:val="clear" w:pos="1080"/>
                <w:tab w:val="left" w:pos="342"/>
              </w:tabs>
              <w:spacing w:after="0" w:line="240" w:lineRule="auto"/>
              <w:ind w:left="342"/>
            </w:pPr>
            <w:r w:rsidRPr="00A045F3">
              <w:t xml:space="preserve">2011 Special Recognition Award for being the lead wet-end process engineer for the K-1 Isoprene Rubber Project and for being the IR start-up manager and process lead. </w:t>
            </w:r>
          </w:p>
          <w:p w:rsidR="00F9570C" w:rsidRPr="00A045F3" w:rsidRDefault="00F9570C" w:rsidP="00AC78D1">
            <w:pPr>
              <w:pStyle w:val="ListParagraph"/>
              <w:numPr>
                <w:ilvl w:val="0"/>
                <w:numId w:val="2"/>
              </w:numPr>
              <w:tabs>
                <w:tab w:val="left" w:pos="342"/>
              </w:tabs>
              <w:spacing w:after="0" w:line="240" w:lineRule="auto"/>
            </w:pPr>
            <w:r w:rsidRPr="00A045F3">
              <w:lastRenderedPageBreak/>
              <w:t xml:space="preserve">2010 Special Recognition Award for providing process support to the D1340 Test Run in </w:t>
            </w:r>
            <w:smartTag w:uri="urn:schemas-microsoft-com:office:smarttags" w:element="City">
              <w:smartTag w:uri="urn:schemas-microsoft-com:office:smarttags" w:element="place">
                <w:r w:rsidRPr="00A045F3">
                  <w:t>Paulina</w:t>
                </w:r>
              </w:smartTag>
              <w:r w:rsidRPr="00A045F3">
                <w:t xml:space="preserve">, </w:t>
              </w:r>
              <w:smartTag w:uri="urn:schemas-microsoft-com:office:smarttags" w:element="country-region">
                <w:r w:rsidRPr="00A045F3">
                  <w:t>Brazil</w:t>
                </w:r>
              </w:smartTag>
            </w:smartTag>
            <w:r w:rsidRPr="00A045F3">
              <w:t>.</w:t>
            </w:r>
          </w:p>
          <w:p w:rsidR="00F9570C" w:rsidRPr="00A045F3" w:rsidRDefault="00F9570C" w:rsidP="00AC78D1">
            <w:pPr>
              <w:pStyle w:val="ListParagraph"/>
              <w:numPr>
                <w:ilvl w:val="0"/>
                <w:numId w:val="2"/>
              </w:numPr>
              <w:tabs>
                <w:tab w:val="left" w:pos="342"/>
              </w:tabs>
              <w:spacing w:after="0" w:line="240" w:lineRule="auto"/>
            </w:pPr>
            <w:r w:rsidRPr="00A045F3">
              <w:t>2009 Special Recognition Award for being the lead wet-end process engineer for the successful K-1 Isoprene Rubber Test Run.</w:t>
            </w:r>
          </w:p>
        </w:tc>
      </w:tr>
      <w:tr w:rsidR="00F9570C" w:rsidRPr="00A045F3" w:rsidTr="00A045F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4C55" w:rsidRPr="00A045F3" w:rsidRDefault="00D34C55" w:rsidP="00A045F3">
            <w:pPr>
              <w:spacing w:after="0" w:line="240" w:lineRule="auto"/>
              <w:contextualSpacing/>
              <w:rPr>
                <w:u w:val="single"/>
              </w:rPr>
            </w:pPr>
          </w:p>
        </w:tc>
      </w:tr>
      <w:tr w:rsidR="00F9570C" w:rsidRPr="00A045F3" w:rsidTr="00A045F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08/02 – 01/09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  <w:rPr>
                <w:u w:val="single"/>
              </w:rPr>
            </w:pPr>
            <w:r w:rsidRPr="00A045F3">
              <w:rPr>
                <w:u w:val="single"/>
              </w:rPr>
              <w:t>Production Engineer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KRATON Polymers, Inc.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 xml:space="preserve">Belpre Plant / </w:t>
            </w:r>
            <w:smartTag w:uri="urn:schemas-microsoft-com:office:smarttags" w:element="place">
              <w:smartTag w:uri="urn:schemas-microsoft-com:office:smarttags" w:element="City">
                <w:r w:rsidRPr="00A045F3">
                  <w:t>Belpre</w:t>
                </w:r>
              </w:smartTag>
              <w:r w:rsidRPr="00A045F3">
                <w:t xml:space="preserve">, </w:t>
              </w:r>
              <w:smartTag w:uri="urn:schemas-microsoft-com:office:smarttags" w:element="State">
                <w:r w:rsidRPr="00A045F3">
                  <w:t>Ohio</w:t>
                </w:r>
              </w:smartTag>
            </w:smartTag>
          </w:p>
          <w:p w:rsidR="00F9570C" w:rsidRPr="00A045F3" w:rsidRDefault="00F9570C" w:rsidP="00A045F3">
            <w:pPr>
              <w:spacing w:after="0" w:line="240" w:lineRule="auto"/>
              <w:contextualSpacing/>
            </w:pP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Responsibilities for K-1 and K-3 production units: capacity plan, product loss tabulation and resolution plans, and lead in resolving product quality issues/customer complaints.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 xml:space="preserve">Increased production in K-1 from 95 </w:t>
            </w:r>
            <w:proofErr w:type="spellStart"/>
            <w:r w:rsidRPr="00A045F3">
              <w:t>MMtons</w:t>
            </w:r>
            <w:proofErr w:type="spellEnd"/>
            <w:r w:rsidRPr="00A045F3">
              <w:t>/</w:t>
            </w:r>
            <w:proofErr w:type="spellStart"/>
            <w:r w:rsidRPr="00A045F3">
              <w:t>yr</w:t>
            </w:r>
            <w:proofErr w:type="spellEnd"/>
            <w:r w:rsidRPr="00A045F3">
              <w:t xml:space="preserve"> to 145 </w:t>
            </w:r>
            <w:proofErr w:type="spellStart"/>
            <w:r w:rsidRPr="00A045F3">
              <w:t>MMtons</w:t>
            </w:r>
            <w:proofErr w:type="spellEnd"/>
            <w:r w:rsidRPr="00A045F3">
              <w:t>/</w:t>
            </w:r>
            <w:proofErr w:type="spellStart"/>
            <w:r w:rsidRPr="00A045F3">
              <w:t>yr</w:t>
            </w:r>
            <w:proofErr w:type="spellEnd"/>
            <w:r w:rsidRPr="00A045F3">
              <w:t xml:space="preserve"> leading the following process changes:</w:t>
            </w:r>
          </w:p>
          <w:p w:rsidR="00F9570C" w:rsidRPr="00A045F3" w:rsidRDefault="00F9570C" w:rsidP="00A045F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045F3">
              <w:t>Increased solvent column throughput.</w:t>
            </w:r>
          </w:p>
          <w:p w:rsidR="00F9570C" w:rsidRDefault="00F9570C" w:rsidP="00A045F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045F3">
              <w:t>Stabilized extruder feed rate by installing new mixers elements with a new baffle design in Coagulation.  Also automated the surfactant injection system and improved the mixing for improve</w:t>
            </w:r>
            <w:r w:rsidR="005F5223">
              <w:t>d</w:t>
            </w:r>
            <w:r w:rsidRPr="00A045F3">
              <w:t xml:space="preserve"> crumb size consistency and to minimize extruder slippage.</w:t>
            </w:r>
          </w:p>
          <w:p w:rsidR="00F9570C" w:rsidRPr="00A045F3" w:rsidRDefault="00F9570C" w:rsidP="00A045F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045F3">
              <w:t>Doubled extruder horsepower and installed amperage control on the dewatering extruders.  Also modified the extruder screw tip and die design for increased throughput and increased dewatering.</w:t>
            </w:r>
          </w:p>
          <w:p w:rsidR="00F9570C" w:rsidRPr="00A045F3" w:rsidRDefault="00F9570C" w:rsidP="00A045F3">
            <w:pPr>
              <w:spacing w:after="0" w:line="240" w:lineRule="auto"/>
            </w:pPr>
          </w:p>
          <w:p w:rsidR="00F9570C" w:rsidRPr="00A045F3" w:rsidRDefault="00F9570C" w:rsidP="00A045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045F3">
              <w:t>2006 Special Recognition Award for leading a high vinyl test run in K-1.  This required polymerization kinetics changes, procedure modifications and round the clock operational support.  New product grade represents +25% of the K-1 product line.</w:t>
            </w:r>
          </w:p>
          <w:p w:rsidR="00F9570C" w:rsidRPr="00A045F3" w:rsidRDefault="00F9570C" w:rsidP="00A045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045F3">
              <w:t>2006 Environmental Excellence Award for identifying a new chromium based catalyst for K-1’s fluidized bed catalytic oxidizer.  This change resulted in increased VOC destruction efficiency, 55% reduction in attrition rate and lower operating costs.</w:t>
            </w:r>
          </w:p>
          <w:p w:rsidR="00F9570C" w:rsidRPr="00A045F3" w:rsidRDefault="00F9570C" w:rsidP="00A045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A045F3">
              <w:t>2005 Environmental Excellence Award for reducing solvent losses by implementing nitrogen stripping in K-1’s Coagulation Section.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</w:tr>
      <w:tr w:rsidR="00F9570C" w:rsidRPr="00A045F3" w:rsidTr="00A045F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05/99 – 08/02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  <w:rPr>
                <w:u w:val="single"/>
              </w:rPr>
            </w:pPr>
            <w:r w:rsidRPr="00A045F3">
              <w:rPr>
                <w:u w:val="single"/>
              </w:rPr>
              <w:t>Senior Process Engineer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ASHTA Chemicals, Inc.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smartTag w:uri="urn:schemas-microsoft-com:office:smarttags" w:element="place">
              <w:smartTag w:uri="urn:schemas-microsoft-com:office:smarttags" w:element="City">
                <w:r w:rsidRPr="00A045F3">
                  <w:t>Ashtabula</w:t>
                </w:r>
              </w:smartTag>
              <w:r w:rsidRPr="00A045F3">
                <w:t xml:space="preserve">, </w:t>
              </w:r>
              <w:smartTag w:uri="urn:schemas-microsoft-com:office:smarttags" w:element="State">
                <w:r w:rsidRPr="00A045F3">
                  <w:t>Ohio</w:t>
                </w:r>
              </w:smartTag>
            </w:smartTag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 xml:space="preserve">(A mercury cell </w:t>
            </w:r>
            <w:proofErr w:type="spellStart"/>
            <w:r w:rsidRPr="00A045F3">
              <w:t>chlor</w:t>
            </w:r>
            <w:proofErr w:type="spellEnd"/>
            <w:r w:rsidRPr="00A045F3">
              <w:t xml:space="preserve">-alkali plant that produces 130 </w:t>
            </w:r>
            <w:proofErr w:type="spellStart"/>
            <w:r w:rsidRPr="00A045F3">
              <w:t>tpd</w:t>
            </w:r>
            <w:proofErr w:type="spellEnd"/>
            <w:r w:rsidRPr="00A045F3">
              <w:t xml:space="preserve"> of liquid chlorine and 230 </w:t>
            </w:r>
            <w:proofErr w:type="spellStart"/>
            <w:r w:rsidRPr="00A045F3">
              <w:t>tpd</w:t>
            </w:r>
            <w:proofErr w:type="spellEnd"/>
            <w:r w:rsidRPr="00A045F3">
              <w:t xml:space="preserve"> of potassium based caustics and derivatives)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President’s Award for Excellence for 2001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 xml:space="preserve">Process engineer for liquid and anhydrous potassium carbonate production and the chloropicrin plant.  Increased the anhydrous carbonate fluidized bed reactor production rate from 50 </w:t>
            </w:r>
            <w:proofErr w:type="spellStart"/>
            <w:r w:rsidRPr="00A045F3">
              <w:t>tpd</w:t>
            </w:r>
            <w:proofErr w:type="spellEnd"/>
            <w:r w:rsidRPr="00A045F3">
              <w:t xml:space="preserve"> to 90 </w:t>
            </w:r>
            <w:proofErr w:type="spellStart"/>
            <w:r w:rsidRPr="00A045F3">
              <w:t>tpd</w:t>
            </w:r>
            <w:proofErr w:type="spellEnd"/>
            <w:r w:rsidRPr="00A045F3">
              <w:t xml:space="preserve"> by determining the key operating parameters through instrumentation improvements and DOE’s.  Also improved the chloropicrin plant</w:t>
            </w:r>
            <w:r w:rsidR="005F5223">
              <w:t>’</w:t>
            </w:r>
            <w:r w:rsidRPr="00A045F3">
              <w:t xml:space="preserve">s reliability and product quality that led to a joint venture with Dow Chemical in installing a $1.5MM in-line railcar blending facility.  </w:t>
            </w:r>
            <w:proofErr w:type="spellStart"/>
            <w:r w:rsidRPr="00A045F3">
              <w:t>First hand</w:t>
            </w:r>
            <w:proofErr w:type="spellEnd"/>
            <w:r w:rsidRPr="00A045F3">
              <w:t xml:space="preserve"> experience with ISO9002, SPC, PSM, PSSR’s, HAZOPs, MOCs and HAZMAT training.</w:t>
            </w:r>
          </w:p>
          <w:p w:rsidR="00F9570C" w:rsidRPr="00A045F3" w:rsidRDefault="00F9570C" w:rsidP="00737A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2" w:hanging="342"/>
            </w:pPr>
            <w:r w:rsidRPr="00A045F3">
              <w:t>Employee of the Month:  December 2000.</w:t>
            </w:r>
          </w:p>
        </w:tc>
      </w:tr>
      <w:tr w:rsidR="00F9570C" w:rsidRPr="00A045F3" w:rsidTr="00737A59">
        <w:trPr>
          <w:trHeight w:val="8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6F00AC" w:rsidRPr="00A045F3" w:rsidRDefault="006F00AC" w:rsidP="00A045F3">
            <w:pPr>
              <w:spacing w:after="0" w:line="240" w:lineRule="auto"/>
              <w:contextualSpacing/>
            </w:pPr>
          </w:p>
        </w:tc>
      </w:tr>
      <w:tr w:rsidR="00F9570C" w:rsidRPr="00A045F3" w:rsidTr="00A045F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02/96 – 05/99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  <w:rPr>
                <w:u w:val="single"/>
              </w:rPr>
            </w:pPr>
            <w:r w:rsidRPr="00A045F3">
              <w:rPr>
                <w:u w:val="single"/>
              </w:rPr>
              <w:t>Shift Supervisor/Area Engineer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ASHTA Chemicals, Inc.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smartTag w:uri="urn:schemas-microsoft-com:office:smarttags" w:element="place">
              <w:smartTag w:uri="urn:schemas-microsoft-com:office:smarttags" w:element="City">
                <w:r w:rsidRPr="00A045F3">
                  <w:t>Ashtabula</w:t>
                </w:r>
              </w:smartTag>
              <w:r w:rsidRPr="00A045F3">
                <w:t xml:space="preserve">, </w:t>
              </w:r>
              <w:smartTag w:uri="urn:schemas-microsoft-com:office:smarttags" w:element="State">
                <w:r w:rsidRPr="00A045F3">
                  <w:t>Ohio</w:t>
                </w:r>
              </w:smartTag>
            </w:smartTag>
          </w:p>
          <w:p w:rsidR="00F9570C" w:rsidRPr="00A045F3" w:rsidRDefault="00F9570C" w:rsidP="00A045F3">
            <w:pPr>
              <w:spacing w:after="0" w:line="240" w:lineRule="auto"/>
              <w:contextualSpacing/>
            </w:pP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Shift supervisor for a six-man production crew on a twelve hour swing shift schedule.  Responsibilities included:  direct shift supervision, process training, troubleshooting and crew performance reviews.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Area engineer for the chloropicrin plant and associated projects.</w:t>
            </w:r>
          </w:p>
        </w:tc>
      </w:tr>
      <w:tr w:rsidR="00F9570C" w:rsidRPr="00A045F3" w:rsidTr="00A045F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6F00AC">
            <w:pPr>
              <w:spacing w:after="0" w:line="240" w:lineRule="auto"/>
              <w:contextualSpacing/>
            </w:pPr>
            <w:r w:rsidRPr="00A045F3">
              <w:t xml:space="preserve"> </w:t>
            </w:r>
          </w:p>
        </w:tc>
      </w:tr>
      <w:tr w:rsidR="00F9570C" w:rsidRPr="00A045F3" w:rsidTr="00A045F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02/96 – 02/90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  <w:rPr>
                <w:u w:val="single"/>
              </w:rPr>
            </w:pPr>
            <w:r w:rsidRPr="00A045F3">
              <w:rPr>
                <w:u w:val="single"/>
              </w:rPr>
              <w:t>Project Engineer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ETS, Inc.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smartTag w:uri="urn:schemas-microsoft-com:office:smarttags" w:element="place">
              <w:smartTag w:uri="urn:schemas-microsoft-com:office:smarttags" w:element="City">
                <w:r w:rsidRPr="00A045F3">
                  <w:t>Roanoke</w:t>
                </w:r>
              </w:smartTag>
              <w:r w:rsidRPr="00A045F3">
                <w:t xml:space="preserve">, </w:t>
              </w:r>
              <w:smartTag w:uri="urn:schemas-microsoft-com:office:smarttags" w:element="State">
                <w:r w:rsidRPr="00A045F3">
                  <w:t>Virginia</w:t>
                </w:r>
              </w:smartTag>
            </w:smartTag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(An engineering consulting firm specializing in air pollution control equipment design, testing and permitting)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 xml:space="preserve">Lead project engineer on design team for ETS, Inc.’s proprietary flue gas desulfurization systems:  1)  Dry-reactor (spray dryer) and 2) Limestone Emission Control (LEC) System.  Responsibilities included design, start-up, operation, data analysis and report writing for a 1MW LEC pilot plant that was located at </w:t>
            </w:r>
            <w:smartTag w:uri="urn:schemas-microsoft-com:office:smarttags" w:element="place">
              <w:smartTag w:uri="urn:schemas-microsoft-com:office:smarttags" w:element="PlaceName">
                <w:r w:rsidRPr="00A045F3">
                  <w:t>Ohio</w:t>
                </w:r>
              </w:smartTag>
              <w:r w:rsidRPr="00A045F3">
                <w:t xml:space="preserve"> </w:t>
              </w:r>
              <w:smartTag w:uri="urn:schemas-microsoft-com:office:smarttags" w:element="PlaceType">
                <w:r w:rsidRPr="00A045F3">
                  <w:t>University</w:t>
                </w:r>
              </w:smartTag>
            </w:smartTag>
            <w:r w:rsidRPr="00A045F3">
              <w:t xml:space="preserve">.  An LEC system was installed in </w:t>
            </w:r>
            <w:smartTag w:uri="urn:schemas-microsoft-com:office:smarttags" w:element="place">
              <w:smartTag w:uri="urn:schemas-microsoft-com:office:smarttags" w:element="country-region">
                <w:r w:rsidRPr="00A045F3">
                  <w:t>Taiwan</w:t>
                </w:r>
              </w:smartTag>
            </w:smartTag>
            <w:r w:rsidRPr="00A045F3">
              <w:t>.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Project engineer for client companies obtaining air permits.  Also managed and conducted source emission test programs.</w:t>
            </w:r>
          </w:p>
        </w:tc>
      </w:tr>
      <w:tr w:rsidR="00F9570C" w:rsidRPr="00A045F3" w:rsidTr="00A045F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</w:tr>
      <w:tr w:rsidR="00F9570C" w:rsidRPr="00A045F3" w:rsidTr="00A045F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01/87 – 12/89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  <w:rPr>
                <w:u w:val="single"/>
              </w:rPr>
            </w:pPr>
            <w:r w:rsidRPr="00A045F3">
              <w:rPr>
                <w:u w:val="single"/>
              </w:rPr>
              <w:t>Research Assistant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Department of Chemical Engineering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smartTag w:uri="urn:schemas-microsoft-com:office:smarttags" w:element="PlaceName">
              <w:r w:rsidRPr="00A045F3">
                <w:t>Ohio</w:t>
              </w:r>
            </w:smartTag>
            <w:r w:rsidRPr="00A045F3">
              <w:t xml:space="preserve"> </w:t>
            </w:r>
            <w:smartTag w:uri="urn:schemas-microsoft-com:office:smarttags" w:element="PlaceType">
              <w:r w:rsidRPr="00A045F3">
                <w:t>University</w:t>
              </w:r>
            </w:smartTag>
            <w:r w:rsidRPr="00A045F3"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A045F3">
                  <w:t>Athens</w:t>
                </w:r>
              </w:smartTag>
              <w:r w:rsidRPr="00A045F3">
                <w:t xml:space="preserve">, </w:t>
              </w:r>
              <w:smartTag w:uri="urn:schemas-microsoft-com:office:smarttags" w:element="State">
                <w:r w:rsidRPr="00A045F3">
                  <w:t>Ohio</w:t>
                </w:r>
              </w:smartTag>
            </w:smartTag>
          </w:p>
          <w:p w:rsidR="00F9570C" w:rsidRPr="00A045F3" w:rsidRDefault="00F9570C" w:rsidP="00A045F3">
            <w:pPr>
              <w:spacing w:after="0" w:line="240" w:lineRule="auto"/>
              <w:contextualSpacing/>
            </w:pP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Responsibilities included:  1) development of the first generation computer modeling of the LEC process as a thesis topic and 2) operation of the LEC fixed-bed pilot plant.  Duties included data acquisition, equipment maintenance and repair.</w:t>
            </w:r>
          </w:p>
        </w:tc>
      </w:tr>
      <w:tr w:rsidR="00F9570C" w:rsidRPr="00A045F3" w:rsidTr="00A045F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</w:tr>
      <w:tr w:rsidR="00F9570C" w:rsidRPr="00A045F3" w:rsidTr="00A045F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09/85 – 12/86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  <w:rPr>
                <w:u w:val="single"/>
              </w:rPr>
            </w:pPr>
            <w:r w:rsidRPr="00A045F3">
              <w:rPr>
                <w:u w:val="single"/>
              </w:rPr>
              <w:t>Graduate Assistant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Department of Chemical Engineering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smartTag w:uri="urn:schemas-microsoft-com:office:smarttags" w:element="PlaceName">
              <w:r w:rsidRPr="00A045F3">
                <w:t>Ohio</w:t>
              </w:r>
            </w:smartTag>
            <w:r w:rsidRPr="00A045F3">
              <w:t xml:space="preserve"> </w:t>
            </w:r>
            <w:smartTag w:uri="urn:schemas-microsoft-com:office:smarttags" w:element="PlaceType">
              <w:r w:rsidRPr="00A045F3">
                <w:t>University</w:t>
              </w:r>
            </w:smartTag>
            <w:r w:rsidRPr="00A045F3">
              <w:t xml:space="preserve">/ </w:t>
            </w:r>
            <w:smartTag w:uri="urn:schemas-microsoft-com:office:smarttags" w:element="place">
              <w:smartTag w:uri="urn:schemas-microsoft-com:office:smarttags" w:element="City">
                <w:r w:rsidRPr="00A045F3">
                  <w:t>Athens</w:t>
                </w:r>
              </w:smartTag>
              <w:r w:rsidRPr="00A045F3">
                <w:t xml:space="preserve">, </w:t>
              </w:r>
              <w:smartTag w:uri="urn:schemas-microsoft-com:office:smarttags" w:element="State">
                <w:r w:rsidRPr="00A045F3">
                  <w:t>Ohio</w:t>
                </w:r>
              </w:smartTag>
            </w:smartTag>
          </w:p>
          <w:p w:rsidR="00F9570C" w:rsidRPr="00A045F3" w:rsidRDefault="00F9570C" w:rsidP="00A045F3">
            <w:pPr>
              <w:spacing w:after="0" w:line="240" w:lineRule="auto"/>
            </w:pPr>
            <w:r w:rsidRPr="00A045F3">
              <w:t>Responsible for the operation of the senior chemical engineering laboratories.</w:t>
            </w:r>
          </w:p>
        </w:tc>
      </w:tr>
      <w:tr w:rsidR="00F9570C" w:rsidRPr="00A045F3" w:rsidTr="00A045F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</w:tr>
      <w:tr w:rsidR="00F9570C" w:rsidRPr="00A045F3" w:rsidTr="00A045F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06/86 – 09/86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06/85 – 09/85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06/84 – 09/84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  <w:rPr>
                <w:u w:val="single"/>
              </w:rPr>
            </w:pPr>
            <w:r w:rsidRPr="00A045F3">
              <w:rPr>
                <w:u w:val="single"/>
              </w:rPr>
              <w:t>Summer Chemical Operator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Lubrizol Corporation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smartTag w:uri="urn:schemas-microsoft-com:office:smarttags" w:element="City">
              <w:r w:rsidRPr="00A045F3">
                <w:t>Painesville</w:t>
              </w:r>
            </w:smartTag>
            <w:r w:rsidRPr="00A045F3">
              <w:t xml:space="preserve"> Plant/ </w:t>
            </w:r>
            <w:smartTag w:uri="urn:schemas-microsoft-com:office:smarttags" w:element="place">
              <w:smartTag w:uri="urn:schemas-microsoft-com:office:smarttags" w:element="City">
                <w:r w:rsidRPr="00A045F3">
                  <w:t>Painesville</w:t>
                </w:r>
              </w:smartTag>
              <w:r w:rsidRPr="00A045F3">
                <w:t xml:space="preserve">, </w:t>
              </w:r>
              <w:smartTag w:uri="urn:schemas-microsoft-com:office:smarttags" w:element="State">
                <w:r w:rsidRPr="00A045F3">
                  <w:t>Ohio</w:t>
                </w:r>
              </w:smartTag>
            </w:smartTag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Chemical operator in the batch production of specialty engine lubricants.</w:t>
            </w:r>
          </w:p>
        </w:tc>
      </w:tr>
      <w:tr w:rsidR="00F9570C" w:rsidRPr="00A045F3" w:rsidTr="00A045F3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 w:rsidR="00F9570C" w:rsidRPr="00A045F3" w:rsidRDefault="00F9570C" w:rsidP="00A045F3">
            <w:pPr>
              <w:spacing w:after="0" w:line="240" w:lineRule="auto"/>
              <w:contextualSpacing/>
              <w:rPr>
                <w:u w:val="single"/>
              </w:rPr>
            </w:pPr>
          </w:p>
        </w:tc>
      </w:tr>
    </w:tbl>
    <w:p w:rsidR="00F9570C" w:rsidRDefault="00F9570C">
      <w:r>
        <w:br w:type="page"/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1548"/>
        <w:gridCol w:w="360"/>
        <w:gridCol w:w="7668"/>
      </w:tblGrid>
      <w:tr w:rsidR="00F9570C" w:rsidRPr="00A045F3" w:rsidTr="00A045F3">
        <w:tc>
          <w:tcPr>
            <w:tcW w:w="1548" w:type="dxa"/>
          </w:tcPr>
          <w:p w:rsidR="00F9570C" w:rsidRPr="00A045F3" w:rsidRDefault="00F9570C" w:rsidP="00A045F3">
            <w:pPr>
              <w:spacing w:after="0" w:line="240" w:lineRule="auto"/>
              <w:contextualSpacing/>
              <w:rPr>
                <w:b/>
              </w:rPr>
            </w:pPr>
            <w:r w:rsidRPr="00A045F3">
              <w:rPr>
                <w:b/>
              </w:rPr>
              <w:lastRenderedPageBreak/>
              <w:t>EDUCATION:</w:t>
            </w:r>
          </w:p>
        </w:tc>
        <w:tc>
          <w:tcPr>
            <w:tcW w:w="360" w:type="dxa"/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</w:tcPr>
          <w:p w:rsidR="00F9570C" w:rsidRPr="00A045F3" w:rsidRDefault="00F9570C" w:rsidP="00A045F3">
            <w:pPr>
              <w:spacing w:after="0" w:line="240" w:lineRule="auto"/>
              <w:contextualSpacing/>
              <w:rPr>
                <w:u w:val="single"/>
              </w:rPr>
            </w:pPr>
          </w:p>
        </w:tc>
      </w:tr>
      <w:tr w:rsidR="00F9570C" w:rsidRPr="00A045F3" w:rsidTr="00A045F3">
        <w:tc>
          <w:tcPr>
            <w:tcW w:w="1548" w:type="dxa"/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1987 – 1989</w:t>
            </w:r>
          </w:p>
        </w:tc>
        <w:tc>
          <w:tcPr>
            <w:tcW w:w="360" w:type="dxa"/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M.S. Chemical Engineering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smartTag w:uri="urn:schemas-microsoft-com:office:smarttags" w:element="PlaceName">
              <w:r w:rsidRPr="00A045F3">
                <w:t>Ohio</w:t>
              </w:r>
            </w:smartTag>
            <w:r w:rsidRPr="00A045F3">
              <w:t xml:space="preserve"> </w:t>
            </w:r>
            <w:smartTag w:uri="urn:schemas-microsoft-com:office:smarttags" w:element="PlaceType">
              <w:r w:rsidRPr="00A045F3">
                <w:t>University</w:t>
              </w:r>
            </w:smartTag>
            <w:r w:rsidRPr="00A045F3">
              <w:t xml:space="preserve">/ </w:t>
            </w:r>
            <w:smartTag w:uri="urn:schemas-microsoft-com:office:smarttags" w:element="place">
              <w:smartTag w:uri="urn:schemas-microsoft-com:office:smarttags" w:element="City">
                <w:r w:rsidRPr="00A045F3">
                  <w:t>Athens</w:t>
                </w:r>
              </w:smartTag>
              <w:r w:rsidRPr="00A045F3">
                <w:t xml:space="preserve">, </w:t>
              </w:r>
              <w:smartTag w:uri="urn:schemas-microsoft-com:office:smarttags" w:element="State">
                <w:r w:rsidRPr="00A045F3">
                  <w:t>Ohio</w:t>
                </w:r>
              </w:smartTag>
            </w:smartTag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Thesis Title:  “A Mathematical Simulation of ETS’ Limestone Emission Control Process Using the Method of Characteristics:  Fixed-Bed Configuration/Gas-Phase Mass Transport Control.”</w:t>
            </w:r>
          </w:p>
        </w:tc>
      </w:tr>
      <w:tr w:rsidR="00F9570C" w:rsidRPr="00A045F3" w:rsidTr="00A045F3">
        <w:tc>
          <w:tcPr>
            <w:tcW w:w="1548" w:type="dxa"/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360" w:type="dxa"/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</w:tcPr>
          <w:p w:rsidR="00F9570C" w:rsidRPr="00A045F3" w:rsidRDefault="00F9570C" w:rsidP="00A045F3">
            <w:pPr>
              <w:spacing w:after="0" w:line="240" w:lineRule="auto"/>
              <w:contextualSpacing/>
              <w:rPr>
                <w:u w:val="single"/>
              </w:rPr>
            </w:pPr>
          </w:p>
        </w:tc>
      </w:tr>
      <w:tr w:rsidR="00F9570C" w:rsidRPr="00A045F3" w:rsidTr="00A045F3">
        <w:trPr>
          <w:trHeight w:val="2735"/>
        </w:trPr>
        <w:tc>
          <w:tcPr>
            <w:tcW w:w="1548" w:type="dxa"/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1981 – 1985</w:t>
            </w:r>
          </w:p>
        </w:tc>
        <w:tc>
          <w:tcPr>
            <w:tcW w:w="360" w:type="dxa"/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</w:p>
        </w:tc>
        <w:tc>
          <w:tcPr>
            <w:tcW w:w="7668" w:type="dxa"/>
          </w:tcPr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B.S. Chemical Engineering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smartTag w:uri="urn:schemas-microsoft-com:office:smarttags" w:element="PlaceName">
              <w:r w:rsidRPr="00A045F3">
                <w:t>Ohio</w:t>
              </w:r>
            </w:smartTag>
            <w:r w:rsidRPr="00A045F3">
              <w:t xml:space="preserve"> </w:t>
            </w:r>
            <w:smartTag w:uri="urn:schemas-microsoft-com:office:smarttags" w:element="PlaceType">
              <w:r w:rsidRPr="00A045F3">
                <w:t>University</w:t>
              </w:r>
            </w:smartTag>
            <w:r w:rsidRPr="00A045F3">
              <w:t xml:space="preserve">/ </w:t>
            </w:r>
            <w:smartTag w:uri="urn:schemas-microsoft-com:office:smarttags" w:element="place">
              <w:smartTag w:uri="urn:schemas-microsoft-com:office:smarttags" w:element="City">
                <w:r w:rsidRPr="00A045F3">
                  <w:t>Athens</w:t>
                </w:r>
              </w:smartTag>
              <w:r w:rsidRPr="00A045F3">
                <w:t xml:space="preserve">, </w:t>
              </w:r>
              <w:smartTag w:uri="urn:schemas-microsoft-com:office:smarttags" w:element="State">
                <w:r w:rsidRPr="00A045F3">
                  <w:t>Ohio</w:t>
                </w:r>
              </w:smartTag>
            </w:smartTag>
          </w:p>
          <w:p w:rsidR="00F9570C" w:rsidRPr="00A045F3" w:rsidRDefault="00F9570C" w:rsidP="00A045F3">
            <w:pPr>
              <w:spacing w:after="0" w:line="240" w:lineRule="auto"/>
              <w:contextualSpacing/>
              <w:rPr>
                <w:u w:val="single"/>
              </w:rPr>
            </w:pP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Engineering in Training Certificate.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Scholarships and Activities: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Tau Beta Pi (an honorary engineering society)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>Dean’s Scholarship and ROTC Scholarship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r w:rsidRPr="00A045F3">
              <w:t xml:space="preserve">Lambda Chi Alpha Fraternity; Executive Committee and Sgt. Of Arms </w:t>
            </w:r>
          </w:p>
          <w:p w:rsidR="00F9570C" w:rsidRPr="00A045F3" w:rsidRDefault="00F9570C" w:rsidP="00A045F3">
            <w:pPr>
              <w:spacing w:after="0" w:line="240" w:lineRule="auto"/>
              <w:contextualSpacing/>
            </w:pPr>
            <w:smartTag w:uri="urn:schemas-microsoft-com:office:smarttags" w:element="place">
              <w:smartTag w:uri="urn:schemas-microsoft-com:office:smarttags" w:element="PlaceName">
                <w:r w:rsidRPr="00A045F3">
                  <w:t>Ohio</w:t>
                </w:r>
              </w:smartTag>
              <w:r w:rsidRPr="00A045F3">
                <w:t xml:space="preserve"> </w:t>
              </w:r>
              <w:smartTag w:uri="urn:schemas-microsoft-com:office:smarttags" w:element="PlaceType">
                <w:r w:rsidRPr="00A045F3">
                  <w:t>University</w:t>
                </w:r>
              </w:smartTag>
            </w:smartTag>
            <w:r w:rsidRPr="00A045F3">
              <w:t xml:space="preserve"> Barbell Club:  Officer 1985 – 1988.</w:t>
            </w:r>
          </w:p>
        </w:tc>
      </w:tr>
    </w:tbl>
    <w:p w:rsidR="00F9570C" w:rsidRDefault="00F9570C" w:rsidP="004917B9">
      <w:pPr>
        <w:contextualSpacing/>
      </w:pPr>
    </w:p>
    <w:p w:rsidR="00F9570C" w:rsidRPr="0087671D" w:rsidRDefault="00F9570C" w:rsidP="004917B9">
      <w:pPr>
        <w:rPr>
          <w:b/>
        </w:rPr>
      </w:pPr>
      <w:r>
        <w:rPr>
          <w:b/>
        </w:rPr>
        <w:br w:type="page"/>
      </w:r>
      <w:r w:rsidRPr="0087671D">
        <w:rPr>
          <w:b/>
        </w:rPr>
        <w:lastRenderedPageBreak/>
        <w:t>PAPERS AND PUBLICATIONS:</w:t>
      </w:r>
    </w:p>
    <w:p w:rsidR="00F9570C" w:rsidRDefault="00F9570C" w:rsidP="004917B9">
      <w:pPr>
        <w:contextualSpacing/>
      </w:pPr>
    </w:p>
    <w:p w:rsidR="00F9570C" w:rsidRDefault="00F9570C" w:rsidP="002A0A06">
      <w:pPr>
        <w:ind w:left="72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Visneski</w:t>
      </w:r>
      <w:proofErr w:type="spellEnd"/>
      <w:r>
        <w:rPr>
          <w:sz w:val="18"/>
          <w:szCs w:val="18"/>
        </w:rPr>
        <w:t xml:space="preserve">, M.J., M.E. </w:t>
      </w:r>
      <w:proofErr w:type="spellStart"/>
      <w:r>
        <w:rPr>
          <w:sz w:val="18"/>
          <w:szCs w:val="18"/>
        </w:rPr>
        <w:t>Prudich</w:t>
      </w:r>
      <w:proofErr w:type="spellEnd"/>
      <w:r>
        <w:rPr>
          <w:sz w:val="18"/>
          <w:szCs w:val="18"/>
        </w:rPr>
        <w:t xml:space="preserve"> and K.W. Appell, “A Status Report on the Moving Bed Limestone Emission Control (LEC) Process Pilot Plant Program” presented at the </w:t>
      </w:r>
      <w:proofErr w:type="spellStart"/>
      <w:r>
        <w:rPr>
          <w:sz w:val="18"/>
          <w:szCs w:val="18"/>
        </w:rPr>
        <w:t>AIChE</w:t>
      </w:r>
      <w:proofErr w:type="spellEnd"/>
      <w:r>
        <w:rPr>
          <w:sz w:val="18"/>
          <w:szCs w:val="18"/>
        </w:rPr>
        <w:t xml:space="preserve"> conference, </w:t>
      </w:r>
      <w:smartTag w:uri="urn:schemas-microsoft-com:office:smarttags" w:element="place">
        <w:smartTag w:uri="urn:schemas-microsoft-com:office:smarttags" w:element="City">
          <w:r>
            <w:rPr>
              <w:sz w:val="18"/>
              <w:szCs w:val="18"/>
            </w:rPr>
            <w:t>Pittsburgh</w:t>
          </w:r>
        </w:smartTag>
        <w:r>
          <w:rPr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sz w:val="18"/>
              <w:szCs w:val="18"/>
            </w:rPr>
            <w:t>PA</w:t>
          </w:r>
        </w:smartTag>
      </w:smartTag>
      <w:r>
        <w:rPr>
          <w:sz w:val="18"/>
          <w:szCs w:val="18"/>
        </w:rPr>
        <w:t xml:space="preserve"> July 27 -30, 1992.</w:t>
      </w:r>
    </w:p>
    <w:p w:rsidR="00F9570C" w:rsidRDefault="00F9570C" w:rsidP="002A0A06">
      <w:pPr>
        <w:ind w:left="720"/>
        <w:contextualSpacing/>
        <w:rPr>
          <w:sz w:val="18"/>
          <w:szCs w:val="18"/>
        </w:rPr>
      </w:pPr>
    </w:p>
    <w:p w:rsidR="00F9570C" w:rsidRDefault="00F9570C" w:rsidP="00016DDF">
      <w:pPr>
        <w:ind w:left="720"/>
        <w:contextualSpacing/>
        <w:rPr>
          <w:sz w:val="18"/>
          <w:szCs w:val="18"/>
        </w:rPr>
      </w:pPr>
      <w:proofErr w:type="spellStart"/>
      <w:smartTag w:uri="urn:schemas-microsoft-com:office:smarttags" w:element="City">
        <w:r>
          <w:rPr>
            <w:sz w:val="18"/>
            <w:szCs w:val="18"/>
          </w:rPr>
          <w:t>Prudich</w:t>
        </w:r>
      </w:smartTag>
      <w:proofErr w:type="spellEnd"/>
      <w:r>
        <w:rPr>
          <w:sz w:val="18"/>
          <w:szCs w:val="18"/>
        </w:rPr>
        <w:t xml:space="preserve">, </w:t>
      </w:r>
      <w:smartTag w:uri="urn:schemas-microsoft-com:office:smarttags" w:element="State">
        <w:r>
          <w:rPr>
            <w:sz w:val="18"/>
            <w:szCs w:val="18"/>
          </w:rPr>
          <w:t>M.E.</w:t>
        </w:r>
      </w:smartTag>
      <w:r>
        <w:rPr>
          <w:sz w:val="18"/>
          <w:szCs w:val="18"/>
        </w:rPr>
        <w:t xml:space="preserve">, S.N. Reddy, K.W. Appell and J.D McKenna, “A Pilot Demonstration of the Moving Bed Limestone Emission Control (LEC) Process” presented at the AWMA conference, </w:t>
      </w:r>
      <w:smartTag w:uri="urn:schemas-microsoft-com:office:smarttags" w:element="place">
        <w:smartTag w:uri="urn:schemas-microsoft-com:office:smarttags" w:element="City">
          <w:r>
            <w:rPr>
              <w:sz w:val="18"/>
              <w:szCs w:val="18"/>
            </w:rPr>
            <w:t>Kansas City</w:t>
          </w:r>
        </w:smartTag>
        <w:r>
          <w:rPr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sz w:val="18"/>
              <w:szCs w:val="18"/>
            </w:rPr>
            <w:t>MO</w:t>
          </w:r>
        </w:smartTag>
      </w:smartTag>
      <w:r>
        <w:rPr>
          <w:sz w:val="18"/>
          <w:szCs w:val="18"/>
        </w:rPr>
        <w:t xml:space="preserve"> June 15 -19, 1992.</w:t>
      </w:r>
    </w:p>
    <w:p w:rsidR="00F9570C" w:rsidRDefault="00F9570C" w:rsidP="00016DDF">
      <w:pPr>
        <w:ind w:left="720"/>
        <w:contextualSpacing/>
        <w:rPr>
          <w:sz w:val="18"/>
          <w:szCs w:val="18"/>
        </w:rPr>
      </w:pPr>
    </w:p>
    <w:p w:rsidR="00F9570C" w:rsidRDefault="00F9570C" w:rsidP="00070190">
      <w:pPr>
        <w:ind w:left="72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Visneski</w:t>
      </w:r>
      <w:proofErr w:type="spellEnd"/>
      <w:r>
        <w:rPr>
          <w:sz w:val="18"/>
          <w:szCs w:val="18"/>
        </w:rPr>
        <w:t xml:space="preserve">, M.J., K.W. </w:t>
      </w:r>
      <w:smartTag w:uri="urn:schemas-microsoft-com:office:smarttags" w:element="City">
        <w:r>
          <w:rPr>
            <w:sz w:val="18"/>
            <w:szCs w:val="18"/>
          </w:rPr>
          <w:t>Appell</w:t>
        </w:r>
      </w:smartTag>
      <w:r>
        <w:rPr>
          <w:sz w:val="18"/>
          <w:szCs w:val="18"/>
        </w:rPr>
        <w:t xml:space="preserve">, </w:t>
      </w:r>
      <w:smartTag w:uri="urn:schemas-microsoft-com:office:smarttags" w:element="State">
        <w:r>
          <w:rPr>
            <w:sz w:val="18"/>
            <w:szCs w:val="18"/>
          </w:rPr>
          <w:t>M.E.</w:t>
        </w:r>
      </w:smartTag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Prudich</w:t>
      </w:r>
      <w:proofErr w:type="spellEnd"/>
      <w:r>
        <w:rPr>
          <w:sz w:val="18"/>
          <w:szCs w:val="18"/>
        </w:rPr>
        <w:t xml:space="preserve"> and K.J. Sampson, “Mathematical Modeling of the Fixed Bed Limestone Emission Control (LEC) System” Proceedings:  Seventh Annual International </w:t>
      </w:r>
      <w:smartTag w:uri="urn:schemas-microsoft-com:office:smarttags" w:element="City">
        <w:r>
          <w:rPr>
            <w:sz w:val="18"/>
            <w:szCs w:val="18"/>
          </w:rPr>
          <w:t>Pittsburgh</w:t>
        </w:r>
      </w:smartTag>
      <w:r>
        <w:rPr>
          <w:sz w:val="18"/>
          <w:szCs w:val="18"/>
        </w:rPr>
        <w:t xml:space="preserve"> Coal Conference, </w:t>
      </w:r>
      <w:smartTag w:uri="urn:schemas-microsoft-com:office:smarttags" w:element="place">
        <w:smartTag w:uri="urn:schemas-microsoft-com:office:smarttags" w:element="City">
          <w:r>
            <w:rPr>
              <w:sz w:val="18"/>
              <w:szCs w:val="18"/>
            </w:rPr>
            <w:t>Pittsburgh</w:t>
          </w:r>
        </w:smartTag>
        <w:r>
          <w:rPr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sz w:val="18"/>
              <w:szCs w:val="18"/>
            </w:rPr>
            <w:t>PA</w:t>
          </w:r>
        </w:smartTag>
      </w:smartTag>
      <w:r>
        <w:rPr>
          <w:sz w:val="18"/>
          <w:szCs w:val="18"/>
        </w:rPr>
        <w:t xml:space="preserve"> September 10 – 14, 1990.</w:t>
      </w:r>
    </w:p>
    <w:p w:rsidR="00F9570C" w:rsidRDefault="00F9570C" w:rsidP="00070190">
      <w:pPr>
        <w:ind w:left="720"/>
        <w:contextualSpacing/>
        <w:rPr>
          <w:sz w:val="18"/>
          <w:szCs w:val="18"/>
        </w:rPr>
      </w:pPr>
    </w:p>
    <w:p w:rsidR="00F9570C" w:rsidRDefault="00F9570C" w:rsidP="00070190">
      <w:pPr>
        <w:ind w:left="720"/>
        <w:contextualSpacing/>
        <w:rPr>
          <w:sz w:val="18"/>
          <w:szCs w:val="18"/>
        </w:rPr>
      </w:pPr>
      <w:proofErr w:type="spellStart"/>
      <w:smartTag w:uri="urn:schemas-microsoft-com:office:smarttags" w:element="City">
        <w:r>
          <w:rPr>
            <w:sz w:val="18"/>
            <w:szCs w:val="18"/>
          </w:rPr>
          <w:t>Prudich</w:t>
        </w:r>
      </w:smartTag>
      <w:proofErr w:type="spellEnd"/>
      <w:r>
        <w:rPr>
          <w:sz w:val="18"/>
          <w:szCs w:val="18"/>
        </w:rPr>
        <w:t xml:space="preserve">, </w:t>
      </w:r>
      <w:smartTag w:uri="urn:schemas-microsoft-com:office:smarttags" w:element="State">
        <w:r>
          <w:rPr>
            <w:sz w:val="18"/>
            <w:szCs w:val="18"/>
          </w:rPr>
          <w:t>M.E</w:t>
        </w:r>
        <w:r w:rsidRPr="00AC7EA1">
          <w:rPr>
            <w:sz w:val="18"/>
            <w:szCs w:val="18"/>
          </w:rPr>
          <w:t>.</w:t>
        </w:r>
      </w:smartTag>
      <w:r w:rsidRPr="00AC7EA1">
        <w:rPr>
          <w:sz w:val="18"/>
          <w:szCs w:val="18"/>
        </w:rPr>
        <w:t xml:space="preserve">, M.J. </w:t>
      </w:r>
      <w:proofErr w:type="spellStart"/>
      <w:r w:rsidRPr="00AC7EA1">
        <w:rPr>
          <w:sz w:val="18"/>
          <w:szCs w:val="18"/>
        </w:rPr>
        <w:t>Visneski</w:t>
      </w:r>
      <w:proofErr w:type="spellEnd"/>
      <w:r w:rsidRPr="00AC7EA1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K.W. Appell, J.D McKenna, and J.E. Wright “A Pilot Demonstration of the Limestone Emission Control (LEC) System” presented at the International </w:t>
      </w:r>
      <w:proofErr w:type="spellStart"/>
      <w:r>
        <w:rPr>
          <w:sz w:val="18"/>
          <w:szCs w:val="18"/>
        </w:rPr>
        <w:t>Speciality</w:t>
      </w:r>
      <w:proofErr w:type="spellEnd"/>
      <w:r>
        <w:rPr>
          <w:sz w:val="18"/>
          <w:szCs w:val="18"/>
        </w:rPr>
        <w:t xml:space="preserve"> Conference on Environmental Challenges in Energy Utilization During the 90’s, sponsored by APCA, </w:t>
      </w:r>
      <w:smartTag w:uri="urn:schemas-microsoft-com:office:smarttags" w:element="place">
        <w:smartTag w:uri="urn:schemas-microsoft-com:office:smarttags" w:element="City">
          <w:r>
            <w:rPr>
              <w:sz w:val="18"/>
              <w:szCs w:val="18"/>
            </w:rPr>
            <w:t>Cleveland</w:t>
          </w:r>
        </w:smartTag>
        <w:r>
          <w:rPr>
            <w:sz w:val="18"/>
            <w:szCs w:val="18"/>
          </w:rPr>
          <w:t xml:space="preserve">, </w:t>
        </w:r>
        <w:smartTag w:uri="urn:schemas-microsoft-com:office:smarttags" w:element="State">
          <w:r>
            <w:rPr>
              <w:sz w:val="18"/>
              <w:szCs w:val="18"/>
            </w:rPr>
            <w:t>OH</w:t>
          </w:r>
        </w:smartTag>
      </w:smartTag>
      <w:r>
        <w:rPr>
          <w:sz w:val="18"/>
          <w:szCs w:val="18"/>
        </w:rPr>
        <w:t>, October 9-12, 1988.</w:t>
      </w:r>
    </w:p>
    <w:p w:rsidR="00F9570C" w:rsidRDefault="00F9570C" w:rsidP="00070190">
      <w:pPr>
        <w:ind w:left="720"/>
        <w:contextualSpacing/>
        <w:rPr>
          <w:sz w:val="18"/>
          <w:szCs w:val="18"/>
        </w:rPr>
      </w:pPr>
    </w:p>
    <w:p w:rsidR="00F9570C" w:rsidRDefault="00F9570C" w:rsidP="00016DDF">
      <w:pPr>
        <w:ind w:left="720"/>
        <w:contextualSpacing/>
        <w:rPr>
          <w:sz w:val="18"/>
          <w:szCs w:val="18"/>
        </w:rPr>
      </w:pPr>
      <w:proofErr w:type="spellStart"/>
      <w:r w:rsidRPr="004870D3">
        <w:rPr>
          <w:sz w:val="18"/>
          <w:szCs w:val="18"/>
        </w:rPr>
        <w:t>Prudich</w:t>
      </w:r>
      <w:proofErr w:type="spellEnd"/>
      <w:r w:rsidRPr="004870D3">
        <w:rPr>
          <w:sz w:val="18"/>
          <w:szCs w:val="18"/>
        </w:rPr>
        <w:t xml:space="preserve">, M.E., K.W. Appell M.J. </w:t>
      </w:r>
      <w:proofErr w:type="spellStart"/>
      <w:r w:rsidRPr="004870D3">
        <w:rPr>
          <w:sz w:val="18"/>
          <w:szCs w:val="18"/>
        </w:rPr>
        <w:t>Visneski</w:t>
      </w:r>
      <w:proofErr w:type="spellEnd"/>
      <w:r w:rsidRPr="004870D3">
        <w:rPr>
          <w:sz w:val="18"/>
          <w:szCs w:val="18"/>
        </w:rPr>
        <w:t xml:space="preserve">, J.D McKenna, </w:t>
      </w:r>
      <w:r>
        <w:rPr>
          <w:sz w:val="18"/>
          <w:szCs w:val="18"/>
        </w:rPr>
        <w:t xml:space="preserve">D.A Furlong, J.C. </w:t>
      </w:r>
      <w:proofErr w:type="spellStart"/>
      <w:r>
        <w:rPr>
          <w:sz w:val="18"/>
          <w:szCs w:val="18"/>
        </w:rPr>
        <w:t>Mycock</w:t>
      </w:r>
      <w:proofErr w:type="spellEnd"/>
      <w:r>
        <w:rPr>
          <w:sz w:val="18"/>
          <w:szCs w:val="18"/>
        </w:rPr>
        <w:t xml:space="preserve">, J.F. </w:t>
      </w:r>
      <w:proofErr w:type="spellStart"/>
      <w:r>
        <w:rPr>
          <w:sz w:val="18"/>
          <w:szCs w:val="18"/>
        </w:rPr>
        <w:t>Szalay</w:t>
      </w:r>
      <w:proofErr w:type="spellEnd"/>
      <w:r>
        <w:rPr>
          <w:sz w:val="18"/>
          <w:szCs w:val="18"/>
        </w:rPr>
        <w:t xml:space="preserve">, </w:t>
      </w:r>
      <w:r w:rsidRPr="004870D3">
        <w:rPr>
          <w:sz w:val="18"/>
          <w:szCs w:val="18"/>
        </w:rPr>
        <w:t>and J.E. Wright “</w:t>
      </w:r>
      <w:r>
        <w:rPr>
          <w:sz w:val="18"/>
          <w:szCs w:val="18"/>
        </w:rPr>
        <w:t>Small</w:t>
      </w:r>
      <w:r w:rsidRPr="004870D3">
        <w:rPr>
          <w:sz w:val="18"/>
          <w:szCs w:val="18"/>
        </w:rPr>
        <w:t xml:space="preserve"> Pilot Demonstration of the Limestone Emission Control (LEC) System” </w:t>
      </w:r>
      <w:r>
        <w:rPr>
          <w:sz w:val="18"/>
          <w:szCs w:val="18"/>
        </w:rPr>
        <w:t>, Ohio Coal Development Office, Grant No. CDO/R-86-24, May 1988.</w:t>
      </w:r>
    </w:p>
    <w:p w:rsidR="00F9570C" w:rsidRDefault="00F9570C" w:rsidP="00F166A4">
      <w:pPr>
        <w:contextualSpacing/>
        <w:rPr>
          <w:sz w:val="18"/>
          <w:szCs w:val="18"/>
        </w:rPr>
      </w:pPr>
    </w:p>
    <w:p w:rsidR="00F9570C" w:rsidRDefault="00F9570C" w:rsidP="00016DDF">
      <w:pPr>
        <w:ind w:left="72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Staron</w:t>
      </w:r>
      <w:proofErr w:type="spellEnd"/>
      <w:r>
        <w:rPr>
          <w:sz w:val="18"/>
          <w:szCs w:val="18"/>
        </w:rPr>
        <w:t xml:space="preserve">, R.S., R.S. </w:t>
      </w:r>
      <w:proofErr w:type="spellStart"/>
      <w:r>
        <w:rPr>
          <w:sz w:val="18"/>
          <w:szCs w:val="18"/>
        </w:rPr>
        <w:t>Hikida</w:t>
      </w:r>
      <w:proofErr w:type="spellEnd"/>
      <w:r>
        <w:rPr>
          <w:sz w:val="18"/>
          <w:szCs w:val="18"/>
        </w:rPr>
        <w:t xml:space="preserve">, M.J. </w:t>
      </w:r>
      <w:proofErr w:type="spellStart"/>
      <w:r>
        <w:rPr>
          <w:sz w:val="18"/>
          <w:szCs w:val="18"/>
        </w:rPr>
        <w:t>Leonardi</w:t>
      </w:r>
      <w:proofErr w:type="spellEnd"/>
      <w:r>
        <w:rPr>
          <w:sz w:val="18"/>
          <w:szCs w:val="18"/>
        </w:rPr>
        <w:t xml:space="preserve">, R. Gilders, F.C. Hagerman, J.E. </w:t>
      </w:r>
      <w:proofErr w:type="spellStart"/>
      <w:r>
        <w:rPr>
          <w:sz w:val="18"/>
          <w:szCs w:val="18"/>
        </w:rPr>
        <w:t>Falkel</w:t>
      </w:r>
      <w:proofErr w:type="spellEnd"/>
      <w:r>
        <w:rPr>
          <w:sz w:val="18"/>
          <w:szCs w:val="18"/>
        </w:rPr>
        <w:t xml:space="preserve"> and K.W. Appell, ”Muscle Damage  Following Percutaneous Needle Biopsies and Its Assessment Based Upon Severs </w:t>
      </w:r>
      <w:proofErr w:type="spellStart"/>
      <w:r>
        <w:rPr>
          <w:sz w:val="18"/>
          <w:szCs w:val="18"/>
        </w:rPr>
        <w:t>Creatine</w:t>
      </w:r>
      <w:proofErr w:type="spellEnd"/>
      <w:r>
        <w:rPr>
          <w:sz w:val="18"/>
          <w:szCs w:val="18"/>
        </w:rPr>
        <w:t xml:space="preserve"> Kinase Activity”, May 1988.</w:t>
      </w:r>
    </w:p>
    <w:p w:rsidR="00F9570C" w:rsidRDefault="00F9570C" w:rsidP="00016DDF">
      <w:pPr>
        <w:ind w:left="720"/>
        <w:contextualSpacing/>
        <w:rPr>
          <w:sz w:val="18"/>
          <w:szCs w:val="18"/>
        </w:rPr>
      </w:pPr>
    </w:p>
    <w:p w:rsidR="00F9570C" w:rsidRDefault="00F9570C" w:rsidP="00400D10">
      <w:pPr>
        <w:contextualSpacing/>
        <w:rPr>
          <w:sz w:val="18"/>
          <w:szCs w:val="18"/>
        </w:rPr>
      </w:pPr>
    </w:p>
    <w:p w:rsidR="00F9570C" w:rsidRDefault="00F9570C" w:rsidP="00C46A42">
      <w:pPr>
        <w:contextualSpacing/>
        <w:rPr>
          <w:b/>
        </w:rPr>
      </w:pPr>
      <w:r w:rsidRPr="00C46A42">
        <w:rPr>
          <w:b/>
        </w:rPr>
        <w:t>REFERENCES</w:t>
      </w:r>
    </w:p>
    <w:p w:rsidR="00F9570C" w:rsidRPr="00296AD9" w:rsidRDefault="00F9570C" w:rsidP="00C46A42">
      <w:pPr>
        <w:contextualSpacing/>
        <w:rPr>
          <w:i/>
        </w:rPr>
      </w:pPr>
      <w:r w:rsidRPr="00296AD9">
        <w:rPr>
          <w:i/>
        </w:rPr>
        <w:t>Available on Request</w:t>
      </w:r>
    </w:p>
    <w:sectPr w:rsidR="00F9570C" w:rsidRPr="00296AD9" w:rsidSect="00EB47D7">
      <w:footerReference w:type="default" r:id="rId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090" w:rsidRDefault="00D22090" w:rsidP="00EB47D7">
      <w:pPr>
        <w:spacing w:after="0" w:line="240" w:lineRule="auto"/>
      </w:pPr>
      <w:r>
        <w:separator/>
      </w:r>
    </w:p>
  </w:endnote>
  <w:endnote w:type="continuationSeparator" w:id="0">
    <w:p w:rsidR="00D22090" w:rsidRDefault="00D22090" w:rsidP="00EB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70C" w:rsidRDefault="001F02D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526B">
      <w:rPr>
        <w:noProof/>
      </w:rPr>
      <w:t>1</w:t>
    </w:r>
    <w:r>
      <w:rPr>
        <w:noProof/>
      </w:rPr>
      <w:fldChar w:fldCharType="end"/>
    </w:r>
  </w:p>
  <w:p w:rsidR="00F9570C" w:rsidRDefault="00F957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090" w:rsidRDefault="00D22090" w:rsidP="00EB47D7">
      <w:pPr>
        <w:spacing w:after="0" w:line="240" w:lineRule="auto"/>
      </w:pPr>
      <w:r>
        <w:separator/>
      </w:r>
    </w:p>
  </w:footnote>
  <w:footnote w:type="continuationSeparator" w:id="0">
    <w:p w:rsidR="00D22090" w:rsidRDefault="00D22090" w:rsidP="00EB4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D2F"/>
    <w:multiLevelType w:val="hybridMultilevel"/>
    <w:tmpl w:val="5AD4F33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56D4D75"/>
    <w:multiLevelType w:val="hybridMultilevel"/>
    <w:tmpl w:val="E78EF2F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25035AB"/>
    <w:multiLevelType w:val="hybridMultilevel"/>
    <w:tmpl w:val="549EC3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6421C6"/>
    <w:multiLevelType w:val="hybridMultilevel"/>
    <w:tmpl w:val="C9FC75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C1BC8"/>
    <w:multiLevelType w:val="multilevel"/>
    <w:tmpl w:val="CE1237D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511B3D27"/>
    <w:multiLevelType w:val="hybridMultilevel"/>
    <w:tmpl w:val="694E59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667D2B"/>
    <w:multiLevelType w:val="hybridMultilevel"/>
    <w:tmpl w:val="B8C05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43184"/>
    <w:multiLevelType w:val="hybridMultilevel"/>
    <w:tmpl w:val="865E4B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64503"/>
    <w:multiLevelType w:val="hybridMultilevel"/>
    <w:tmpl w:val="7CC89E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79F6197E"/>
    <w:multiLevelType w:val="multilevel"/>
    <w:tmpl w:val="5AD4F3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D7"/>
    <w:rsid w:val="00004724"/>
    <w:rsid w:val="000055C1"/>
    <w:rsid w:val="00016DDF"/>
    <w:rsid w:val="000655EF"/>
    <w:rsid w:val="00070190"/>
    <w:rsid w:val="000722F0"/>
    <w:rsid w:val="00081F0A"/>
    <w:rsid w:val="000B1E25"/>
    <w:rsid w:val="000E2611"/>
    <w:rsid w:val="000F24FC"/>
    <w:rsid w:val="0010363E"/>
    <w:rsid w:val="00110B48"/>
    <w:rsid w:val="00113352"/>
    <w:rsid w:val="00121277"/>
    <w:rsid w:val="00134E1D"/>
    <w:rsid w:val="00176BF5"/>
    <w:rsid w:val="001F02D7"/>
    <w:rsid w:val="00206CF0"/>
    <w:rsid w:val="00213E40"/>
    <w:rsid w:val="00230788"/>
    <w:rsid w:val="00294BCD"/>
    <w:rsid w:val="00296AD9"/>
    <w:rsid w:val="002A0A06"/>
    <w:rsid w:val="00311688"/>
    <w:rsid w:val="00342AC9"/>
    <w:rsid w:val="00345F75"/>
    <w:rsid w:val="003B1858"/>
    <w:rsid w:val="003F1484"/>
    <w:rsid w:val="00400D10"/>
    <w:rsid w:val="00403CAF"/>
    <w:rsid w:val="00415AA3"/>
    <w:rsid w:val="00457179"/>
    <w:rsid w:val="004870D3"/>
    <w:rsid w:val="004917B9"/>
    <w:rsid w:val="004A3E74"/>
    <w:rsid w:val="004C043D"/>
    <w:rsid w:val="005060D0"/>
    <w:rsid w:val="00511CAF"/>
    <w:rsid w:val="00517E2A"/>
    <w:rsid w:val="00542112"/>
    <w:rsid w:val="00553C92"/>
    <w:rsid w:val="00557542"/>
    <w:rsid w:val="005B70D5"/>
    <w:rsid w:val="005F5223"/>
    <w:rsid w:val="00605F9E"/>
    <w:rsid w:val="006335C9"/>
    <w:rsid w:val="006E3A44"/>
    <w:rsid w:val="006F00AC"/>
    <w:rsid w:val="00737A59"/>
    <w:rsid w:val="007439D4"/>
    <w:rsid w:val="007831EF"/>
    <w:rsid w:val="00785087"/>
    <w:rsid w:val="007C4E4A"/>
    <w:rsid w:val="007D43A6"/>
    <w:rsid w:val="007F248A"/>
    <w:rsid w:val="00841D5F"/>
    <w:rsid w:val="00861EAA"/>
    <w:rsid w:val="00874F43"/>
    <w:rsid w:val="00875B97"/>
    <w:rsid w:val="0087671D"/>
    <w:rsid w:val="00895F61"/>
    <w:rsid w:val="008F3094"/>
    <w:rsid w:val="00907E05"/>
    <w:rsid w:val="00913C14"/>
    <w:rsid w:val="00932663"/>
    <w:rsid w:val="009345A9"/>
    <w:rsid w:val="00936469"/>
    <w:rsid w:val="0095526B"/>
    <w:rsid w:val="009801C4"/>
    <w:rsid w:val="009920B3"/>
    <w:rsid w:val="009B561F"/>
    <w:rsid w:val="009B7BD4"/>
    <w:rsid w:val="009E2C3E"/>
    <w:rsid w:val="009E38A5"/>
    <w:rsid w:val="009E4734"/>
    <w:rsid w:val="00A045F3"/>
    <w:rsid w:val="00A11AE0"/>
    <w:rsid w:val="00A25919"/>
    <w:rsid w:val="00A32519"/>
    <w:rsid w:val="00A83E88"/>
    <w:rsid w:val="00A97043"/>
    <w:rsid w:val="00AC78D1"/>
    <w:rsid w:val="00AC7EA1"/>
    <w:rsid w:val="00AF1CF1"/>
    <w:rsid w:val="00B416F0"/>
    <w:rsid w:val="00B42BB3"/>
    <w:rsid w:val="00B71206"/>
    <w:rsid w:val="00B91215"/>
    <w:rsid w:val="00BB1E94"/>
    <w:rsid w:val="00BE686B"/>
    <w:rsid w:val="00BF7B1E"/>
    <w:rsid w:val="00C46A42"/>
    <w:rsid w:val="00C85D71"/>
    <w:rsid w:val="00C96591"/>
    <w:rsid w:val="00D155A5"/>
    <w:rsid w:val="00D22090"/>
    <w:rsid w:val="00D34C55"/>
    <w:rsid w:val="00D5287D"/>
    <w:rsid w:val="00D66023"/>
    <w:rsid w:val="00D81CF3"/>
    <w:rsid w:val="00DC6CFA"/>
    <w:rsid w:val="00DE0A0B"/>
    <w:rsid w:val="00DE6972"/>
    <w:rsid w:val="00DF79D1"/>
    <w:rsid w:val="00E07863"/>
    <w:rsid w:val="00E13140"/>
    <w:rsid w:val="00E27D7F"/>
    <w:rsid w:val="00E36AAB"/>
    <w:rsid w:val="00E457E9"/>
    <w:rsid w:val="00E83BF2"/>
    <w:rsid w:val="00E96249"/>
    <w:rsid w:val="00EB47D7"/>
    <w:rsid w:val="00ED43D4"/>
    <w:rsid w:val="00F158F8"/>
    <w:rsid w:val="00F166A4"/>
    <w:rsid w:val="00F17026"/>
    <w:rsid w:val="00F47B36"/>
    <w:rsid w:val="00F53B3E"/>
    <w:rsid w:val="00F73BE6"/>
    <w:rsid w:val="00F84D79"/>
    <w:rsid w:val="00F873AE"/>
    <w:rsid w:val="00F9570C"/>
    <w:rsid w:val="00FD0364"/>
    <w:rsid w:val="00F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B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B47D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B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B47D7"/>
    <w:rPr>
      <w:rFonts w:cs="Times New Roman"/>
    </w:rPr>
  </w:style>
  <w:style w:type="table" w:styleId="TableGrid">
    <w:name w:val="Table Grid"/>
    <w:basedOn w:val="TableNormal"/>
    <w:uiPriority w:val="99"/>
    <w:rsid w:val="006E3A4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3B1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B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B47D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B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B47D7"/>
    <w:rPr>
      <w:rFonts w:cs="Times New Roman"/>
    </w:rPr>
  </w:style>
  <w:style w:type="table" w:styleId="TableGrid">
    <w:name w:val="Table Grid"/>
    <w:basedOn w:val="TableNormal"/>
    <w:uiPriority w:val="99"/>
    <w:rsid w:val="006E3A4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3B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1268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KENNETH W</vt:lpstr>
    </vt:vector>
  </TitlesOfParts>
  <Company>Kraton Polymers</Company>
  <LinksUpToDate>false</LinksUpToDate>
  <CharactersWithSpaces>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KENNETH W</dc:title>
  <dc:creator>Appell, Ken</dc:creator>
  <cp:lastModifiedBy>Appell, Kenneth</cp:lastModifiedBy>
  <cp:revision>9</cp:revision>
  <dcterms:created xsi:type="dcterms:W3CDTF">2018-05-30T12:37:00Z</dcterms:created>
  <dcterms:modified xsi:type="dcterms:W3CDTF">2018-12-06T19:54:00Z</dcterms:modified>
</cp:coreProperties>
</file>