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MediCore Smart General Hospital</w:t>
      </w:r>
    </w:p>
    <w:p>
      <w:pPr>
        <w:pStyle w:val="Heading2"/>
        <w:spacing w:after="300"/>
      </w:pPr>
      <w:r>
        <w:t xml:space="preserve">Project Management Practice Exercise — Progress Summary</w:t>
      </w:r>
    </w:p>
    <w:p>
      <w:pPr>
        <w:spacing w:after="100"/>
      </w:pPr>
      <w:r>
        <w:t xml:space="preserve">This document summarizes the project management exercise developed for internship preparation: mastering MS Project / Primavera P6 workflows through the full lifecycle of a fictional smart-hospital construction project, from Business Case through Cost Baseline.</w:t>
      </w:r>
    </w:p>
    <w:p>
      <w:pPr>
        <w:pStyle w:val="Heading1"/>
        <w:spacing w:after="150" w:before="300"/>
      </w:pPr>
      <w:r>
        <w:t xml:space="preserve">1. Project Overview (from Project Charter)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Project: Construction of a 200-bed, ~500,000 sq ft smart general hospital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Sponsor: MediCore Health Group 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Approved capital budget (Order-of-Magnitude, Charter): $300,000,000 USD (-25%/+75%)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Schedule constraint per Charter: substantial completion within 42 months of Notice to Proceed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Case selection: NPV analysis favored the smart-technology investment option over incremental renovation</w:t>
      </w:r>
    </w:p>
    <w:p>
      <w:pPr>
        <w:pStyle w:val="Heading1"/>
        <w:spacing w:after="150" w:before="300"/>
      </w:pPr>
      <w:r>
        <w:t xml:space="preserve">2. Organizational Breakdown Structure (OBS)</w:t>
      </w:r>
    </w:p>
    <w:p>
      <w:pPr>
        <w:spacing w:after="100"/>
      </w:pPr>
      <w:r>
        <w:t xml:space="preserve">Top node: Enterprise, with eight functional managers directly beneath it (no separate Project Manager node exists in the OBS as built):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 Manager — Lead Architect, Structural Engineer, MEP Engineer, Medical Planning Specialist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Construction Manager — Site Superintendent, Structural/MEP/Finishing Subcontractors, Site Safety Coordinator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Smart-Systems / IT Integration Manager — EMR Integration Lead, IoT/BMS Lead, Network &amp; Cybersecurity Specialist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Procurement Manager — Buyer, Contract Administrator, Vendor/Supplier Coordinator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QA/QC Manager — Quality Inspectors, Materials Testing Lab Officer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HSE Manager — Safety Officers, Environmental Compliance Officer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Commissioning &amp; Accreditation Manager — Commissioning Engineer, Regulatory/Accreditation Liaison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Financial Controller — Cost Controller, Accounts Payable Officer</w:t>
      </w:r>
    </w:p>
    <w:p>
      <w:pPr>
        <w:pStyle w:val="Heading1"/>
        <w:spacing w:after="150" w:before="300"/>
      </w:pPr>
      <w:r>
        <w:t xml:space="preserve">3. Work Breakdown Structure (WBS) — Responsible Manager Mapping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00"/>
        <w:gridCol w:w="3300"/>
      </w:tblGrid>
      <w:tr>
        <w:tc>
          <w:tcPr>
            <w:tcW w:type="dxa" w:w="14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WBS</w:t>
            </w:r>
          </w:p>
        </w:tc>
        <w:tc>
          <w:tcPr>
            <w:tcW w:type="dxa" w:w="58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33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Responsible Manager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HCB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Hospital construction building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HCB.1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 Management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HCB.2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Design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Design Manager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HCB.3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Permits &amp; Regulatory Approval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Commissioning &amp; Accreditation Manager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HCB.4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Site Preparation &amp; Civil Works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Construction Manager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HCB.5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Structural Construction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Construction Manager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HCB.6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MEP Installation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Construction Manager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HCB.7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Smart-Systems Integration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Smart-Systems / IT Integration Manager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HCB.8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Interior Finishing &amp; Medical Fit-out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Construction Manager (mixed)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HCB.9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Commissioning &amp; Testing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Commissioning &amp; Accreditation Manager (mixed)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HCB.10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Accreditation &amp; Handover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Commissioning &amp; Accreditation Manager (mixed)</w:t>
            </w:r>
          </w:p>
        </w:tc>
      </w:tr>
    </w:tbl>
    <w:p>
      <w:pPr>
        <w:pStyle w:val="Heading1"/>
        <w:spacing w:after="150" w:before="300"/>
      </w:pPr>
      <w:r>
        <w:t xml:space="preserve">4. Schedule Summary</w:t>
      </w:r>
    </w:p>
    <w:p>
      <w:pPr>
        <w:spacing w:after="100"/>
      </w:pPr>
      <w:r>
        <w:t xml:space="preserve">43 execution activities (A1000–A1450) were defined, sequenced with FS/SS/FF relationships, and scheduled against a US 5-day calendar with federal holiday exceptions (2025–2026). After resolving open-end activities and redundant logic, the schedule was calculated (F9).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 start: January 2,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 finish: September 25,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duration: 435 working days (~21 calendar months)</w:t>
      </w:r>
    </w:p>
    <w:p>
      <w:pPr>
        <w:pStyle w:val="Heading2"/>
        <w:spacing w:after="120" w:before="250"/>
      </w:pPr>
      <w:r>
        <w:t xml:space="preserve">Critical Path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00"/>
        <w:gridCol w:w="2000"/>
      </w:tblGrid>
      <w:tr>
        <w:tc>
          <w:tcPr>
            <w:tcW w:type="dxa" w:w="1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Activity ID</w:t>
            </w:r>
          </w:p>
        </w:tc>
        <w:tc>
          <w:tcPr>
            <w:tcW w:type="dxa" w:w="59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Activity Name</w:t>
            </w:r>
          </w:p>
        </w:tc>
        <w:tc>
          <w:tcPr>
            <w:tcW w:type="dxa" w:w="20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Finish Date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A1000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Develop schedule baseline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08-Jan-25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A1080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Conceptual design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06-Feb-25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A1090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Schematic design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14-Mar-25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A1100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Detailed design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25-Apr-25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A1160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building permit application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09-May-25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A1170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 permit approval (wait)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24-Jun-25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A1190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Site clearing &amp; grading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16-Jul-25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A1200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Foundation excavation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30-Jul-25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A1210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Foundation concrete pour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20-Aug-25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A1260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Superstructure – Inpatient floors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17-Nov-25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A1270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 envelope – facade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31-Dec-25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A1300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Electrical installation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09-Mar-26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A1360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Network &amp; cybersecurity infrastructure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13-Apr-26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A1330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IoT patient monitoring installation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26-May-26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A1350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EMR system integration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23-Jul-26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A1410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Smart-systems testing &amp; validation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13-Aug-26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A1440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training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11-Sep-26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A1450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Facility handover &amp; closeout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25-Sep-26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  <w:sz w:val="20"/>
          <w:szCs w:val="20"/>
        </w:rPr>
        <w:t xml:space="preserve">Key insight: the critical path runs primarily through design → permitting → foundation → the longest structural wing → electrical → the smart-systems integration chain — not through the specialty design disciplines (Structural Design and MEP Design both carry large float).</w:t>
      </w:r>
    </w:p>
    <w:p>
      <w:pPr>
        <w:pStyle w:val="Heading1"/>
        <w:spacing w:after="150" w:before="300"/>
      </w:pPr>
      <w:r>
        <w:t xml:space="preserve">5. Resource &amp; Cost Summary</w:t>
      </w:r>
    </w:p>
    <w:p>
      <w:pPr>
        <w:spacing w:after="100"/>
      </w:pPr>
      <w:r>
        <w:t xml:space="preserve">Resources were defined in three categories — Labor and Nonlabor (rate per day) and Material (Lump Sum, Price/Unit) — and assigned to activities. Material costs required fractional Budgeted Units (share of 1.0) rather than day-based units.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600"/>
      </w:tblGrid>
      <w:tr>
        <w:tc>
          <w:tcPr>
            <w:tcW w:type="dxa" w:w="5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WBS Branch</w:t>
            </w:r>
          </w:p>
        </w:tc>
        <w:tc>
          <w:tcPr>
            <w:tcW w:type="dxa" w:w="3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Budgeted Total Cost</w:t>
            </w:r>
          </w:p>
        </w:tc>
      </w:tr>
      <w:tr>
        <w:tc>
          <w:tcPr>
            <w:tcW w:type="dxa" w:w="5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 Management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$1,597,500</w:t>
            </w:r>
          </w:p>
        </w:tc>
      </w:tr>
      <w:tr>
        <w:tc>
          <w:tcPr>
            <w:tcW w:type="dxa" w:w="5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Design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$457,500</w:t>
            </w:r>
          </w:p>
        </w:tc>
      </w:tr>
      <w:tr>
        <w:tc>
          <w:tcPr>
            <w:tcW w:type="dxa" w:w="5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Permits &amp; Regulatory Approval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$85,500</w:t>
            </w:r>
          </w:p>
        </w:tc>
      </w:tr>
      <w:tr>
        <w:tc>
          <w:tcPr>
            <w:tcW w:type="dxa" w:w="5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Site Preparation &amp; Civil Works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$6,251,500</w:t>
            </w:r>
          </w:p>
        </w:tc>
      </w:tr>
      <w:tr>
        <w:tc>
          <w:tcPr>
            <w:tcW w:type="dxa" w:w="5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Structural Construction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$91,301,000</w:t>
            </w:r>
          </w:p>
        </w:tc>
      </w:tr>
      <w:tr>
        <w:tc>
          <w:tcPr>
            <w:tcW w:type="dxa" w:w="5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MEP Installation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$61,046,000</w:t>
            </w:r>
          </w:p>
        </w:tc>
      </w:tr>
      <w:tr>
        <w:tc>
          <w:tcPr>
            <w:tcW w:type="dxa" w:w="5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Smart-Systems Integration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$23,125,000</w:t>
            </w:r>
          </w:p>
        </w:tc>
      </w:tr>
      <w:tr>
        <w:tc>
          <w:tcPr>
            <w:tcW w:type="dxa" w:w="5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Interior Finishing &amp; Medical Fit-out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$39,188,000</w:t>
            </w:r>
          </w:p>
        </w:tc>
      </w:tr>
      <w:tr>
        <w:tc>
          <w:tcPr>
            <w:tcW w:type="dxa" w:w="5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Commissioning &amp; Testing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$147,000</w:t>
            </w:r>
          </w:p>
        </w:tc>
      </w:tr>
      <w:tr>
        <w:tc>
          <w:tcPr>
            <w:tcW w:type="dxa" w:w="5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Accreditation &amp; Handover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$60,000</w:t>
            </w:r>
          </w:p>
        </w:tc>
      </w:tr>
      <w:tr>
        <w:tc>
          <w:tcPr>
            <w:tcW w:type="dxa" w:w="5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$223,259,000</w:t>
            </w:r>
          </w:p>
        </w:tc>
      </w:tr>
    </w:tbl>
    <w:p>
      <w:pPr>
        <w:pStyle w:val="Heading1"/>
        <w:spacing w:after="150" w:before="300"/>
      </w:pPr>
      <w:r>
        <w:t xml:space="preserve">6. Open Item — Cost Baseline vs. Charter Budget</w:t>
      </w:r>
    </w:p>
    <w:p>
      <w:pPr>
        <w:spacing w:after="100"/>
      </w:pPr>
      <w:r>
        <w:t xml:space="preserve">The bottom-up estimate ($223.3M) is meaningfully below the Charter's Order-of-Magnitude authorization ($300M), landing near the low end of the Charter's stated -25%/+75% accuracy range. Rather than artificially forcing the numbers to $300M with a fabricated contingency line, this gap has been intentionally left open as a governance decision point to be resolved at the next stage (Sponsor review: re-baseline down, or formally allocate the ~$77M difference as Management Reserve outside the Cost Baseline).</w:t>
      </w:r>
    </w:p>
    <w:p>
      <w:pPr>
        <w:pStyle w:val="Heading1"/>
        <w:spacing w:after="150" w:before="300"/>
      </w:pPr>
      <w:r>
        <w:t xml:space="preserve">7. Next Steps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 the Cost Baseline vs. Charter Budget variance (Sponsor decision point)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the time-phased S-Curve (Planned Value distribution)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 the Risk Register in detail and link risks to WBS packages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Prepare a mock EVM tracking exercise (PV/EV/AC, CPI/SPI) once a baseline is set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2026-09-21T09:12:07.085Z</dcterms:created>
  <dcterms:modified xsi:type="dcterms:W3CDTF">2026-09-21T09:12:07.094Z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