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AB82" w14:textId="0734975A" w:rsidR="00926FDA" w:rsidRPr="00926FDA" w:rsidRDefault="00926FDA" w:rsidP="00926FDA">
      <w:pPr>
        <w:spacing w:line="240" w:lineRule="atLeast"/>
        <w:jc w:val="center"/>
        <w:rPr>
          <w:b/>
          <w:sz w:val="20"/>
        </w:rPr>
      </w:pPr>
      <w:r w:rsidRPr="00926FDA">
        <w:rPr>
          <w:b/>
          <w:sz w:val="20"/>
        </w:rPr>
        <w:t>Robust</w:t>
      </w:r>
      <w:r w:rsidR="00F94638">
        <w:rPr>
          <w:b/>
          <w:sz w:val="20"/>
        </w:rPr>
        <w:t xml:space="preserve"> and Safe</w:t>
      </w:r>
      <w:r w:rsidRPr="00926FDA">
        <w:rPr>
          <w:b/>
          <w:sz w:val="20"/>
        </w:rPr>
        <w:t xml:space="preserve"> RL</w:t>
      </w:r>
    </w:p>
    <w:p w14:paraId="46077125" w14:textId="77777777" w:rsidR="00694048" w:rsidRDefault="00926FDA" w:rsidP="00954CD7">
      <w:pPr>
        <w:spacing w:line="240" w:lineRule="atLeast"/>
        <w:jc w:val="both"/>
        <w:rPr>
          <w:sz w:val="20"/>
        </w:rPr>
      </w:pPr>
      <w:r>
        <w:rPr>
          <w:sz w:val="20"/>
        </w:rPr>
        <w:t>Amirab</w:t>
      </w:r>
      <w:r w:rsidR="00D23039">
        <w:rPr>
          <w:sz w:val="20"/>
        </w:rPr>
        <w:t>b</w:t>
      </w:r>
      <w:r>
        <w:rPr>
          <w:sz w:val="20"/>
        </w:rPr>
        <w:t>as Afzali</w:t>
      </w:r>
      <w:r>
        <w:rPr>
          <w:sz w:val="20"/>
          <w:vertAlign w:val="superscript"/>
        </w:rPr>
        <w:t>1</w:t>
      </w:r>
      <w:r w:rsidR="00D23039">
        <w:rPr>
          <w:sz w:val="20"/>
        </w:rPr>
        <w:t xml:space="preserve"> and </w:t>
      </w:r>
      <w:r>
        <w:rPr>
          <w:sz w:val="20"/>
        </w:rPr>
        <w:t>Amirreza Velae</w:t>
      </w:r>
      <w:r>
        <w:rPr>
          <w:sz w:val="20"/>
          <w:vertAlign w:val="superscript"/>
        </w:rPr>
        <w:t>2</w:t>
      </w:r>
      <w:r w:rsidR="00D23039">
        <w:rPr>
          <w:sz w:val="20"/>
        </w:rPr>
        <w:t xml:space="preserve">, </w:t>
      </w:r>
      <w:r w:rsidR="00694048">
        <w:rPr>
          <w:sz w:val="20"/>
          <w:vertAlign w:val="superscript"/>
        </w:rPr>
        <w:t>1</w:t>
      </w:r>
      <w:r>
        <w:rPr>
          <w:sz w:val="20"/>
        </w:rPr>
        <w:t>amirrezavelae@gmail.com</w:t>
      </w:r>
      <w:r w:rsidR="00D23039">
        <w:rPr>
          <w:sz w:val="20"/>
        </w:rPr>
        <w:t>,</w:t>
      </w:r>
      <w:r w:rsidR="00694048">
        <w:rPr>
          <w:sz w:val="20"/>
        </w:rPr>
        <w:t xml:space="preserve"> </w:t>
      </w:r>
      <w:r w:rsidR="00694048">
        <w:rPr>
          <w:sz w:val="20"/>
          <w:vertAlign w:val="superscript"/>
        </w:rPr>
        <w:t>2</w:t>
      </w:r>
      <w:r>
        <w:rPr>
          <w:sz w:val="20"/>
        </w:rPr>
        <w:t>amir8afzali@gmail.com</w:t>
      </w:r>
      <w:r w:rsidR="00694048">
        <w:rPr>
          <w:sz w:val="20"/>
        </w:rPr>
        <w:t>.</w:t>
      </w:r>
    </w:p>
    <w:p w14:paraId="268C66E5" w14:textId="77777777" w:rsidR="00694048" w:rsidRDefault="00694048">
      <w:pPr>
        <w:spacing w:line="240" w:lineRule="atLeast"/>
        <w:ind w:firstLine="288"/>
        <w:jc w:val="both"/>
        <w:rPr>
          <w:sz w:val="20"/>
        </w:rPr>
      </w:pPr>
    </w:p>
    <w:p w14:paraId="7354197C" w14:textId="77777777" w:rsidR="00694048" w:rsidRDefault="00694048">
      <w:pPr>
        <w:spacing w:line="240" w:lineRule="atLeast"/>
        <w:ind w:firstLine="288"/>
        <w:jc w:val="both"/>
        <w:rPr>
          <w:sz w:val="20"/>
        </w:rPr>
      </w:pPr>
    </w:p>
    <w:p w14:paraId="7C629005" w14:textId="77777777" w:rsidR="00694048" w:rsidRDefault="00694048">
      <w:pPr>
        <w:spacing w:line="240" w:lineRule="atLeast"/>
        <w:ind w:firstLine="288"/>
        <w:jc w:val="both"/>
        <w:rPr>
          <w:sz w:val="20"/>
        </w:rPr>
        <w:sectPr w:rsidR="00694048" w:rsidSect="00D23209">
          <w:headerReference w:type="even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2F524F4" w14:textId="77777777" w:rsidR="008B55E9" w:rsidRDefault="00DE6FE2" w:rsidP="00D23039">
      <w:pPr>
        <w:spacing w:line="240" w:lineRule="atLeast"/>
        <w:ind w:firstLine="288"/>
        <w:jc w:val="both"/>
        <w:rPr>
          <w:sz w:val="20"/>
        </w:rPr>
      </w:pPr>
      <w:r>
        <w:rPr>
          <w:b/>
          <w:bCs/>
          <w:sz w:val="20"/>
        </w:rPr>
        <w:t>Proposal</w:t>
      </w:r>
      <w:r w:rsidR="00601D1C" w:rsidRPr="00601D1C">
        <w:rPr>
          <w:b/>
          <w:bCs/>
          <w:sz w:val="20"/>
        </w:rPr>
        <w:t>:</w:t>
      </w:r>
      <w:r w:rsidR="00601D1C">
        <w:rPr>
          <w:b/>
          <w:bCs/>
          <w:sz w:val="20"/>
        </w:rPr>
        <w:t xml:space="preserve"> </w:t>
      </w:r>
      <w:r w:rsidR="00954CD7" w:rsidRPr="00954CD7">
        <w:rPr>
          <w:sz w:val="20"/>
        </w:rPr>
        <w:t>Reinforcement learning (RL) has emerged as a highly effective framework for solving Markov decision processes (MDPs). As RL is increasingly applied to complex and real-world environments, ensuring the robustness of solutions becomes crucial. However, current RL algorithms often struggle with robustness against uncertainties, disturbances, and structural changes in the environment.</w:t>
      </w:r>
      <w:r>
        <w:rPr>
          <w:sz w:val="20"/>
        </w:rPr>
        <w:t xml:space="preserve"> </w:t>
      </w:r>
    </w:p>
    <w:p w14:paraId="6C3C1842" w14:textId="707DBE29" w:rsidR="00D23039" w:rsidRDefault="00DE6FE2" w:rsidP="00D23039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P</w:t>
      </w:r>
      <w:r w:rsidRPr="00DE6FE2">
        <w:rPr>
          <w:sz w:val="20"/>
        </w:rPr>
        <w:t>rior robust RL methods typically only study noise introduced independently across time</w:t>
      </w:r>
      <w:r w:rsidRPr="00DE6FE2">
        <w:rPr>
          <w:color w:val="C00000"/>
          <w:sz w:val="20"/>
          <w:vertAlign w:val="superscript"/>
        </w:rPr>
        <w:t>[1]</w:t>
      </w:r>
      <w:r w:rsidRPr="00DE6FE2">
        <w:rPr>
          <w:sz w:val="20"/>
        </w:rPr>
        <w:t>.</w:t>
      </w:r>
      <w:r>
        <w:rPr>
          <w:sz w:val="20"/>
        </w:rPr>
        <w:t xml:space="preserve"> </w:t>
      </w:r>
      <w:r w:rsidR="00954CD7" w:rsidRPr="00954CD7">
        <w:rPr>
          <w:sz w:val="20"/>
        </w:rPr>
        <w:t xml:space="preserve">These </w:t>
      </w:r>
      <w:r w:rsidR="00360457">
        <w:rPr>
          <w:sz w:val="20"/>
        </w:rPr>
        <w:t xml:space="preserve">methods </w:t>
      </w:r>
      <w:r w:rsidR="00954CD7" w:rsidRPr="00954CD7">
        <w:rPr>
          <w:sz w:val="20"/>
        </w:rPr>
        <w:t xml:space="preserve">mostly categorize the </w:t>
      </w:r>
      <w:r w:rsidR="00360457">
        <w:rPr>
          <w:sz w:val="20"/>
        </w:rPr>
        <w:t>perturbations</w:t>
      </w:r>
      <w:r w:rsidR="00954CD7" w:rsidRPr="00954CD7">
        <w:rPr>
          <w:sz w:val="20"/>
        </w:rPr>
        <w:t xml:space="preserve"> into four main types: (</w:t>
      </w:r>
      <w:proofErr w:type="spellStart"/>
      <w:r w:rsidR="00954CD7" w:rsidRPr="00954CD7">
        <w:rPr>
          <w:sz w:val="20"/>
        </w:rPr>
        <w:t>i</w:t>
      </w:r>
      <w:proofErr w:type="spellEnd"/>
      <w:r w:rsidR="00954CD7" w:rsidRPr="00954CD7">
        <w:rPr>
          <w:sz w:val="20"/>
        </w:rPr>
        <w:t>) Transition robust designs, which address uncertainties in system dynamics by adjusting state transition probabilities; (ii) Disturbance robust designs, which incorporate external forces to model system behavior uncertainties; (iii) Action robust designs, which mitigate the impact of corrupted agent outputs on system transitions; and (iv) Observation robust designs, which handle distortions in the perceived system state. Each of these approaches modifies a different aspect of the MDP framework. These four categories of robustness are mostly considered from the perspectives of Optimal Control</w:t>
      </w:r>
      <w:r w:rsidR="00D23039">
        <w:rPr>
          <w:sz w:val="20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∞</m:t>
            </m:r>
          </m:sub>
        </m:sSub>
      </m:oMath>
      <w:r w:rsidR="00F74682">
        <w:rPr>
          <w:i/>
          <w:sz w:val="20"/>
        </w:rPr>
        <w:t xml:space="preserve"> </w:t>
      </w:r>
      <w:r w:rsidR="00D23039" w:rsidRPr="00D23039">
        <w:rPr>
          <w:i/>
          <w:iCs/>
          <w:sz w:val="20"/>
          <w:vertAlign w:val="subscript"/>
        </w:rPr>
        <w:t xml:space="preserve"> </w:t>
      </w:r>
      <w:r w:rsidR="00D23039" w:rsidRPr="00D23039">
        <w:rPr>
          <w:i/>
          <w:iCs/>
          <w:sz w:val="20"/>
        </w:rPr>
        <w:t>control</w:t>
      </w:r>
      <w:r w:rsidR="00D23039">
        <w:rPr>
          <w:sz w:val="20"/>
        </w:rPr>
        <w:t xml:space="preserve"> and </w:t>
      </w:r>
      <w:r w:rsidR="00D23039" w:rsidRPr="00D23039">
        <w:rPr>
          <w:i/>
          <w:iCs/>
          <w:sz w:val="20"/>
        </w:rPr>
        <w:t>Belza form</w:t>
      </w:r>
      <w:r w:rsidR="00D23039">
        <w:rPr>
          <w:sz w:val="20"/>
        </w:rPr>
        <w:t>)</w:t>
      </w:r>
      <w:r w:rsidR="00954CD7" w:rsidRPr="00954CD7">
        <w:rPr>
          <w:sz w:val="20"/>
        </w:rPr>
        <w:t>, Optimization</w:t>
      </w:r>
      <w:r w:rsidR="00D23039">
        <w:rPr>
          <w:sz w:val="20"/>
        </w:rPr>
        <w:t xml:space="preserve"> (</w:t>
      </w:r>
      <w:r w:rsidR="00D23039" w:rsidRPr="00D23039">
        <w:rPr>
          <w:i/>
          <w:iCs/>
          <w:sz w:val="20"/>
        </w:rPr>
        <w:t>bi-level</w:t>
      </w:r>
      <w:r w:rsidR="00D23039">
        <w:rPr>
          <w:sz w:val="20"/>
        </w:rPr>
        <w:t xml:space="preserve"> problem) and</w:t>
      </w:r>
      <w:r w:rsidR="00954CD7" w:rsidRPr="00954CD7">
        <w:rPr>
          <w:sz w:val="20"/>
        </w:rPr>
        <w:t xml:space="preserve"> Game Theory</w:t>
      </w:r>
      <w:r w:rsidR="00D23039">
        <w:rPr>
          <w:sz w:val="20"/>
        </w:rPr>
        <w:t xml:space="preserve"> (</w:t>
      </w:r>
      <w:r w:rsidR="00D23039" w:rsidRPr="00D23039">
        <w:rPr>
          <w:i/>
          <w:iCs/>
          <w:sz w:val="20"/>
        </w:rPr>
        <w:t>adversarial reinforcement learning</w:t>
      </w:r>
      <w:r w:rsidR="00D23039">
        <w:rPr>
          <w:sz w:val="20"/>
        </w:rPr>
        <w:t>).</w:t>
      </w:r>
    </w:p>
    <w:p w14:paraId="2A009C5C" w14:textId="51619F65" w:rsidR="00ED170D" w:rsidRDefault="00ED170D" w:rsidP="00ED170D">
      <w:pPr>
        <w:spacing w:line="240" w:lineRule="atLeast"/>
        <w:ind w:firstLine="288"/>
        <w:jc w:val="both"/>
        <w:rPr>
          <w:sz w:val="20"/>
        </w:rPr>
      </w:pPr>
      <w:r w:rsidRPr="00954CD7">
        <w:rPr>
          <w:sz w:val="20"/>
        </w:rPr>
        <w:t>We consider the environment (or, as many other papers call it, nature) to be adversarial towards the agent, attempting to minimize the agent's reward. This perspective leads to common worst-case scenario cases where the optimization problem is converted to a mini-max problem. Consequently, many authors view this optimization as a zero-sum two-player game and seek to find the Nash equilibria</w:t>
      </w:r>
      <w:r w:rsidRPr="00DE6FE2">
        <w:rPr>
          <w:color w:val="C00000"/>
          <w:sz w:val="20"/>
          <w:vertAlign w:val="superscript"/>
        </w:rPr>
        <w:t>[</w:t>
      </w:r>
      <w:r>
        <w:rPr>
          <w:color w:val="C00000"/>
          <w:sz w:val="20"/>
          <w:vertAlign w:val="superscript"/>
        </w:rPr>
        <w:t>5</w:t>
      </w:r>
      <w:r w:rsidRPr="00DE6FE2">
        <w:rPr>
          <w:color w:val="C00000"/>
          <w:sz w:val="20"/>
          <w:vertAlign w:val="superscript"/>
        </w:rPr>
        <w:t>]</w:t>
      </w:r>
      <w:r w:rsidRPr="00954CD7">
        <w:rPr>
          <w:sz w:val="20"/>
        </w:rPr>
        <w:t>. However, this viewpoint does not generalize for most cases. For example, in Multi-Agent Reinforcement Learning (MARL), the game involves more than two players, making the Nash equilibria NP-hard to find. Additionally, preparing for the worst case is not necessarily beneficial, as the agent may overlook some valuable rewards.</w:t>
      </w:r>
    </w:p>
    <w:p w14:paraId="53379330" w14:textId="0A1E6384" w:rsidR="00DE6FE2" w:rsidRPr="00D23039" w:rsidRDefault="00DE6FE2" w:rsidP="00DE6FE2">
      <w:pPr>
        <w:spacing w:line="240" w:lineRule="atLeast"/>
        <w:ind w:firstLine="288"/>
        <w:jc w:val="both"/>
        <w:rPr>
          <w:sz w:val="20"/>
        </w:rPr>
      </w:pPr>
      <w:r w:rsidRPr="00DE6FE2">
        <w:rPr>
          <w:sz w:val="20"/>
        </w:rPr>
        <w:t xml:space="preserve">Safe reinforcement learning ensures agents avoid harmful actions during </w:t>
      </w:r>
      <w:r w:rsidR="00ED170D">
        <w:rPr>
          <w:sz w:val="20"/>
        </w:rPr>
        <w:t xml:space="preserve">both </w:t>
      </w:r>
      <w:r w:rsidRPr="00DE6FE2">
        <w:rPr>
          <w:sz w:val="20"/>
        </w:rPr>
        <w:t>training and deployment by integrating safety constraints</w:t>
      </w:r>
      <w:r w:rsidR="00360457" w:rsidRPr="00DE6FE2">
        <w:rPr>
          <w:color w:val="C00000"/>
          <w:sz w:val="20"/>
          <w:vertAlign w:val="superscript"/>
        </w:rPr>
        <w:t>[</w:t>
      </w:r>
      <w:r w:rsidR="00360457">
        <w:rPr>
          <w:color w:val="C00000"/>
          <w:sz w:val="20"/>
          <w:vertAlign w:val="superscript"/>
        </w:rPr>
        <w:t>2</w:t>
      </w:r>
      <w:r w:rsidR="00360457" w:rsidRPr="00DE6FE2">
        <w:rPr>
          <w:color w:val="C00000"/>
          <w:sz w:val="20"/>
          <w:vertAlign w:val="superscript"/>
        </w:rPr>
        <w:t>]</w:t>
      </w:r>
      <w:r w:rsidRPr="00DE6FE2">
        <w:rPr>
          <w:sz w:val="20"/>
        </w:rPr>
        <w:t>. Reinforcement Learning with Human Feedback (RLHF)</w:t>
      </w:r>
      <w:r w:rsidR="00360457" w:rsidRPr="00360457">
        <w:rPr>
          <w:color w:val="C00000"/>
          <w:sz w:val="20"/>
          <w:vertAlign w:val="superscript"/>
        </w:rPr>
        <w:t xml:space="preserve"> </w:t>
      </w:r>
      <w:r w:rsidR="00360457" w:rsidRPr="00DE6FE2">
        <w:rPr>
          <w:color w:val="C00000"/>
          <w:sz w:val="20"/>
          <w:vertAlign w:val="superscript"/>
        </w:rPr>
        <w:t>[</w:t>
      </w:r>
      <w:r w:rsidR="00360457">
        <w:rPr>
          <w:color w:val="C00000"/>
          <w:sz w:val="20"/>
          <w:vertAlign w:val="superscript"/>
        </w:rPr>
        <w:t>3</w:t>
      </w:r>
      <w:r w:rsidR="00360457" w:rsidRPr="00DE6FE2">
        <w:rPr>
          <w:color w:val="C00000"/>
          <w:sz w:val="20"/>
          <w:vertAlign w:val="superscript"/>
        </w:rPr>
        <w:t>]</w:t>
      </w:r>
      <w:r w:rsidRPr="00DE6FE2">
        <w:rPr>
          <w:sz w:val="20"/>
        </w:rPr>
        <w:t xml:space="preserve"> can enhance safe RL by using human input to guide the agent's behavior, ensuring it aligns with safety standards and avoids risky actions</w:t>
      </w:r>
      <w:r w:rsidR="008B55E9" w:rsidRPr="00DE6FE2">
        <w:rPr>
          <w:color w:val="C00000"/>
          <w:sz w:val="20"/>
          <w:vertAlign w:val="superscript"/>
        </w:rPr>
        <w:t>[</w:t>
      </w:r>
      <w:r w:rsidR="008B55E9">
        <w:rPr>
          <w:color w:val="C00000"/>
          <w:sz w:val="20"/>
          <w:vertAlign w:val="superscript"/>
        </w:rPr>
        <w:t>4</w:t>
      </w:r>
      <w:r w:rsidR="008B55E9" w:rsidRPr="00DE6FE2">
        <w:rPr>
          <w:color w:val="C00000"/>
          <w:sz w:val="20"/>
          <w:vertAlign w:val="superscript"/>
        </w:rPr>
        <w:t>]</w:t>
      </w:r>
      <w:r w:rsidRPr="00DE6FE2">
        <w:rPr>
          <w:sz w:val="20"/>
        </w:rPr>
        <w:t>.</w:t>
      </w:r>
    </w:p>
    <w:p w14:paraId="17D031B9" w14:textId="10F9F1B0" w:rsidR="007705A3" w:rsidRDefault="007705A3" w:rsidP="00954CD7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In some advances papers, authors consider editing </w:t>
      </w:r>
      <w:r w:rsidRPr="007705A3">
        <w:rPr>
          <w:i/>
          <w:iCs/>
          <w:sz w:val="20"/>
        </w:rPr>
        <w:t>Hamilton-Jacobi-Bellman equation</w:t>
      </w:r>
      <w:r>
        <w:rPr>
          <w:sz w:val="20"/>
        </w:rPr>
        <w:t xml:space="preserve"> (HJB) which is derived from</w:t>
      </w:r>
      <w:r w:rsidRPr="00F74682">
        <w:rPr>
          <w:i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∞</m:t>
            </m:r>
          </m:sub>
        </m:sSub>
      </m:oMath>
      <w:r w:rsidR="00F74682">
        <w:rPr>
          <w:i/>
          <w:sz w:val="20"/>
        </w:rPr>
        <w:t xml:space="preserve"> </w:t>
      </w:r>
      <w:r>
        <w:rPr>
          <w:sz w:val="20"/>
        </w:rPr>
        <w:t xml:space="preserve">control and </w:t>
      </w:r>
      <w:r w:rsidRPr="007705A3">
        <w:rPr>
          <w:i/>
          <w:iCs/>
          <w:sz w:val="20"/>
        </w:rPr>
        <w:t>Belza Form</w:t>
      </w:r>
      <w:r>
        <w:rPr>
          <w:sz w:val="20"/>
        </w:rPr>
        <w:t>.</w:t>
      </w:r>
      <w:r w:rsidR="00F74682">
        <w:rPr>
          <w:sz w:val="20"/>
        </w:rPr>
        <w:t xml:space="preserve"> In robust RL the </w:t>
      </w:r>
      <w:r w:rsidR="00F74682">
        <w:rPr>
          <w:sz w:val="20"/>
        </w:rPr>
        <w:t>Bellman operator slightly modified under some uncertainty</w:t>
      </w:r>
      <w:r w:rsidR="00ED170D">
        <w:rPr>
          <w:sz w:val="20"/>
        </w:rPr>
        <w:t xml:space="preserve"> or </w:t>
      </w:r>
      <w:r w:rsidR="00F74682">
        <w:rPr>
          <w:sz w:val="20"/>
        </w:rPr>
        <w:t>perturbation sets.</w:t>
      </w:r>
    </w:p>
    <w:p w14:paraId="49B163BF" w14:textId="4EFEB54E" w:rsidR="00DE6FE2" w:rsidRDefault="00ED170D" w:rsidP="00ED170D">
      <w:pPr>
        <w:spacing w:line="240" w:lineRule="atLeast"/>
        <w:ind w:firstLine="288"/>
        <w:jc w:val="both"/>
        <w:rPr>
          <w:sz w:val="20"/>
        </w:rPr>
      </w:pPr>
      <w:r w:rsidRPr="00ED170D">
        <w:rPr>
          <w:sz w:val="20"/>
        </w:rPr>
        <w:t xml:space="preserve">Therefore, research on this topic is ongoing, and authors are attempting to address this problem in various ways. For example, authors in </w:t>
      </w:r>
      <w:r w:rsidRPr="00DE6FE2">
        <w:rPr>
          <w:color w:val="C00000"/>
          <w:sz w:val="20"/>
          <w:vertAlign w:val="superscript"/>
        </w:rPr>
        <w:t>[</w:t>
      </w:r>
      <w:r>
        <w:rPr>
          <w:color w:val="C00000"/>
          <w:sz w:val="20"/>
          <w:vertAlign w:val="superscript"/>
        </w:rPr>
        <w:t>6</w:t>
      </w:r>
      <w:r w:rsidRPr="00DE6FE2">
        <w:rPr>
          <w:color w:val="C00000"/>
          <w:sz w:val="20"/>
          <w:vertAlign w:val="superscript"/>
        </w:rPr>
        <w:t>]</w:t>
      </w:r>
      <w:r w:rsidRPr="00F94638">
        <w:rPr>
          <w:sz w:val="20"/>
        </w:rPr>
        <w:t>,</w:t>
      </w:r>
      <w:r w:rsidRPr="00ED170D">
        <w:rPr>
          <w:sz w:val="20"/>
        </w:rPr>
        <w:t xml:space="preserve"> proposed the first policy-based approach, Robust Natural Actor-Critic (RNAK), for robust RL under function approximation. Additionally, they proposed two novel uncertainty sets to improve sim-to-real approaches.</w:t>
      </w:r>
    </w:p>
    <w:p w14:paraId="6D9EAA76" w14:textId="5DDB6E2C" w:rsidR="00694048" w:rsidRDefault="00694048" w:rsidP="00F94638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References:</w:t>
      </w:r>
      <w:r>
        <w:rPr>
          <w:sz w:val="20"/>
        </w:rPr>
        <w:t xml:space="preserve"> </w:t>
      </w:r>
    </w:p>
    <w:p w14:paraId="0B3F5427" w14:textId="7E50E2BC" w:rsidR="006A113C" w:rsidRPr="008B55E9" w:rsidRDefault="00F94638" w:rsidP="008B55E9">
      <w:pPr>
        <w:pStyle w:val="ListParagraph"/>
        <w:numPr>
          <w:ilvl w:val="0"/>
          <w:numId w:val="1"/>
        </w:numPr>
        <w:spacing w:line="240" w:lineRule="atLeast"/>
        <w:jc w:val="both"/>
        <w:rPr>
          <w:rFonts w:asciiTheme="majorBidi" w:hAnsiTheme="majorBidi" w:cstheme="majorBidi"/>
          <w:sz w:val="20"/>
        </w:rPr>
      </w:pPr>
      <w:hyperlink r:id="rId10" w:history="1">
        <w:r w:rsidRPr="008B55E9">
          <w:rPr>
            <w:rStyle w:val="Hyperlink"/>
            <w:rFonts w:asciiTheme="majorBidi" w:hAnsiTheme="majorBidi" w:cstheme="majorBidi"/>
            <w:sz w:val="20"/>
          </w:rPr>
          <w:t>https://www.mdpi.com/2504-4990/4/1/13</w:t>
        </w:r>
      </w:hyperlink>
    </w:p>
    <w:p w14:paraId="664D1F26" w14:textId="77777777" w:rsidR="008B55E9" w:rsidRPr="008B55E9" w:rsidRDefault="008B55E9" w:rsidP="008B55E9">
      <w:pPr>
        <w:pStyle w:val="ListParagraph"/>
        <w:numPr>
          <w:ilvl w:val="0"/>
          <w:numId w:val="1"/>
        </w:numPr>
        <w:spacing w:line="240" w:lineRule="atLeast"/>
        <w:jc w:val="both"/>
        <w:rPr>
          <w:rFonts w:asciiTheme="majorBidi" w:hAnsiTheme="majorBidi" w:cstheme="majorBidi"/>
          <w:sz w:val="20"/>
        </w:rPr>
      </w:pPr>
      <w:hyperlink r:id="rId11" w:tgtFrame="_blank" w:history="1">
        <w:r w:rsidRPr="008B55E9">
          <w:rPr>
            <w:rStyle w:val="Hyperlink"/>
            <w:rFonts w:asciiTheme="majorBidi" w:hAnsiTheme="majorBidi" w:cstheme="majorBidi"/>
            <w:sz w:val="20"/>
          </w:rPr>
          <w:t>https://arxiv.org/pdf/2403.18539</w:t>
        </w:r>
      </w:hyperlink>
    </w:p>
    <w:p w14:paraId="5C6A5068" w14:textId="0A3E9CB8" w:rsidR="008B55E9" w:rsidRDefault="008B55E9" w:rsidP="008B55E9">
      <w:pPr>
        <w:pStyle w:val="ListParagraph"/>
        <w:numPr>
          <w:ilvl w:val="0"/>
          <w:numId w:val="1"/>
        </w:numPr>
        <w:spacing w:line="240" w:lineRule="atLeast"/>
        <w:jc w:val="both"/>
        <w:rPr>
          <w:sz w:val="20"/>
        </w:rPr>
      </w:pPr>
      <w:hyperlink r:id="rId12" w:history="1">
        <w:r w:rsidRPr="00CF5189">
          <w:rPr>
            <w:rStyle w:val="Hyperlink"/>
            <w:sz w:val="20"/>
          </w:rPr>
          <w:t>https://arxiv.org/pdf/2310.12773</w:t>
        </w:r>
      </w:hyperlink>
    </w:p>
    <w:p w14:paraId="1582C6E4" w14:textId="432057D1" w:rsidR="008B55E9" w:rsidRDefault="008B55E9" w:rsidP="008B55E9">
      <w:pPr>
        <w:pStyle w:val="ListParagraph"/>
        <w:numPr>
          <w:ilvl w:val="0"/>
          <w:numId w:val="1"/>
        </w:numPr>
        <w:spacing w:line="240" w:lineRule="atLeast"/>
        <w:jc w:val="both"/>
        <w:rPr>
          <w:sz w:val="20"/>
        </w:rPr>
      </w:pPr>
      <w:hyperlink r:id="rId13" w:history="1">
        <w:r w:rsidRPr="00CF5189">
          <w:rPr>
            <w:rStyle w:val="Hyperlink"/>
            <w:sz w:val="20"/>
          </w:rPr>
          <w:t>https://arxiv.org/pdf/2106.05091</w:t>
        </w:r>
      </w:hyperlink>
    </w:p>
    <w:p w14:paraId="05C12033" w14:textId="594EAC87" w:rsidR="008B55E9" w:rsidRDefault="008B55E9" w:rsidP="008B55E9">
      <w:pPr>
        <w:pStyle w:val="ListParagraph"/>
        <w:numPr>
          <w:ilvl w:val="0"/>
          <w:numId w:val="1"/>
        </w:numPr>
        <w:spacing w:line="240" w:lineRule="atLeast"/>
        <w:jc w:val="both"/>
        <w:rPr>
          <w:sz w:val="20"/>
        </w:rPr>
      </w:pPr>
      <w:hyperlink r:id="rId14" w:history="1">
        <w:r w:rsidRPr="00CF5189">
          <w:rPr>
            <w:rStyle w:val="Hyperlink"/>
            <w:sz w:val="20"/>
          </w:rPr>
          <w:t>https://arxiv.org/pdf/2307.12062</w:t>
        </w:r>
      </w:hyperlink>
    </w:p>
    <w:p w14:paraId="712E3779" w14:textId="5A52FDA0" w:rsidR="008B55E9" w:rsidRDefault="008B55E9" w:rsidP="008B55E9">
      <w:pPr>
        <w:pStyle w:val="ListParagraph"/>
        <w:numPr>
          <w:ilvl w:val="0"/>
          <w:numId w:val="1"/>
        </w:numPr>
        <w:spacing w:line="240" w:lineRule="atLeast"/>
        <w:jc w:val="both"/>
        <w:rPr>
          <w:sz w:val="20"/>
        </w:rPr>
      </w:pPr>
      <w:hyperlink r:id="rId15" w:history="1">
        <w:r w:rsidRPr="00CF5189">
          <w:rPr>
            <w:rStyle w:val="Hyperlink"/>
            <w:sz w:val="20"/>
          </w:rPr>
          <w:t>https://arxiv.org/abs/2307.08875</w:t>
        </w:r>
      </w:hyperlink>
    </w:p>
    <w:p w14:paraId="11A6EE38" w14:textId="77777777" w:rsidR="008B55E9" w:rsidRDefault="008B55E9" w:rsidP="00ED170D">
      <w:pPr>
        <w:pStyle w:val="ListParagraph"/>
        <w:spacing w:line="240" w:lineRule="atLeast"/>
        <w:ind w:left="1008"/>
        <w:jc w:val="both"/>
        <w:rPr>
          <w:sz w:val="20"/>
        </w:rPr>
      </w:pPr>
    </w:p>
    <w:p w14:paraId="19FFDD3C" w14:textId="77777777" w:rsidR="008B55E9" w:rsidRPr="008B55E9" w:rsidRDefault="008B55E9" w:rsidP="008B55E9">
      <w:pPr>
        <w:pStyle w:val="ListParagraph"/>
        <w:spacing w:line="240" w:lineRule="atLeast"/>
        <w:ind w:left="1008"/>
        <w:jc w:val="both"/>
        <w:rPr>
          <w:sz w:val="20"/>
        </w:rPr>
      </w:pPr>
    </w:p>
    <w:sectPr w:rsidR="008B55E9" w:rsidRPr="008B55E9">
      <w:type w:val="continuous"/>
      <w:pgSz w:w="12240" w:h="15840"/>
      <w:pgMar w:top="1440" w:right="1440" w:bottom="1440" w:left="1440" w:header="720" w:footer="720" w:gutter="0"/>
      <w:cols w:num="2" w:space="4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AB3B" w14:textId="77777777" w:rsidR="00D23209" w:rsidRDefault="00D23209">
      <w:r>
        <w:separator/>
      </w:r>
    </w:p>
  </w:endnote>
  <w:endnote w:type="continuationSeparator" w:id="0">
    <w:p w14:paraId="0D7FB7AD" w14:textId="77777777" w:rsidR="00D23209" w:rsidRDefault="00D23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3E3CF" w14:textId="77777777" w:rsidR="006A128D" w:rsidRDefault="006A12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4A847" w14:textId="77777777" w:rsidR="00D23209" w:rsidRDefault="00D23209">
      <w:r>
        <w:separator/>
      </w:r>
    </w:p>
  </w:footnote>
  <w:footnote w:type="continuationSeparator" w:id="0">
    <w:p w14:paraId="34B5E5D9" w14:textId="77777777" w:rsidR="00D23209" w:rsidRDefault="00D23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0CD1E" w14:textId="77777777" w:rsidR="006A128D" w:rsidRDefault="006A128D">
    <w:pPr>
      <w:pStyle w:val="Header"/>
      <w:jc w:val="center"/>
    </w:pPr>
    <w:r>
      <w:t>SHORT TITLE HERE:  A. B. Author and C. D. Author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B6D90"/>
    <w:multiLevelType w:val="hybridMultilevel"/>
    <w:tmpl w:val="A3F43A3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67839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intFractionalCharacterWidth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B7"/>
    <w:rsid w:val="00053529"/>
    <w:rsid w:val="0006072E"/>
    <w:rsid w:val="000773C3"/>
    <w:rsid w:val="00091425"/>
    <w:rsid w:val="00091649"/>
    <w:rsid w:val="000D1584"/>
    <w:rsid w:val="00131DD5"/>
    <w:rsid w:val="00220009"/>
    <w:rsid w:val="002F7A55"/>
    <w:rsid w:val="00360457"/>
    <w:rsid w:val="003C6DEF"/>
    <w:rsid w:val="003E06B7"/>
    <w:rsid w:val="00562122"/>
    <w:rsid w:val="00566EF9"/>
    <w:rsid w:val="005B1268"/>
    <w:rsid w:val="00601D1C"/>
    <w:rsid w:val="00661A37"/>
    <w:rsid w:val="00672E93"/>
    <w:rsid w:val="00694048"/>
    <w:rsid w:val="006A113C"/>
    <w:rsid w:val="006A128D"/>
    <w:rsid w:val="006B3026"/>
    <w:rsid w:val="006F2903"/>
    <w:rsid w:val="007705A3"/>
    <w:rsid w:val="00774CD2"/>
    <w:rsid w:val="00813CDC"/>
    <w:rsid w:val="00832D82"/>
    <w:rsid w:val="008B55E9"/>
    <w:rsid w:val="008F5E43"/>
    <w:rsid w:val="00926FDA"/>
    <w:rsid w:val="00954CD7"/>
    <w:rsid w:val="00B5642A"/>
    <w:rsid w:val="00B6344D"/>
    <w:rsid w:val="00C57D71"/>
    <w:rsid w:val="00C84AB7"/>
    <w:rsid w:val="00D23039"/>
    <w:rsid w:val="00D23209"/>
    <w:rsid w:val="00D253BF"/>
    <w:rsid w:val="00D51263"/>
    <w:rsid w:val="00DE0C69"/>
    <w:rsid w:val="00DE6FE2"/>
    <w:rsid w:val="00E3629C"/>
    <w:rsid w:val="00ED170D"/>
    <w:rsid w:val="00EE5A1F"/>
    <w:rsid w:val="00F726C7"/>
    <w:rsid w:val="00F74682"/>
    <w:rsid w:val="00F94638"/>
    <w:rsid w:val="00FB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BEC1E"/>
  <w15:chartTrackingRefBased/>
  <w15:docId w15:val="{F73D19FD-E1B4-4085-83BF-D828EF70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72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26C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74C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74CD2"/>
    <w:pPr>
      <w:spacing w:before="100" w:beforeAutospacing="1" w:after="100" w:afterAutospacing="1"/>
    </w:pPr>
    <w:rPr>
      <w:rFonts w:ascii="Calibri" w:eastAsia="Calibri" w:hAnsi="Calibri" w:cs="Calibri"/>
      <w:sz w:val="24"/>
      <w:szCs w:val="24"/>
    </w:rPr>
  </w:style>
  <w:style w:type="character" w:styleId="Strong">
    <w:name w:val="Strong"/>
    <w:uiPriority w:val="22"/>
    <w:qFormat/>
    <w:rsid w:val="00774CD2"/>
    <w:rPr>
      <w:b/>
      <w:bCs/>
    </w:rPr>
  </w:style>
  <w:style w:type="character" w:styleId="Emphasis">
    <w:name w:val="Emphasis"/>
    <w:uiPriority w:val="20"/>
    <w:qFormat/>
    <w:rsid w:val="00774C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74682"/>
    <w:rPr>
      <w:color w:val="666666"/>
    </w:rPr>
  </w:style>
  <w:style w:type="paragraph" w:styleId="ListParagraph">
    <w:name w:val="List Paragraph"/>
    <w:basedOn w:val="Normal"/>
    <w:uiPriority w:val="34"/>
    <w:qFormat/>
    <w:rsid w:val="00F946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4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rxiv.org/pdf/2106.050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pdf/2310.1277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403.185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307.08875" TargetMode="External"/><Relationship Id="rId10" Type="http://schemas.openxmlformats.org/officeDocument/2006/relationships/hyperlink" Target="https://www.mdpi.com/2504-4990/4/1/1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rxiv.org/pdf/2307.120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99ABE-A89E-45CA-9A99-6CDC314DC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two-page abstracts in Word 97 (PC)</vt:lpstr>
    </vt:vector>
  </TitlesOfParts>
  <Company>CASS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two-page abstracts in Word 97 (PC)</dc:title>
  <dc:subject/>
  <dc:creator>LPI</dc:creator>
  <cp:keywords/>
  <cp:lastModifiedBy>amirreza velae</cp:lastModifiedBy>
  <cp:revision>3</cp:revision>
  <cp:lastPrinted>2024-05-19T15:13:00Z</cp:lastPrinted>
  <dcterms:created xsi:type="dcterms:W3CDTF">2024-05-19T14:08:00Z</dcterms:created>
  <dcterms:modified xsi:type="dcterms:W3CDTF">2024-05-19T15:13:00Z</dcterms:modified>
</cp:coreProperties>
</file>