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3733C9"/>
          <w:sz w:val="26"/>
        </w:rPr>
        <w:t>DEMONSTRATION OF QUALITY</w:t>
      </w:r>
    </w:p>
    <w:p>
      <w:pPr>
        <w:jc w:val="center"/>
      </w:pPr>
      <w:r>
        <w:rPr>
          <w:color w:val="555555"/>
          <w:sz w:val="24"/>
        </w:rPr>
        <w:t>Response to the Quality-Evaluation Criteria (Section 3)</w:t>
      </w:r>
    </w:p>
    <w:p/>
    <w:p>
      <w:pPr>
        <w:jc w:val="center"/>
      </w:pPr>
      <w:r>
        <w:rPr>
          <w:b/>
          <w:color w:val="141416"/>
          <w:sz w:val="36"/>
        </w:rPr>
        <w:t>Implementation of an Artificial-Intelligence Assistance Project</w:t>
        <w:br/>
        <w:t>for the Admissibility (Recevabilité) of Ministerial Authorization Requests</w:t>
      </w:r>
    </w:p>
    <w:p/>
    <w:p>
      <w:pPr>
        <w:jc w:val="center"/>
      </w:pPr>
      <w:r>
        <w:rPr>
          <w:b/>
          <w:sz w:val="26"/>
        </w:rPr>
        <w:t>Public Call for Tenders No. 25320-S</w:t>
      </w:r>
    </w:p>
    <w:p>
      <w:pPr>
        <w:jc w:val="center"/>
      </w:pPr>
      <w:r>
        <w:rPr>
          <w:color w:val="555555"/>
          <w:sz w:val="22"/>
        </w:rPr>
        <w:t>Ministère de l'Environnement, de la Lutte contre les changements climatiques,</w:t>
        <w:br/>
        <w:t>de la Faune et des Parcs (MELCCFP)</w:t>
      </w:r>
    </w:p>
    <w:p/>
    <w:p/>
    <w:p>
      <w:pPr>
        <w:jc w:val="center"/>
      </w:pPr>
      <w:r>
        <w:rPr>
          <w:color w:val="555555"/>
          <w:sz w:val="20"/>
        </w:rPr>
        <w:t>Submitted by</w:t>
      </w:r>
    </w:p>
    <w:p>
      <w:pPr>
        <w:jc w:val="center"/>
      </w:pPr>
      <w:r>
        <w:rPr>
          <w:b/>
          <w:color w:val="3733C9"/>
          <w:sz w:val="30"/>
        </w:rPr>
        <w:t>Genitechs</w:t>
      </w:r>
    </w:p>
    <w:p>
      <w:pPr>
        <w:jc w:val="center"/>
      </w:pPr>
      <w:r>
        <w:rPr>
          <w:i/>
          <w:color w:val="555555"/>
          <w:sz w:val="20"/>
        </w:rPr>
        <w:t>AI design, application &amp; integration studio — proposing the Clerq2 platform</w:t>
      </w:r>
    </w:p>
    <w:p>
      <w:pPr>
        <w:jc w:val="center"/>
      </w:pPr>
      <w:r>
        <w:rPr>
          <w:i/>
          <w:color w:val="B12A2A"/>
          <w:sz w:val="20"/>
        </w:rPr>
        <w:t>[ legal company name, address, NEQ, contact, date ]</w:t>
      </w:r>
    </w:p>
    <w:p>
      <w:r>
        <w:br w:type="page"/>
      </w:r>
    </w:p>
    <w:p>
      <w:pPr>
        <w:pStyle w:val="Heading1"/>
      </w:pPr>
      <w:r>
        <w:t>How to use this document</w:t>
      </w:r>
    </w:p>
    <w:p>
      <w:pPr>
        <w:spacing w:after="160"/>
      </w:pPr>
      <w:r>
        <w:rPr>
          <w:b w:val="0"/>
          <w:sz w:val="22"/>
        </w:rPr>
        <w:t>This file is the Quality Demonstration that the call for tenders evaluates under Section 3. It is submitted as a PDF, separate from the price file (each file max 75 MB). The structure below mirrors the three evaluation criteria, in the exact order the selection committee scores them.</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EEF0FF"/>
          </w:tcPr>
          <w:p>
            <w:pPr>
              <w:spacing w:after="60"/>
            </w:pPr>
            <w:r>
              <w:rPr>
                <w:b/>
                <w:color w:val="3733C9"/>
                <w:sz w:val="18"/>
              </w:rPr>
              <w:t>READ FIRST — RULES THAT GOVERN THIS DOCUMENT</w:t>
            </w:r>
          </w:p>
          <w:p>
            <w:pPr>
              <w:spacing w:after="40"/>
            </w:pPr>
            <w:r>
              <w:rPr>
                <w:i/>
                <w:color w:val="555555"/>
                <w:sz w:val="20"/>
              </w:rPr>
              <w:t>Total length of the quality demonstration is effectively 18 pages: each of the three criteria is capped at a maximum of 6 pages (format 8½ × 11). The committee reads only the pages within each cap.</w:t>
            </w:r>
          </w:p>
          <w:p>
            <w:pPr>
              <w:spacing w:after="40"/>
            </w:pPr>
            <w:r>
              <w:rPr>
                <w:i/>
                <w:color w:val="555555"/>
                <w:sz w:val="20"/>
              </w:rPr>
              <w:t>Final submission must be written in French. This working version is in English (as requested); translate before filing.</w:t>
            </w:r>
          </w:p>
          <w:p>
            <w:pPr>
              <w:spacing w:after="40"/>
            </w:pPr>
            <w:r>
              <w:rPr>
                <w:i/>
                <w:color w:val="555555"/>
                <w:sz w:val="20"/>
              </w:rPr>
              <w:t>Use a font no smaller than 10 points and print recto-verso.</w:t>
            </w:r>
          </w:p>
          <w:p>
            <w:pPr>
              <w:spacing w:after="40"/>
            </w:pPr>
            <w:r>
              <w:rPr>
                <w:i/>
                <w:color w:val="555555"/>
                <w:sz w:val="20"/>
              </w:rPr>
              <w:t>Do not copy the wording of the call for tenders into your answers. The shaded grey "What this section must demonstrate" boxes paraphrase the requirement for your guidance only — delete them before filing.</w:t>
            </w:r>
          </w:p>
          <w:p>
            <w:pPr>
              <w:spacing w:after="40"/>
            </w:pPr>
            <w:r>
              <w:rPr>
                <w:i/>
                <w:color w:val="555555"/>
                <w:sz w:val="20"/>
              </w:rPr>
              <w:t>Yellow "TO COMPLETE" markers are where you insert your own verifiable facts. Do not invent experience: Criterion 1 is eliminatory.</w:t>
            </w:r>
          </w:p>
          <w:p>
            <w:pPr>
              <w:spacing w:after="40"/>
            </w:pPr>
            <w:r>
              <w:rPr>
                <w:i/>
                <w:color w:val="555555"/>
                <w:sz w:val="20"/>
              </w:rPr>
              <w:t>Do not attach CVs. Complete and attach any tables the tender requires.</w:t>
            </w:r>
          </w:p>
          <w:p>
            <w:pPr>
              <w:spacing w:after="40"/>
            </w:pPr>
            <w:r>
              <w:rPr>
                <w:i/>
                <w:color w:val="555555"/>
                <w:sz w:val="20"/>
              </w:rPr>
              <w:t>The acceptable performance level is 70/100 per criterion; to exceed 70 you must demonstrably surpass the minimum expectations (show "atouts" / added value).</w:t>
            </w:r>
          </w:p>
          <w:p>
            <w:pPr>
              <w:spacing w:after="0"/>
            </w:pPr>
          </w:p>
        </w:tc>
      </w:tr>
    </w:tbl>
    <w:p>
      <w:pPr>
        <w:spacing w:after="40"/>
      </w:pPr>
    </w:p>
    <w:p>
      <w:pPr>
        <w:pStyle w:val="Heading1"/>
      </w:pPr>
      <w:r>
        <w:t>3.2.1  Criterion 1 — Experience of the Service Provider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FBE9E9"/>
          </w:tcPr>
          <w:p>
            <w:pPr>
              <w:spacing w:after="40"/>
            </w:pPr>
            <w:r>
              <w:rPr>
                <w:b/>
                <w:color w:val="141416"/>
                <w:sz w:val="20"/>
              </w:rPr>
              <w:t>Weight: 40 %    •    Page limit: Maximum 6 pages (8½ × 11)</w:t>
            </w:r>
          </w:p>
          <w:p>
            <w:pPr>
              <w:spacing w:after="40"/>
            </w:pPr>
            <w:r>
              <w:rPr>
                <w:b/>
                <w:color w:val="B12A2A"/>
                <w:sz w:val="18"/>
              </w:rPr>
              <w:t>ELIMINATORY CRITERION — a score below 70/100 here causes the entire bid to be rejected; the committee evaluates no further criteria.</w:t>
            </w:r>
          </w:p>
        </w:tc>
      </w:tr>
    </w:tbl>
    <w:p>
      <w:pPr>
        <w:spacing w:after="4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EEF0FF"/>
          </w:tcPr>
          <w:p>
            <w:pPr>
              <w:spacing w:after="60"/>
            </w:pPr>
            <w:r>
              <w:rPr>
                <w:b/>
                <w:color w:val="3733C9"/>
                <w:sz w:val="18"/>
              </w:rPr>
              <w:t>WHAT THIS SECTION MUST DEMONSTRATE  (guidance — delete before submission)</w:t>
            </w:r>
          </w:p>
          <w:p>
            <w:pPr>
              <w:spacing w:after="40"/>
            </w:pPr>
            <w:r>
              <w:rPr>
                <w:i/>
                <w:color w:val="555555"/>
                <w:sz w:val="20"/>
              </w:rPr>
              <w:t>Your organization's experience delivering comparable projects — judged on scale, complexity, organizational context and governmental framework. Provide justification detailing years of experience, with the specific period of each project.</w:t>
            </w:r>
          </w:p>
          <w:p>
            <w:pPr>
              <w:spacing w:after="40"/>
            </w:pPr>
            <w:r>
              <w:rPr>
                <w:i/>
                <w:color w:val="555555"/>
                <w:sz w:val="20"/>
              </w:rPr>
              <w:t>Minimum expectation 1 — Three (3) completed mandates implementing an artificial-intelligence solution that supports the work of professionals. Each must be finished as of bid submission and delivered within the last five (5) years. Show concrete implementation experience, the ability to deliver operational solutions, and an understanding of integrating AI into an organizational setting.</w:t>
            </w:r>
          </w:p>
          <w:p>
            <w:pPr>
              <w:spacing w:after="40"/>
            </w:pPr>
            <w:r>
              <w:rPr>
                <w:i/>
                <w:color w:val="555555"/>
                <w:sz w:val="20"/>
              </w:rPr>
              <w:t>Minimum expectation 2 — At least one (1) of those three was delivered in a context comparable to the Ministry, evidenced by: an online intake-and-processing flow for requests filed by citizens or businesses (akin to a formal authorization / public-sector review process, ideally environmental or regulatory) with tracking and traceability of the verifications and publication of request/decision information in a public registry or accessible system; demonstrated organizational complexity (coordinating several resources or administrative units, dedicated teams handling daily request volume in a high-visibility public context); a structured request/authorization process within an integrated technology environment (e.g. Microsoft Power Apps or equivalent) including document retention (e.g. SharePoint or another document-management solution); and a significant documentary volume (the Ministry's own benchmark is roughly 4,000 requests per year, each averaging 19 files / about 22 pages to analyze).</w:t>
            </w:r>
          </w:p>
          <w:p>
            <w:pPr>
              <w:spacing w:after="40"/>
            </w:pPr>
            <w:r>
              <w:rPr>
                <w:i/>
                <w:color w:val="555555"/>
                <w:sz w:val="20"/>
              </w:rPr>
              <w:t>To beat 70 points: surpass the minimum — more relevant mandates, larger scale, closer-fit context, measurable results.</w:t>
            </w:r>
          </w:p>
          <w:p>
            <w:pPr>
              <w:spacing w:after="0"/>
            </w:pPr>
          </w:p>
        </w:tc>
      </w:tr>
    </w:tbl>
    <w:p>
      <w:pPr>
        <w:spacing w:after="40"/>
      </w:pPr>
    </w:p>
    <w:p>
      <w:pPr>
        <w:spacing w:after="40"/>
      </w:pPr>
      <w:r>
        <w:rPr>
          <w:b/>
          <w:sz w:val="22"/>
        </w:rPr>
        <w:t>PRINT-AND-FILL TEMPLATE</w:t>
      </w:r>
    </w:p>
    <w:p>
      <w:pPr>
        <w:spacing w:after="120"/>
      </w:pPr>
      <w:r>
        <w:rPr>
          <w:b w:val="0"/>
          <w:sz w:val="21"/>
        </w:rPr>
        <w:t>Provide three completed AI-implementation mandates from the last five years. Mark the one (or more) delivered in a context comparable to the Ministry. Keep the whole criterion within 6 pages.</w:t>
      </w:r>
    </w:p>
    <w:p>
      <w:pPr>
        <w:pStyle w:val="Heading3"/>
      </w:pPr>
      <w:r>
        <w:t>Mandate 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56"/>
            <w:shd w:val="clear" w:color="auto" w:fill="E7E9FF"/>
          </w:tcPr>
          <w:p>
            <w:r>
              <w:rPr>
                <w:b/>
                <w:color w:val="141416"/>
                <w:sz w:val="19"/>
              </w:rPr>
              <w:t>Field</w:t>
            </w:r>
          </w:p>
        </w:tc>
        <w:tc>
          <w:tcPr>
            <w:tcW w:type="dxa" w:w="5760"/>
            <w:shd w:val="clear" w:color="auto" w:fill="E7E9FF"/>
          </w:tcPr>
          <w:p>
            <w:r>
              <w:rPr>
                <w:b/>
                <w:color w:val="141416"/>
                <w:sz w:val="19"/>
              </w:rPr>
              <w:t>Your entry</w:t>
            </w:r>
          </w:p>
        </w:tc>
      </w:tr>
      <w:tr>
        <w:tc>
          <w:tcPr>
            <w:tcW w:type="dxa" w:w="3456"/>
          </w:tcPr>
          <w:p>
            <w:r>
              <w:rPr>
                <w:sz w:val="19"/>
              </w:rPr>
              <w:t>Client / organization</w:t>
            </w:r>
          </w:p>
        </w:tc>
        <w:tc>
          <w:tcPr>
            <w:tcW w:type="dxa" w:w="5760"/>
          </w:tcPr>
          <w:p>
            <w:r>
              <w:rPr>
                <w:i/>
                <w:color w:val="B12A2A"/>
                <w:sz w:val="19"/>
              </w:rPr>
              <w:t>[ name; sector; public or private ]</w:t>
            </w:r>
          </w:p>
        </w:tc>
      </w:tr>
      <w:tr>
        <w:tc>
          <w:tcPr>
            <w:tcW w:type="dxa" w:w="3456"/>
          </w:tcPr>
          <w:p>
            <w:r>
              <w:rPr>
                <w:sz w:val="19"/>
              </w:rPr>
              <w:t>Period (start – end)</w:t>
            </w:r>
          </w:p>
        </w:tc>
        <w:tc>
          <w:tcPr>
            <w:tcW w:type="dxa" w:w="5760"/>
          </w:tcPr>
          <w:p>
            <w:r>
              <w:rPr>
                <w:i/>
                <w:color w:val="B12A2A"/>
                <w:sz w:val="19"/>
              </w:rPr>
              <w:t>[ MM/YYYY – MM/YYYY — must be completed &amp; within last 5 yrs ]</w:t>
            </w:r>
          </w:p>
        </w:tc>
      </w:tr>
      <w:tr>
        <w:tc>
          <w:tcPr>
            <w:tcW w:type="dxa" w:w="3456"/>
          </w:tcPr>
          <w:p>
            <w:r>
              <w:rPr>
                <w:sz w:val="19"/>
              </w:rPr>
              <w:t>Scale (person-days, functional scope)</w:t>
            </w:r>
          </w:p>
        </w:tc>
        <w:tc>
          <w:tcPr>
            <w:tcW w:type="dxa" w:w="5760"/>
          </w:tcPr>
          <w:p>
            <w:r>
              <w:rPr>
                <w:i/>
                <w:color w:val="B12A2A"/>
                <w:sz w:val="19"/>
              </w:rPr>
              <w:t>[ effort for the whole project + functional reach ]</w:t>
            </w:r>
          </w:p>
        </w:tc>
      </w:tr>
      <w:tr>
        <w:tc>
          <w:tcPr>
            <w:tcW w:type="dxa" w:w="3456"/>
          </w:tcPr>
          <w:p>
            <w:r>
              <w:rPr>
                <w:sz w:val="19"/>
              </w:rPr>
              <w:t>AI solution implemented</w:t>
            </w:r>
          </w:p>
        </w:tc>
        <w:tc>
          <w:tcPr>
            <w:tcW w:type="dxa" w:w="5760"/>
          </w:tcPr>
          <w:p>
            <w:r>
              <w:rPr>
                <w:i/>
                <w:color w:val="B12A2A"/>
                <w:sz w:val="19"/>
              </w:rPr>
              <w:t>[ what was built / integrated and the professional work it supports ]</w:t>
            </w:r>
          </w:p>
        </w:tc>
      </w:tr>
      <w:tr>
        <w:tc>
          <w:tcPr>
            <w:tcW w:type="dxa" w:w="3456"/>
          </w:tcPr>
          <w:p>
            <w:r>
              <w:rPr>
                <w:sz w:val="19"/>
              </w:rPr>
              <w:t>Comparable-to-Ministry context?</w:t>
            </w:r>
          </w:p>
        </w:tc>
        <w:tc>
          <w:tcPr>
            <w:tcW w:type="dxa" w:w="5760"/>
          </w:tcPr>
          <w:p>
            <w:r>
              <w:rPr>
                <w:i/>
                <w:color w:val="B12A2A"/>
                <w:sz w:val="19"/>
              </w:rPr>
              <w:t>[ YES → complete the comparability evidence below / NO ]</w:t>
            </w:r>
          </w:p>
        </w:tc>
      </w:tr>
      <w:tr>
        <w:tc>
          <w:tcPr>
            <w:tcW w:type="dxa" w:w="3456"/>
          </w:tcPr>
          <w:p>
            <w:r>
              <w:rPr>
                <w:sz w:val="19"/>
              </w:rPr>
              <w:t>Operational results delivered</w:t>
            </w:r>
          </w:p>
        </w:tc>
        <w:tc>
          <w:tcPr>
            <w:tcW w:type="dxa" w:w="5760"/>
          </w:tcPr>
          <w:p>
            <w:r>
              <w:rPr>
                <w:i/>
                <w:color w:val="B12A2A"/>
                <w:sz w:val="19"/>
              </w:rPr>
              <w:t>[ measurable outcomes: volume handled, time saved, consistency ]</w:t>
            </w:r>
          </w:p>
        </w:tc>
      </w:tr>
    </w:tbl>
    <w:p>
      <w:pPr>
        <w:spacing w:after="40"/>
      </w:pPr>
    </w:p>
    <w:p>
      <w:pPr>
        <w:spacing w:after="120"/>
      </w:pPr>
      <w:r>
        <w:rPr>
          <w:b w:val="0"/>
          <w:sz w:val="20"/>
        </w:rPr>
        <w:t>If this is your comparable-context mandate, also evidence: the online citizen/business intake flow + traceability of verifications + public registry; organizational complexity (units, dedicated teams, public visibility); integrated tech environment (Power Apps / SharePoint or equivalent); and documentary volume.</w:t>
      </w:r>
    </w:p>
    <w:p>
      <w:r>
        <w:rPr>
          <w:b/>
          <w:color w:val="B12A2A"/>
          <w:highlight w:val="yellow"/>
        </w:rPr>
        <w:t xml:space="preserve">  ▸ TO COMPLETE — describe the comparability evidence here in your own words (do not copy the tender).  </w:t>
      </w:r>
    </w:p>
    <w:p>
      <w:pPr>
        <w:pStyle w:val="Heading3"/>
      </w:pPr>
      <w:r>
        <w:t>Mandate 2</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56"/>
            <w:shd w:val="clear" w:color="auto" w:fill="E7E9FF"/>
          </w:tcPr>
          <w:p>
            <w:r>
              <w:rPr>
                <w:b/>
                <w:color w:val="141416"/>
                <w:sz w:val="19"/>
              </w:rPr>
              <w:t>Field</w:t>
            </w:r>
          </w:p>
        </w:tc>
        <w:tc>
          <w:tcPr>
            <w:tcW w:type="dxa" w:w="5760"/>
            <w:shd w:val="clear" w:color="auto" w:fill="E7E9FF"/>
          </w:tcPr>
          <w:p>
            <w:r>
              <w:rPr>
                <w:b/>
                <w:color w:val="141416"/>
                <w:sz w:val="19"/>
              </w:rPr>
              <w:t>Your entry</w:t>
            </w:r>
          </w:p>
        </w:tc>
      </w:tr>
      <w:tr>
        <w:tc>
          <w:tcPr>
            <w:tcW w:type="dxa" w:w="3456"/>
          </w:tcPr>
          <w:p>
            <w:r>
              <w:rPr>
                <w:sz w:val="19"/>
              </w:rPr>
              <w:t>Client / organization</w:t>
            </w:r>
          </w:p>
        </w:tc>
        <w:tc>
          <w:tcPr>
            <w:tcW w:type="dxa" w:w="5760"/>
          </w:tcPr>
          <w:p>
            <w:r>
              <w:rPr>
                <w:i/>
                <w:color w:val="B12A2A"/>
                <w:sz w:val="19"/>
              </w:rPr>
              <w:t>[ name; sector; public or private ]</w:t>
            </w:r>
          </w:p>
        </w:tc>
      </w:tr>
      <w:tr>
        <w:tc>
          <w:tcPr>
            <w:tcW w:type="dxa" w:w="3456"/>
          </w:tcPr>
          <w:p>
            <w:r>
              <w:rPr>
                <w:sz w:val="19"/>
              </w:rPr>
              <w:t>Period (start – end)</w:t>
            </w:r>
          </w:p>
        </w:tc>
        <w:tc>
          <w:tcPr>
            <w:tcW w:type="dxa" w:w="5760"/>
          </w:tcPr>
          <w:p>
            <w:r>
              <w:rPr>
                <w:i/>
                <w:color w:val="B12A2A"/>
                <w:sz w:val="19"/>
              </w:rPr>
              <w:t>[ MM/YYYY – MM/YYYY — must be completed &amp; within last 5 yrs ]</w:t>
            </w:r>
          </w:p>
        </w:tc>
      </w:tr>
      <w:tr>
        <w:tc>
          <w:tcPr>
            <w:tcW w:type="dxa" w:w="3456"/>
          </w:tcPr>
          <w:p>
            <w:r>
              <w:rPr>
                <w:sz w:val="19"/>
              </w:rPr>
              <w:t>Scale (person-days, functional scope)</w:t>
            </w:r>
          </w:p>
        </w:tc>
        <w:tc>
          <w:tcPr>
            <w:tcW w:type="dxa" w:w="5760"/>
          </w:tcPr>
          <w:p>
            <w:r>
              <w:rPr>
                <w:i/>
                <w:color w:val="B12A2A"/>
                <w:sz w:val="19"/>
              </w:rPr>
              <w:t>[ effort for the whole project + functional reach ]</w:t>
            </w:r>
          </w:p>
        </w:tc>
      </w:tr>
      <w:tr>
        <w:tc>
          <w:tcPr>
            <w:tcW w:type="dxa" w:w="3456"/>
          </w:tcPr>
          <w:p>
            <w:r>
              <w:rPr>
                <w:sz w:val="19"/>
              </w:rPr>
              <w:t>AI solution implemented</w:t>
            </w:r>
          </w:p>
        </w:tc>
        <w:tc>
          <w:tcPr>
            <w:tcW w:type="dxa" w:w="5760"/>
          </w:tcPr>
          <w:p>
            <w:r>
              <w:rPr>
                <w:i/>
                <w:color w:val="B12A2A"/>
                <w:sz w:val="19"/>
              </w:rPr>
              <w:t>[ what was built / integrated and the professional work it supports ]</w:t>
            </w:r>
          </w:p>
        </w:tc>
      </w:tr>
      <w:tr>
        <w:tc>
          <w:tcPr>
            <w:tcW w:type="dxa" w:w="3456"/>
          </w:tcPr>
          <w:p>
            <w:r>
              <w:rPr>
                <w:sz w:val="19"/>
              </w:rPr>
              <w:t>Comparable-to-Ministry context?</w:t>
            </w:r>
          </w:p>
        </w:tc>
        <w:tc>
          <w:tcPr>
            <w:tcW w:type="dxa" w:w="5760"/>
          </w:tcPr>
          <w:p>
            <w:r>
              <w:rPr>
                <w:i/>
                <w:color w:val="B12A2A"/>
                <w:sz w:val="19"/>
              </w:rPr>
              <w:t>[ YES → complete the comparability evidence below / NO ]</w:t>
            </w:r>
          </w:p>
        </w:tc>
      </w:tr>
      <w:tr>
        <w:tc>
          <w:tcPr>
            <w:tcW w:type="dxa" w:w="3456"/>
          </w:tcPr>
          <w:p>
            <w:r>
              <w:rPr>
                <w:sz w:val="19"/>
              </w:rPr>
              <w:t>Operational results delivered</w:t>
            </w:r>
          </w:p>
        </w:tc>
        <w:tc>
          <w:tcPr>
            <w:tcW w:type="dxa" w:w="5760"/>
          </w:tcPr>
          <w:p>
            <w:r>
              <w:rPr>
                <w:i/>
                <w:color w:val="B12A2A"/>
                <w:sz w:val="19"/>
              </w:rPr>
              <w:t>[ measurable outcomes: volume handled, time saved, consistency ]</w:t>
            </w:r>
          </w:p>
        </w:tc>
      </w:tr>
    </w:tbl>
    <w:p>
      <w:pPr>
        <w:spacing w:after="40"/>
      </w:pPr>
    </w:p>
    <w:p>
      <w:pPr>
        <w:pStyle w:val="Heading3"/>
      </w:pPr>
      <w:r>
        <w:t>Mandate 3</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56"/>
            <w:shd w:val="clear" w:color="auto" w:fill="E7E9FF"/>
          </w:tcPr>
          <w:p>
            <w:r>
              <w:rPr>
                <w:b/>
                <w:color w:val="141416"/>
                <w:sz w:val="19"/>
              </w:rPr>
              <w:t>Field</w:t>
            </w:r>
          </w:p>
        </w:tc>
        <w:tc>
          <w:tcPr>
            <w:tcW w:type="dxa" w:w="5760"/>
            <w:shd w:val="clear" w:color="auto" w:fill="E7E9FF"/>
          </w:tcPr>
          <w:p>
            <w:r>
              <w:rPr>
                <w:b/>
                <w:color w:val="141416"/>
                <w:sz w:val="19"/>
              </w:rPr>
              <w:t>Your entry</w:t>
            </w:r>
          </w:p>
        </w:tc>
      </w:tr>
      <w:tr>
        <w:tc>
          <w:tcPr>
            <w:tcW w:type="dxa" w:w="3456"/>
          </w:tcPr>
          <w:p>
            <w:r>
              <w:rPr>
                <w:sz w:val="19"/>
              </w:rPr>
              <w:t>Client / organization</w:t>
            </w:r>
          </w:p>
        </w:tc>
        <w:tc>
          <w:tcPr>
            <w:tcW w:type="dxa" w:w="5760"/>
          </w:tcPr>
          <w:p>
            <w:r>
              <w:rPr>
                <w:i/>
                <w:color w:val="B12A2A"/>
                <w:sz w:val="19"/>
              </w:rPr>
              <w:t>[ name; sector; public or private ]</w:t>
            </w:r>
          </w:p>
        </w:tc>
      </w:tr>
      <w:tr>
        <w:tc>
          <w:tcPr>
            <w:tcW w:type="dxa" w:w="3456"/>
          </w:tcPr>
          <w:p>
            <w:r>
              <w:rPr>
                <w:sz w:val="19"/>
              </w:rPr>
              <w:t>Period (start – end)</w:t>
            </w:r>
          </w:p>
        </w:tc>
        <w:tc>
          <w:tcPr>
            <w:tcW w:type="dxa" w:w="5760"/>
          </w:tcPr>
          <w:p>
            <w:r>
              <w:rPr>
                <w:i/>
                <w:color w:val="B12A2A"/>
                <w:sz w:val="19"/>
              </w:rPr>
              <w:t>[ MM/YYYY – MM/YYYY — must be completed &amp; within last 5 yrs ]</w:t>
            </w:r>
          </w:p>
        </w:tc>
      </w:tr>
      <w:tr>
        <w:tc>
          <w:tcPr>
            <w:tcW w:type="dxa" w:w="3456"/>
          </w:tcPr>
          <w:p>
            <w:r>
              <w:rPr>
                <w:sz w:val="19"/>
              </w:rPr>
              <w:t>Scale (person-days, functional scope)</w:t>
            </w:r>
          </w:p>
        </w:tc>
        <w:tc>
          <w:tcPr>
            <w:tcW w:type="dxa" w:w="5760"/>
          </w:tcPr>
          <w:p>
            <w:r>
              <w:rPr>
                <w:i/>
                <w:color w:val="B12A2A"/>
                <w:sz w:val="19"/>
              </w:rPr>
              <w:t>[ effort for the whole project + functional reach ]</w:t>
            </w:r>
          </w:p>
        </w:tc>
      </w:tr>
      <w:tr>
        <w:tc>
          <w:tcPr>
            <w:tcW w:type="dxa" w:w="3456"/>
          </w:tcPr>
          <w:p>
            <w:r>
              <w:rPr>
                <w:sz w:val="19"/>
              </w:rPr>
              <w:t>AI solution implemented</w:t>
            </w:r>
          </w:p>
        </w:tc>
        <w:tc>
          <w:tcPr>
            <w:tcW w:type="dxa" w:w="5760"/>
          </w:tcPr>
          <w:p>
            <w:r>
              <w:rPr>
                <w:i/>
                <w:color w:val="B12A2A"/>
                <w:sz w:val="19"/>
              </w:rPr>
              <w:t>[ what was built / integrated and the professional work it supports ]</w:t>
            </w:r>
          </w:p>
        </w:tc>
      </w:tr>
      <w:tr>
        <w:tc>
          <w:tcPr>
            <w:tcW w:type="dxa" w:w="3456"/>
          </w:tcPr>
          <w:p>
            <w:r>
              <w:rPr>
                <w:sz w:val="19"/>
              </w:rPr>
              <w:t>Comparable-to-Ministry context?</w:t>
            </w:r>
          </w:p>
        </w:tc>
        <w:tc>
          <w:tcPr>
            <w:tcW w:type="dxa" w:w="5760"/>
          </w:tcPr>
          <w:p>
            <w:r>
              <w:rPr>
                <w:i/>
                <w:color w:val="B12A2A"/>
                <w:sz w:val="19"/>
              </w:rPr>
              <w:t>[ YES → complete the comparability evidence below / NO ]</w:t>
            </w:r>
          </w:p>
        </w:tc>
      </w:tr>
      <w:tr>
        <w:tc>
          <w:tcPr>
            <w:tcW w:type="dxa" w:w="3456"/>
          </w:tcPr>
          <w:p>
            <w:r>
              <w:rPr>
                <w:sz w:val="19"/>
              </w:rPr>
              <w:t>Operational results delivered</w:t>
            </w:r>
          </w:p>
        </w:tc>
        <w:tc>
          <w:tcPr>
            <w:tcW w:type="dxa" w:w="5760"/>
          </w:tcPr>
          <w:p>
            <w:r>
              <w:rPr>
                <w:i/>
                <w:color w:val="B12A2A"/>
                <w:sz w:val="19"/>
              </w:rPr>
              <w:t>[ measurable outcomes: volume handled, time saved, consistency ]</w:t>
            </w:r>
          </w:p>
        </w:tc>
      </w:tr>
    </w:tbl>
    <w:p>
      <w:pPr>
        <w:spacing w:after="40"/>
      </w:pPr>
    </w:p>
    <w:p>
      <w:pPr>
        <w:pStyle w:val="Heading1"/>
      </w:pPr>
      <w:r>
        <w:t>3.2.2  Criterion 2 — Capacity to Deliver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E9FBEF"/>
          </w:tcPr>
          <w:p>
            <w:pPr>
              <w:spacing w:after="40"/>
            </w:pPr>
            <w:r>
              <w:rPr>
                <w:b/>
                <w:color w:val="141416"/>
                <w:sz w:val="20"/>
              </w:rPr>
              <w:t>Weight: 30 %    •    Page limit: Maximum 6 pages (8½ × 11)</w:t>
            </w:r>
          </w:p>
        </w:tc>
      </w:tr>
    </w:tbl>
    <w:p>
      <w:pPr>
        <w:spacing w:after="4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EEF0FF"/>
          </w:tcPr>
          <w:p>
            <w:pPr>
              <w:spacing w:after="60"/>
            </w:pPr>
            <w:r>
              <w:rPr>
                <w:b/>
                <w:color w:val="3733C9"/>
                <w:sz w:val="18"/>
              </w:rPr>
              <w:t>WHAT THIS SECTION MUST DEMONSTRATE  (guidance — delete before submission)</w:t>
            </w:r>
          </w:p>
          <w:p>
            <w:pPr>
              <w:spacing w:after="40"/>
            </w:pPr>
            <w:r>
              <w:rPr>
                <w:i/>
                <w:color w:val="555555"/>
                <w:sz w:val="20"/>
              </w:rPr>
              <w:t>That your organization holds, in-house, the expertise required to deliver an AI-integration project as described in the tender. One resource may hold more than one profile. (No CVs are attached.)</w:t>
            </w:r>
          </w:p>
          <w:p>
            <w:pPr>
              <w:spacing w:after="40"/>
            </w:pPr>
            <w:r>
              <w:rPr>
                <w:i/>
                <w:color w:val="555555"/>
                <w:sz w:val="20"/>
              </w:rPr>
              <w:t>Minimum expectation 1 — Three (3) distinct role profiles relevant to the mandate (e.g. data science, data engineering, architecture, integration, project management, quality assurance).</w:t>
            </w:r>
          </w:p>
          <w:p>
            <w:pPr>
              <w:spacing w:after="40"/>
            </w:pPr>
            <w:r>
              <w:rPr>
                <w:i/>
                <w:color w:val="555555"/>
                <w:sz w:val="20"/>
              </w:rPr>
              <w:t>Minimum expectation 2 — At least one resource specifically associated with AI development has a minimum of three (3) years of experience on AI projects.</w:t>
            </w:r>
          </w:p>
          <w:p>
            <w:pPr>
              <w:spacing w:after="40"/>
            </w:pPr>
            <w:r>
              <w:rPr>
                <w:i/>
                <w:color w:val="555555"/>
                <w:sz w:val="20"/>
              </w:rPr>
              <w:t>Minimum expectation 3 — Two (2) mandates completed in the last five years that, between them, illustrate a coherent set of typical delivery-cycle activities: analysis &amp; design of an IT solution combined with integration or deployment; documentation and quality assurance of formal deliverables; and formal knowledge-transfer activities (training, workshops, accompaniment). Detail each mandate enough for the committee to judge relevance and scope.</w:t>
            </w:r>
          </w:p>
          <w:p>
            <w:pPr>
              <w:spacing w:after="40"/>
            </w:pPr>
            <w:r>
              <w:rPr>
                <w:i/>
                <w:color w:val="555555"/>
                <w:sz w:val="20"/>
              </w:rPr>
              <w:t>To beat 70 points: surpass the minimum — deeper bench, more AI experience, richer delivery-cycle and knowledge-transfer evidence.</w:t>
            </w:r>
          </w:p>
          <w:p>
            <w:pPr>
              <w:spacing w:after="0"/>
            </w:pPr>
          </w:p>
        </w:tc>
      </w:tr>
    </w:tbl>
    <w:p>
      <w:pPr>
        <w:spacing w:after="40"/>
      </w:pPr>
    </w:p>
    <w:p>
      <w:pPr>
        <w:spacing w:after="40"/>
      </w:pPr>
      <w:r>
        <w:rPr>
          <w:b/>
          <w:sz w:val="22"/>
        </w:rPr>
        <w:t>PRINT-AND-FILL TEMPLATE</w:t>
      </w:r>
    </w:p>
    <w:p>
      <w:pPr>
        <w:pStyle w:val="Heading3"/>
      </w:pPr>
      <w:r>
        <w:t>Expectation 1 — Three distinct delivery profiles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E7E9FF"/>
          </w:tcPr>
          <w:p>
            <w:r>
              <w:rPr>
                <w:b/>
                <w:color w:val="141416"/>
                <w:sz w:val="19"/>
              </w:rPr>
              <w:t>Profile</w:t>
            </w:r>
          </w:p>
        </w:tc>
        <w:tc>
          <w:tcPr>
            <w:tcW w:type="dxa" w:w="3312"/>
            <w:shd w:val="clear" w:color="auto" w:fill="E7E9FF"/>
          </w:tcPr>
          <w:p>
            <w:r>
              <w:rPr>
                <w:b/>
                <w:color w:val="141416"/>
                <w:sz w:val="19"/>
              </w:rPr>
              <w:t>Key competencies</w:t>
            </w:r>
          </w:p>
        </w:tc>
        <w:tc>
          <w:tcPr>
            <w:tcW w:type="dxa" w:w="3456"/>
            <w:shd w:val="clear" w:color="auto" w:fill="E7E9FF"/>
          </w:tcPr>
          <w:p>
            <w:r>
              <w:rPr>
                <w:b/>
                <w:color w:val="141416"/>
                <w:sz w:val="19"/>
              </w:rPr>
              <w:t>Relevance to this mandate</w:t>
            </w:r>
          </w:p>
        </w:tc>
      </w:tr>
      <w:tr>
        <w:tc>
          <w:tcPr>
            <w:tcW w:type="dxa" w:w="2736"/>
          </w:tcPr>
          <w:p>
            <w:r>
              <w:rPr>
                <w:i/>
                <w:color w:val="B12A2A"/>
                <w:sz w:val="19"/>
              </w:rPr>
              <w:t>[ e.g. AI / Data Science ]</w:t>
            </w:r>
          </w:p>
        </w:tc>
        <w:tc>
          <w:tcPr>
            <w:tcW w:type="dxa" w:w="3312"/>
          </w:tcPr>
          <w:p>
            <w:r>
              <w:rPr>
                <w:i/>
                <w:color w:val="B12A2A"/>
                <w:sz w:val="19"/>
              </w:rPr>
              <w:t>[ skills ]</w:t>
            </w:r>
          </w:p>
        </w:tc>
        <w:tc>
          <w:tcPr>
            <w:tcW w:type="dxa" w:w="3456"/>
          </w:tcPr>
          <w:p>
            <w:r>
              <w:rPr>
                <w:i/>
                <w:color w:val="B12A2A"/>
                <w:sz w:val="19"/>
              </w:rPr>
              <w:t>[ how it serves the recevabilité solution ]</w:t>
            </w:r>
          </w:p>
        </w:tc>
      </w:tr>
      <w:tr>
        <w:tc>
          <w:tcPr>
            <w:tcW w:type="dxa" w:w="2736"/>
          </w:tcPr>
          <w:p>
            <w:r>
              <w:rPr>
                <w:i/>
                <w:color w:val="B12A2A"/>
                <w:sz w:val="19"/>
              </w:rPr>
              <w:t>[ e.g. Integration / Architecture ]</w:t>
            </w:r>
          </w:p>
        </w:tc>
        <w:tc>
          <w:tcPr>
            <w:tcW w:type="dxa" w:w="3312"/>
          </w:tcPr>
          <w:p>
            <w:r>
              <w:rPr>
                <w:i/>
                <w:color w:val="B12A2A"/>
                <w:sz w:val="19"/>
              </w:rPr>
              <w:t>[ skills ]</w:t>
            </w:r>
          </w:p>
        </w:tc>
        <w:tc>
          <w:tcPr>
            <w:tcW w:type="dxa" w:w="3456"/>
          </w:tcPr>
          <w:p>
            <w:r>
              <w:rPr>
                <w:i/>
                <w:color w:val="B12A2A"/>
                <w:sz w:val="19"/>
              </w:rPr>
              <w:t>[ M365 / SharePoint / API integration ]</w:t>
            </w:r>
          </w:p>
        </w:tc>
      </w:tr>
      <w:tr>
        <w:tc>
          <w:tcPr>
            <w:tcW w:type="dxa" w:w="2736"/>
          </w:tcPr>
          <w:p>
            <w:r>
              <w:rPr>
                <w:i/>
                <w:color w:val="B12A2A"/>
                <w:sz w:val="19"/>
              </w:rPr>
              <w:t>[ e.g. Project Mgmt / QA ]</w:t>
            </w:r>
          </w:p>
        </w:tc>
        <w:tc>
          <w:tcPr>
            <w:tcW w:type="dxa" w:w="3312"/>
          </w:tcPr>
          <w:p>
            <w:r>
              <w:rPr>
                <w:i/>
                <w:color w:val="B12A2A"/>
                <w:sz w:val="19"/>
              </w:rPr>
              <w:t>[ skills ]</w:t>
            </w:r>
          </w:p>
        </w:tc>
        <w:tc>
          <w:tcPr>
            <w:tcW w:type="dxa" w:w="3456"/>
          </w:tcPr>
          <w:p>
            <w:r>
              <w:rPr>
                <w:i/>
                <w:color w:val="B12A2A"/>
                <w:sz w:val="19"/>
              </w:rPr>
              <w:t>[ governance, quality, knowledge transfer ]</w:t>
            </w:r>
          </w:p>
        </w:tc>
      </w:tr>
    </w:tbl>
    <w:p>
      <w:pPr>
        <w:spacing w:after="40"/>
      </w:pPr>
    </w:p>
    <w:p>
      <w:pPr>
        <w:pStyle w:val="Heading3"/>
      </w:pPr>
      <w:r>
        <w:t>Expectation 2 — AI resource with 3+ years</w:t>
      </w:r>
    </w:p>
    <w:p>
      <w:r>
        <w:rPr>
          <w:b/>
          <w:color w:val="B12A2A"/>
          <w:highlight w:val="yellow"/>
        </w:rPr>
        <w:t xml:space="preserve">  ▸ TO COMPLETE — name the resource (no CV) and summarize 3+ years of AI-project experience, with periods.  </w:t>
      </w:r>
    </w:p>
    <w:p>
      <w:pPr>
        <w:pStyle w:val="Heading3"/>
      </w:pPr>
      <w:r>
        <w:t>Expectation 3 — Two completed delivery-cycle mandates (last 5 years)</w:t>
      </w:r>
    </w:p>
    <w:p>
      <w:pPr>
        <w:spacing w:after="40"/>
      </w:pPr>
      <w:r>
        <w:rPr>
          <w:b/>
          <w:sz w:val="22"/>
        </w:rPr>
        <w:t>Mandate 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888"/>
            <w:shd w:val="clear" w:color="auto" w:fill="E7E9FF"/>
          </w:tcPr>
          <w:p>
            <w:r>
              <w:rPr>
                <w:b/>
                <w:color w:val="141416"/>
                <w:sz w:val="19"/>
              </w:rPr>
              <w:t>Delivery-cycle activity</w:t>
            </w:r>
          </w:p>
        </w:tc>
        <w:tc>
          <w:tcPr>
            <w:tcW w:type="dxa" w:w="5328"/>
            <w:shd w:val="clear" w:color="auto" w:fill="E7E9FF"/>
          </w:tcPr>
          <w:p>
            <w:r>
              <w:rPr>
                <w:b/>
                <w:color w:val="141416"/>
                <w:sz w:val="19"/>
              </w:rPr>
              <w:t>Evidence in this mandate</w:t>
            </w:r>
          </w:p>
        </w:tc>
      </w:tr>
      <w:tr>
        <w:tc>
          <w:tcPr>
            <w:tcW w:type="dxa" w:w="3888"/>
          </w:tcPr>
          <w:p>
            <w:r>
              <w:rPr>
                <w:sz w:val="19"/>
              </w:rPr>
              <w:t>Analysis &amp; design of an IT solution</w:t>
            </w:r>
          </w:p>
        </w:tc>
        <w:tc>
          <w:tcPr>
            <w:tcW w:type="dxa" w:w="5328"/>
          </w:tcPr>
          <w:p>
            <w:r>
              <w:rPr>
                <w:i/>
                <w:color w:val="B12A2A"/>
                <w:sz w:val="19"/>
              </w:rPr>
              <w:t>[ what was analyzed / designed ]</w:t>
            </w:r>
          </w:p>
        </w:tc>
      </w:tr>
      <w:tr>
        <w:tc>
          <w:tcPr>
            <w:tcW w:type="dxa" w:w="3888"/>
          </w:tcPr>
          <w:p>
            <w:r>
              <w:rPr>
                <w:sz w:val="19"/>
              </w:rPr>
              <w:t>Integration or deployment</w:t>
            </w:r>
          </w:p>
        </w:tc>
        <w:tc>
          <w:tcPr>
            <w:tcW w:type="dxa" w:w="5328"/>
          </w:tcPr>
          <w:p>
            <w:r>
              <w:rPr>
                <w:i/>
                <w:color w:val="B12A2A"/>
                <w:sz w:val="19"/>
              </w:rPr>
              <w:t>[ how it was integrated / deployed ]</w:t>
            </w:r>
          </w:p>
        </w:tc>
      </w:tr>
      <w:tr>
        <w:tc>
          <w:tcPr>
            <w:tcW w:type="dxa" w:w="3888"/>
          </w:tcPr>
          <w:p>
            <w:r>
              <w:rPr>
                <w:sz w:val="19"/>
              </w:rPr>
              <w:t>Documentation &amp; QA of formal deliverables</w:t>
            </w:r>
          </w:p>
        </w:tc>
        <w:tc>
          <w:tcPr>
            <w:tcW w:type="dxa" w:w="5328"/>
          </w:tcPr>
          <w:p>
            <w:r>
              <w:rPr>
                <w:i/>
                <w:color w:val="B12A2A"/>
                <w:sz w:val="19"/>
              </w:rPr>
              <w:t>[ deliverables, QA approach ]</w:t>
            </w:r>
          </w:p>
        </w:tc>
      </w:tr>
      <w:tr>
        <w:tc>
          <w:tcPr>
            <w:tcW w:type="dxa" w:w="3888"/>
          </w:tcPr>
          <w:p>
            <w:r>
              <w:rPr>
                <w:sz w:val="19"/>
              </w:rPr>
              <w:t>Formal knowledge transfer</w:t>
            </w:r>
          </w:p>
        </w:tc>
        <w:tc>
          <w:tcPr>
            <w:tcW w:type="dxa" w:w="5328"/>
          </w:tcPr>
          <w:p>
            <w:r>
              <w:rPr>
                <w:i/>
                <w:color w:val="B12A2A"/>
                <w:sz w:val="19"/>
              </w:rPr>
              <w:t>[ training / workshops / accompaniment ]</w:t>
            </w:r>
          </w:p>
        </w:tc>
      </w:tr>
      <w:tr>
        <w:tc>
          <w:tcPr>
            <w:tcW w:type="dxa" w:w="3888"/>
          </w:tcPr>
          <w:p>
            <w:r>
              <w:rPr>
                <w:sz w:val="19"/>
              </w:rPr>
              <w:t>Client &amp; period</w:t>
            </w:r>
          </w:p>
        </w:tc>
        <w:tc>
          <w:tcPr>
            <w:tcW w:type="dxa" w:w="5328"/>
          </w:tcPr>
          <w:p>
            <w:r>
              <w:rPr>
                <w:i/>
                <w:color w:val="B12A2A"/>
                <w:sz w:val="19"/>
              </w:rPr>
              <w:t>[ organization — MM/YYYY–MM/YYYY ]</w:t>
            </w:r>
          </w:p>
        </w:tc>
      </w:tr>
    </w:tbl>
    <w:p>
      <w:pPr>
        <w:spacing w:after="40"/>
      </w:pPr>
    </w:p>
    <w:p>
      <w:pPr>
        <w:spacing w:after="40"/>
      </w:pPr>
      <w:r>
        <w:rPr>
          <w:b/>
          <w:sz w:val="22"/>
        </w:rPr>
        <w:t>Mandate 2</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888"/>
            <w:shd w:val="clear" w:color="auto" w:fill="E7E9FF"/>
          </w:tcPr>
          <w:p>
            <w:r>
              <w:rPr>
                <w:b/>
                <w:color w:val="141416"/>
                <w:sz w:val="19"/>
              </w:rPr>
              <w:t>Delivery-cycle activity</w:t>
            </w:r>
          </w:p>
        </w:tc>
        <w:tc>
          <w:tcPr>
            <w:tcW w:type="dxa" w:w="5328"/>
            <w:shd w:val="clear" w:color="auto" w:fill="E7E9FF"/>
          </w:tcPr>
          <w:p>
            <w:r>
              <w:rPr>
                <w:b/>
                <w:color w:val="141416"/>
                <w:sz w:val="19"/>
              </w:rPr>
              <w:t>Evidence in this mandate</w:t>
            </w:r>
          </w:p>
        </w:tc>
      </w:tr>
      <w:tr>
        <w:tc>
          <w:tcPr>
            <w:tcW w:type="dxa" w:w="3888"/>
          </w:tcPr>
          <w:p>
            <w:r>
              <w:rPr>
                <w:sz w:val="19"/>
              </w:rPr>
              <w:t>Analysis &amp; design of an IT solution</w:t>
            </w:r>
          </w:p>
        </w:tc>
        <w:tc>
          <w:tcPr>
            <w:tcW w:type="dxa" w:w="5328"/>
          </w:tcPr>
          <w:p>
            <w:r>
              <w:rPr>
                <w:i/>
                <w:color w:val="B12A2A"/>
                <w:sz w:val="19"/>
              </w:rPr>
              <w:t>[ what was analyzed / designed ]</w:t>
            </w:r>
          </w:p>
        </w:tc>
      </w:tr>
      <w:tr>
        <w:tc>
          <w:tcPr>
            <w:tcW w:type="dxa" w:w="3888"/>
          </w:tcPr>
          <w:p>
            <w:r>
              <w:rPr>
                <w:sz w:val="19"/>
              </w:rPr>
              <w:t>Integration or deployment</w:t>
            </w:r>
          </w:p>
        </w:tc>
        <w:tc>
          <w:tcPr>
            <w:tcW w:type="dxa" w:w="5328"/>
          </w:tcPr>
          <w:p>
            <w:r>
              <w:rPr>
                <w:i/>
                <w:color w:val="B12A2A"/>
                <w:sz w:val="19"/>
              </w:rPr>
              <w:t>[ how it was integrated / deployed ]</w:t>
            </w:r>
          </w:p>
        </w:tc>
      </w:tr>
      <w:tr>
        <w:tc>
          <w:tcPr>
            <w:tcW w:type="dxa" w:w="3888"/>
          </w:tcPr>
          <w:p>
            <w:r>
              <w:rPr>
                <w:sz w:val="19"/>
              </w:rPr>
              <w:t>Documentation &amp; QA of formal deliverables</w:t>
            </w:r>
          </w:p>
        </w:tc>
        <w:tc>
          <w:tcPr>
            <w:tcW w:type="dxa" w:w="5328"/>
          </w:tcPr>
          <w:p>
            <w:r>
              <w:rPr>
                <w:i/>
                <w:color w:val="B12A2A"/>
                <w:sz w:val="19"/>
              </w:rPr>
              <w:t>[ deliverables, QA approach ]</w:t>
            </w:r>
          </w:p>
        </w:tc>
      </w:tr>
      <w:tr>
        <w:tc>
          <w:tcPr>
            <w:tcW w:type="dxa" w:w="3888"/>
          </w:tcPr>
          <w:p>
            <w:r>
              <w:rPr>
                <w:sz w:val="19"/>
              </w:rPr>
              <w:t>Formal knowledge transfer</w:t>
            </w:r>
          </w:p>
        </w:tc>
        <w:tc>
          <w:tcPr>
            <w:tcW w:type="dxa" w:w="5328"/>
          </w:tcPr>
          <w:p>
            <w:r>
              <w:rPr>
                <w:i/>
                <w:color w:val="B12A2A"/>
                <w:sz w:val="19"/>
              </w:rPr>
              <w:t>[ training / workshops / accompaniment ]</w:t>
            </w:r>
          </w:p>
        </w:tc>
      </w:tr>
      <w:tr>
        <w:tc>
          <w:tcPr>
            <w:tcW w:type="dxa" w:w="3888"/>
          </w:tcPr>
          <w:p>
            <w:r>
              <w:rPr>
                <w:sz w:val="19"/>
              </w:rPr>
              <w:t>Client &amp; period</w:t>
            </w:r>
          </w:p>
        </w:tc>
        <w:tc>
          <w:tcPr>
            <w:tcW w:type="dxa" w:w="5328"/>
          </w:tcPr>
          <w:p>
            <w:r>
              <w:rPr>
                <w:i/>
                <w:color w:val="B12A2A"/>
                <w:sz w:val="19"/>
              </w:rPr>
              <w:t>[ organization — MM/YYYY–MM/YYYY ]</w:t>
            </w:r>
          </w:p>
        </w:tc>
      </w:tr>
    </w:tbl>
    <w:p>
      <w:pPr>
        <w:spacing w:after="40"/>
      </w:pPr>
    </w:p>
    <w:p>
      <w:pPr>
        <w:pStyle w:val="Heading1"/>
      </w:pPr>
      <w:r>
        <w:t>3.2.3  Criterion 3 — Understanding of the Mandate (AI), Methodological Approach &amp; Data-Security Governance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E9FBEF"/>
          </w:tcPr>
          <w:p>
            <w:pPr>
              <w:spacing w:after="40"/>
            </w:pPr>
            <w:r>
              <w:rPr>
                <w:b/>
                <w:color w:val="141416"/>
                <w:sz w:val="20"/>
              </w:rPr>
              <w:t>Weight: 30 %    •    Page limit: Maximum 6 pages (8½ × 11)</w:t>
            </w:r>
          </w:p>
        </w:tc>
      </w:tr>
    </w:tbl>
    <w:p>
      <w:pPr>
        <w:spacing w:after="40"/>
      </w:pP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EEF0FF"/>
          </w:tcPr>
          <w:p>
            <w:pPr>
              <w:spacing w:after="60"/>
            </w:pPr>
            <w:r>
              <w:rPr>
                <w:b/>
                <w:color w:val="3733C9"/>
                <w:sz w:val="18"/>
              </w:rPr>
              <w:t>WHAT THIS SECTION MUST DEMONSTRATE  (guidance — delete before submission)</w:t>
            </w:r>
          </w:p>
          <w:p>
            <w:pPr>
              <w:spacing w:after="40"/>
            </w:pPr>
            <w:r>
              <w:rPr>
                <w:i/>
                <w:color w:val="555555"/>
                <w:sz w:val="20"/>
              </w:rPr>
              <w:t>A clear, structured understanding of the AI-integration mandate, including the organizational and governmental context and the applicable governance and formal-approval requirements.</w:t>
            </w:r>
          </w:p>
          <w:p>
            <w:pPr>
              <w:spacing w:after="40"/>
            </w:pPr>
            <w:r>
              <w:rPr>
                <w:i/>
                <w:color w:val="555555"/>
                <w:sz w:val="20"/>
              </w:rPr>
              <w:t>The proposed methodological approach (fixed-price) to plan and frame the work, manage risks, hold the schedule, control deliverable quality, and support knowledge transfer and service continuity with Ministry staff.</w:t>
            </w:r>
          </w:p>
          <w:p>
            <w:pPr>
              <w:spacing w:after="40"/>
            </w:pPr>
            <w:r>
              <w:rPr>
                <w:i/>
                <w:color w:val="555555"/>
                <w:sz w:val="20"/>
              </w:rPr>
              <w:t>How the approach addresses data security, confidentiality and regulatory conformity — protection of personal and confidential information, control of the technology environments, no dependence on services or infrastructure incompatible with government orientations, and data localization in relation to the use of AI.</w:t>
            </w:r>
          </w:p>
          <w:p>
            <w:pPr>
              <w:spacing w:after="0"/>
            </w:pPr>
          </w:p>
        </w:tc>
      </w:tr>
    </w:tbl>
    <w:p>
      <w:pPr>
        <w:spacing w:after="40"/>
      </w:pPr>
    </w:p>
    <w:p>
      <w:pPr>
        <w:spacing w:after="160"/>
      </w:pPr>
      <w:r>
        <w:rPr>
          <w:b w:val="0"/>
          <w:sz w:val="20"/>
        </w:rPr>
        <w:t>The three parts below answer these three expectations in order. This content is written to be submitted (it does not reproduce the tender's wording) and is sized to fit within the 6-page cap.</w:t>
      </w:r>
    </w:p>
    <w:p>
      <w:pPr>
        <w:pStyle w:val="Heading2"/>
      </w:pPr>
      <w:r>
        <w:t>A. Understanding of the mandate, its context and its governance</w:t>
      </w:r>
    </w:p>
    <w:p>
      <w:pPr>
        <w:spacing w:after="120"/>
      </w:pPr>
      <w:r>
        <w:rPr>
          <w:b w:val="0"/>
          <w:sz w:val="22"/>
        </w:rPr>
        <w:t>The Ministry receives a very large, steady stream of ministerial-authorization dossiers under the Loi sur la qualité de l'environnement — on the order of four thousand a year, each bundling roughly nineteen files and about twenty-two pages that a human must examine. Before any professional analysis can begin, every dossier passes an admissibility (recevabilité) gate: a formal, documentary check that the file is complete, signed, in French, internally consistent, and free of out-of-scope material. Today that gate is done by hand, dossier by dossier — accurate but slow, repetitive, and uneven from one reviewer to the next. That is the bottleneck this mandate targets.</w:t>
      </w:r>
    </w:p>
    <w:p>
      <w:pPr>
        <w:spacing w:after="120"/>
      </w:pPr>
      <w:r>
        <w:rPr>
          <w:b w:val="0"/>
          <w:sz w:val="22"/>
        </w:rPr>
        <w:t>We understand the assignment precisely: build an assistance tool — an aide à la décision — that performs the formal verifications and assembles a normalized traceability report, while the admissibility decision itself stays exclusively with Ministry staff. The system must never decide; it flags, structures and explains, and a human validates. This "the tool proposes, the professional disposes" principle is not a footnote for us — it is the organizing idea of the entire design, reflected in a mandatory human finalization step before any report becomes official, and in the fact that the AI's original finding is never overwritten by a reviewer's change but kept beside it for full traceability.</w:t>
      </w:r>
    </w:p>
    <w:p>
      <w:pPr>
        <w:spacing w:after="120"/>
      </w:pPr>
      <w:r>
        <w:rPr>
          <w:b w:val="0"/>
          <w:sz w:val="22"/>
        </w:rPr>
        <w:t>We also understand where the tool has to live. Requests arrive through the online service (SEL) tied to the LQE; their documents are filed into the Ministry's SharePoint-based document environment (GCA), where Power Automate flows already create folders, manage metadata and move documents between libraries. Our solution has to slot into that reality without disturbing those flows, copy only what it needs for a verification, deposit the finished traceability report back into the correct GCA dossier, and create no strong dependency on the existing systems. We are equally aware of the medium-term trajectory — the modernization work around ENVIA and the possible adoption of ServiceNow — and we will make no design choice that forecloses a future arrimage or migration.</w:t>
      </w:r>
    </w:p>
    <w:p>
      <w:pPr>
        <w:spacing w:after="120"/>
      </w:pPr>
      <w:r>
        <w:rPr>
          <w:b w:val="0"/>
          <w:sz w:val="22"/>
        </w:rPr>
        <w:t>Finally, we understand the verifications themselves, because they are exactly the pattern our platform already implements: confirm the request is signed and dated; confirm the dossier is written in French; confirm the required attachments are present; check cross-document consistency (for example, the same applicant name on every form); enforce conditional logic (if a form answers "yes" to a question that requires a supporting annex, that annex must be present and filled); carry free-text fields into the report verbatim, without interpreting them; and deliberately exclude documents flagged as out of scope, such as the Déclaration d'antécédents, so they never influence the outcome. The report concludes with one of three standardized verdicts — Recevable, Non recevable, or Information manquante — and records an audit of the rules applied and a trace of the human validations.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E9FBEF"/>
          </w:tcPr>
          <w:p>
            <w:pPr>
              <w:spacing w:after="60"/>
            </w:pPr>
            <w:r>
              <w:rPr>
                <w:b/>
                <w:color w:val="0B7A4B"/>
                <w:sz w:val="18"/>
              </w:rPr>
              <w:t>WHY THIS DE-RISKS THE MANDATE  (our differentiator)</w:t>
            </w:r>
          </w:p>
          <w:p>
            <w:pPr>
              <w:spacing w:after="40"/>
            </w:pPr>
            <w:r>
              <w:rPr>
                <w:i/>
                <w:color w:val="555555"/>
                <w:sz w:val="20"/>
              </w:rPr>
              <w:t>Genitechs is not starting from a blank page. We operate a purpose-built platform, Clerq2, that already implements this exact workflow end-to-end: a reusable Library of document types; versioned, plain-language Policies of rules that a Ministry administrator can add, edit, remove, version and audit with no developer involvement; multi-format ingestion of PDF, Word, Excel and CSV read as a single dossier; rules that reason across the whole document set; a traceability report that opens as a draft and concludes Recevable / Non recevable / Information manquante; a light human-in-the-loop (annotate, override with a required justification, finalize, reopen) that always preserves the AI's original finding; an operational-indicators module covering the six monitoring measures the tender requires, exportable to Excel/CSV; and a fully bilingual French / English interface. Configuring a proven solution to the Ministry's rules — rather than building one from scratch — is the single biggest schedule and quality risk we remove on day one.</w:t>
            </w:r>
          </w:p>
          <w:p>
            <w:pPr>
              <w:spacing w:after="0"/>
            </w:pPr>
          </w:p>
        </w:tc>
      </w:tr>
    </w:tbl>
    <w:p>
      <w:pPr>
        <w:spacing w:after="40"/>
      </w:pPr>
    </w:p>
    <w:p>
      <w:pPr>
        <w:pStyle w:val="Heading2"/>
      </w:pPr>
      <w:r>
        <w:t>B. Proposed methodological approach (fixed-price)</w:t>
      </w:r>
    </w:p>
    <w:p>
      <w:pPr>
        <w:spacing w:after="120"/>
      </w:pPr>
      <w:r>
        <w:rPr>
          <w:b w:val="0"/>
          <w:sz w:val="22"/>
        </w:rPr>
        <w:t>Our approach is configuration-first and milestone-driven. Because the platform exists, the work is to model the Ministry's rules as data, wire the GCA integration, prove the results against real sample dossiers with the recevabilité reviewers, and hand over a solution the Ministry can run on its own. We align directly to the tender's milestones inside the roughly six-month execution window (about June to October 2026), followed by the three-month warranty:</w:t>
      </w:r>
    </w:p>
    <w:p>
      <w:pPr>
        <w:pStyle w:val="ListBullet"/>
        <w:spacing w:after="40"/>
      </w:pPr>
      <w:r>
        <w:rPr>
          <w:sz w:val="21"/>
        </w:rPr>
        <w:t>Kickoff &amp; initial parametrization — stand up the solution, load the document-type Library, and capture the Ministry's admissibility rules as a first parametrable policy.</w:t>
      </w:r>
    </w:p>
    <w:p>
      <w:pPr>
        <w:pStyle w:val="ListBullet"/>
        <w:spacing w:after="40"/>
      </w:pPr>
      <w:r>
        <w:rPr>
          <w:sz w:val="21"/>
        </w:rPr>
        <w:t>Integration &amp; test environment — connect to GCA/SharePoint through a loosely-coupled adapter that does not disturb existing Power Automate flows; configure the isolated processing environment.</w:t>
      </w:r>
    </w:p>
    <w:p>
      <w:pPr>
        <w:pStyle w:val="ListBullet"/>
        <w:spacing w:after="40"/>
      </w:pPr>
      <w:r>
        <w:rPr>
          <w:sz w:val="21"/>
        </w:rPr>
        <w:t>Functional validation on a pilot sample — run the policy on representative dossiers, sit with the recevabilité reviewers, and tune rules until the verifications are constant and correct on the sample.</w:t>
      </w:r>
    </w:p>
    <w:p>
      <w:pPr>
        <w:pStyle w:val="ListBullet"/>
        <w:spacing w:after="40"/>
      </w:pPr>
      <w:r>
        <w:rPr>
          <w:sz w:val="21"/>
        </w:rPr>
        <w:t>Initial small-scale deployment — release to a designated user; gather feedback in real conditions.</w:t>
      </w:r>
    </w:p>
    <w:p>
      <w:pPr>
        <w:pStyle w:val="ListBullet"/>
        <w:spacing w:after="40"/>
      </w:pPr>
      <w:r>
        <w:rPr>
          <w:sz w:val="21"/>
        </w:rPr>
        <w:t>Enlarged validation — widen the sample and run load and security tests in a representative pre-production environment, transmitting the results.</w:t>
      </w:r>
    </w:p>
    <w:p>
      <w:pPr>
        <w:pStyle w:val="ListBullet"/>
        <w:spacing w:after="40"/>
      </w:pPr>
      <w:r>
        <w:rPr>
          <w:sz w:val="21"/>
        </w:rPr>
        <w:t>User &amp; administrator training — equip the full team to operate and, crucially, to administer and evolve the rules themselves.</w:t>
      </w:r>
    </w:p>
    <w:p>
      <w:pPr>
        <w:pStyle w:val="ListBullet"/>
        <w:spacing w:after="40"/>
      </w:pPr>
      <w:r>
        <w:rPr>
          <w:sz w:val="21"/>
        </w:rPr>
        <w:t>Final deployment, then long-term quality assurance across the three-month warranty.</w:t>
      </w:r>
    </w:p>
    <w:p>
      <w:pPr>
        <w:spacing w:after="120"/>
      </w:pPr>
      <w:r>
        <w:rPr>
          <w:b w:val="0"/>
          <w:sz w:val="22"/>
        </w:rPr>
        <w:t>Governance is deliberately light and explicit, matching the project's scale: a named project lead on our side as the Ministry's single point of contact; periodic sync meetings with the Ministry's chargé de projet; formal sign-off of deliverables at agreed stages; and a living register of decisions and risks. We integrate the Ministry's designated people (DOSAE for business requirements and human validation, DGTI for architectural and M365 alignment) into the cadence rather than working around them.</w:t>
      </w:r>
    </w:p>
    <w:p>
      <w:pPr>
        <w:spacing w:after="120"/>
      </w:pPr>
      <w:r>
        <w:rPr>
          <w:b w:val="0"/>
          <w:sz w:val="22"/>
        </w:rPr>
        <w:t>We manage the risks that actually matter on this mandate, with concrete mitigations: variable document quality is handled by per-document relevance scoring and an "Information manquante" outcome rather than a false rejection; language drift in AI-generated evidence is controlled by forcing the explanation into the language of the rule; the scope of GCA integration is contained by the adapter pattern so no strong coupling is created; and the risk of over-automation is eliminated structurally — no report is official until a human finalizes it. On quality, technical documentation is kept current, functional and security tests run before any production release, and any blocking anomaly is fixed before deployment, with the report conforming to the Ministry's approved template.</w:t>
      </w:r>
    </w:p>
    <w:p>
      <w:pPr>
        <w:spacing w:after="120"/>
      </w:pPr>
      <w:r>
        <w:rPr>
          <w:b w:val="0"/>
          <w:sz w:val="22"/>
        </w:rPr>
        <w:t>Knowledge transfer and continuity are built into the model, not bolted on at the end. Training for users and administrators, complete documentation, and a deliberate ramp to Ministry autonomy ensure no permanent dependence on Genitechs for day-to-day operation. Reversibility is guaranteed: at contract end we return the data, the configured rules, the business parameters and the technical documentation with no technological lock-in — exports are already native to the platform (PDF, JSON, CSV). Throughout implementation and warranty we provide three-level support in French through secure channels.</w:t>
      </w:r>
    </w:p>
    <w:p>
      <w:pPr>
        <w:pStyle w:val="Heading2"/>
      </w:pPr>
      <w:r>
        <w:t>C. Data-security governance, confidentiality and regulatory conformity</w:t>
      </w:r>
    </w:p>
    <w:p>
      <w:pPr>
        <w:spacing w:after="120"/>
      </w:pPr>
      <w:r>
        <w:rPr>
          <w:b w:val="0"/>
          <w:sz w:val="22"/>
        </w:rPr>
        <w:t>Security and digital sovereignty are treated as first-order design constraints. We commit, from the start of the engagement, that no Ministry data is transferred to or made accessible outside the authorized environments without the Ministry's written approval; that any third-party-hosted AI model is explicitly declared; and that Ministry data is never used to train or improve any external model. These are contractual commitments, not best-effort intentions.</w:t>
      </w:r>
    </w:p>
    <w:p>
      <w:pPr>
        <w:pStyle w:val="ListBullet"/>
        <w:spacing w:after="40"/>
      </w:pPr>
      <w:r>
        <w:rPr>
          <w:sz w:val="21"/>
        </w:rPr>
        <w:t>Isolated processing &amp; no persistence — documents are copied only temporarily from GCA into a distinct, secured processing environment; the verifications run there; the finished traceability report is deposited back to GCA; and all temporary document data is deleted automatically at the end of processing, or by end of day at the latest. No persistent copy of source documents is retained, and a processing journal and a deletion journal are maintained.</w:t>
      </w:r>
    </w:p>
    <w:p>
      <w:pPr>
        <w:pStyle w:val="ListBullet"/>
        <w:spacing w:after="40"/>
      </w:pPr>
      <w:r>
        <w:rPr>
          <w:sz w:val="21"/>
        </w:rPr>
        <w:t>Protection of personal &amp; confidential information (Loi 25) — data minimization and purpose limitation, role-based access control, encryption in transit and at rest, complete audit logging, and retention strictly limited to the duration of processing.</w:t>
      </w:r>
    </w:p>
    <w:p>
      <w:pPr>
        <w:pStyle w:val="ListBullet"/>
        <w:spacing w:after="40"/>
      </w:pPr>
      <w:r>
        <w:rPr>
          <w:sz w:val="21"/>
        </w:rPr>
        <w:t>Data localization for AI use — AI models are run in Canadian / Québec or otherwise sovereign-controlled environments (including private or on-premise deployment), explicitly declared, under zero-retention and no-training terms; the architecture lets the model endpoint be swapped without ever exposing data beyond the authorized boundary.</w:t>
      </w:r>
    </w:p>
    <w:p>
      <w:pPr>
        <w:pStyle w:val="ListBullet"/>
        <w:spacing w:after="40"/>
      </w:pPr>
      <w:r>
        <w:rPr>
          <w:sz w:val="21"/>
        </w:rPr>
        <w:t>Technology-environment control &amp; no incompatible dependency — the solution is compatible with the Ministry's Microsoft 365 / SharePoint (GCA) / Power Automate environment and integrates through a loosely-coupled adapter so existing automated flows are not disturbed and no strong or incompatible dependency is created; the architecture leaves room for future interoperability (ServiceNow / ENVIA).</w:t>
      </w:r>
    </w:p>
    <w:p>
      <w:pPr>
        <w:pStyle w:val="ListBullet"/>
        <w:spacing w:after="40"/>
      </w:pPr>
      <w:r>
        <w:rPr>
          <w:sz w:val="21"/>
        </w:rPr>
        <w:t>Monitoring &amp; resilience — real-time performance monitoring with automatic alerting on threshold breaches, plus load and security testing in a representative pre-production environment before full production.</w:t>
      </w:r>
    </w:p>
    <w:p>
      <w:pPr>
        <w:pStyle w:val="ListBullet"/>
        <w:spacing w:after="40"/>
      </w:pPr>
      <w:r>
        <w:rPr>
          <w:sz w:val="21"/>
        </w:rPr>
        <w:t>Decision integrity — the solution renders no automated admissibility decision; it identifies and structures the items to verify, source documents are never altered, and final validation is entirely human.</w:t>
      </w:r>
    </w:p>
    <w:p>
      <w:pPr>
        <w:spacing w:after="120"/>
      </w:pPr>
      <w:r>
        <w:rPr>
          <w:b w:val="0"/>
          <w:sz w:val="22"/>
        </w:rPr>
        <w:t>In short: the Ministry keeps its data, its environment, its rules and its decision authority. Our role is to make the formal verification faster, more consistent and fully traceable — and to leave the Ministry able to run and evolve the solution on its own.</w:t>
      </w:r>
    </w:p>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FFF6E5"/>
          </w:tcPr>
          <w:p>
            <w:pPr>
              <w:spacing w:after="60"/>
            </w:pPr>
            <w:r>
              <w:rPr>
                <w:b/>
                <w:color w:val="9A6B00"/>
                <w:sz w:val="18"/>
              </w:rPr>
              <w:t>BEFORE YOU FILE</w:t>
            </w:r>
          </w:p>
          <w:p>
            <w:pPr>
              <w:spacing w:after="40"/>
            </w:pPr>
            <w:r>
              <w:rPr>
                <w:i/>
                <w:color w:val="555555"/>
                <w:sz w:val="20"/>
              </w:rPr>
              <w:t>Delete every grey guidance box and every yellow TO-COMPLETE marker.</w:t>
            </w:r>
          </w:p>
          <w:p>
            <w:pPr>
              <w:spacing w:after="40"/>
            </w:pPr>
            <w:r>
              <w:rPr>
                <w:i/>
                <w:color w:val="555555"/>
                <w:sz w:val="20"/>
              </w:rPr>
              <w:t>Translate the document into French.</w:t>
            </w:r>
          </w:p>
          <w:p>
            <w:pPr>
              <w:spacing w:after="40"/>
            </w:pPr>
            <w:r>
              <w:rPr>
                <w:i/>
                <w:color w:val="555555"/>
                <w:sz w:val="20"/>
              </w:rPr>
              <w:t>Confirm each criterion fits within its 6-page cap (font ≥ 10 pt, recto-verso).</w:t>
            </w:r>
          </w:p>
          <w:p>
            <w:pPr>
              <w:spacing w:after="40"/>
            </w:pPr>
            <w:r>
              <w:rPr>
                <w:i/>
                <w:color w:val="555555"/>
                <w:sz w:val="20"/>
              </w:rPr>
              <w:t>Attach any required tables; attach no CVs.</w:t>
            </w:r>
          </w:p>
          <w:p>
            <w:pPr>
              <w:spacing w:after="40"/>
            </w:pPr>
            <w:r>
              <w:rPr>
                <w:i/>
                <w:color w:val="555555"/>
                <w:sz w:val="20"/>
              </w:rPr>
              <w:t>Export to PDF (≤ 75 MB) and submit separately from the price file.</w:t>
            </w:r>
          </w:p>
          <w:p>
            <w:pPr>
              <w:spacing w:after="0"/>
            </w:pP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733C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33C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4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