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00"/>
      </w:pPr>
      <w:r>
        <w:t xml:space="preserve">The Impact of Artificial Intelligence on</w:t>
      </w:r>
    </w:p>
    <w:p>
      <w:pPr>
        <w:pStyle w:val="Title"/>
        <w:spacing w:after="300"/>
      </w:pPr>
      <w:r>
        <w:t xml:space="preserve">Daily Software Engineering Tasks</w:t>
      </w:r>
    </w:p>
    <w:p>
      <w:pPr>
        <w:spacing w:after="80"/>
        <w:jc w:val="center"/>
      </w:pPr>
      <w:r>
        <w:rPr>
          <w:i/>
          <w:iCs/>
          <w:sz w:val="22"/>
          <w:szCs w:val="22"/>
        </w:rPr>
        <w:t xml:space="preserve">A Quantitative Analysis Based on IEEE, ACM, and Industry Research</w:t>
      </w:r>
    </w:p>
    <w:p>
      <w:pPr>
        <w:spacing w:after="400"/>
        <w:jc w:val="center"/>
      </w:pPr>
      <w:r>
        <w:rPr>
          <w:sz w:val="22"/>
          <w:szCs w:val="22"/>
        </w:rPr>
        <w:t xml:space="preserve">November 2025</w:t>
      </w:r>
    </w:p>
    <w:p>
      <w:pPr>
        <w:pStyle w:val="Heading1"/>
      </w:pPr>
      <w:r>
        <w:t xml:space="preserve">Abstract</w:t>
      </w:r>
    </w:p>
    <w:p>
      <w:pPr>
        <w:spacing w:after="200"/>
        <w:jc w:val="both"/>
      </w:pPr>
      <w:r>
        <w:t xml:space="preserve">This paper quantifies the impact of AI tools on daily software engineering activities based on peer-reviewed research from IEEE, ACM, and major technology companies. Analysis of randomized controlled trials (n=95-1,749) and industry surveys (n=500+) reveals that AI-assisted development yields productivity improvements ranging from </w:t>
      </w:r>
      <w:r>
        <w:rPr>
          <w:b/>
          <w:bCs/>
        </w:rPr>
        <w:t xml:space="preserve">7.5% to 55.8%</w:t>
      </w:r>
      <w:r>
        <w:t xml:space="preserve"> depending on task type. Code generation shows the highest gains (21-55.8%), followed by testing (33-50%) and code review (25-35%). Overall, 92.4% of organizations report positive effects, with 82.3% achieving ≥20% productivity improvement. However, effectiveness varies significantly by context—experienced developers working on familiar codebases may experience reduced efficiency. These findings provide empirical guidance for organizations adopting AI-powered development tools.</w:t>
      </w:r>
    </w:p>
    <w:p>
      <w:pPr>
        <w:pStyle w:val="Heading1"/>
      </w:pPr>
      <w:r>
        <w:t xml:space="preserve">1. Introduction</w:t>
      </w:r>
    </w:p>
    <w:p>
      <w:pPr>
        <w:pStyle w:val="ListParagraph"/>
        <w:numPr>
          <w:ilvl w:val="0"/>
          <w:numId w:val="2"/>
        </w:numPr>
        <w:spacing w:after="80"/>
      </w:pPr>
      <w:r>
        <w:t xml:space="preserve">Software developers spend only </w:t>
      </w:r>
      <w:r>
        <w:rPr>
          <w:b/>
          <w:bCs/>
        </w:rPr>
        <w:t xml:space="preserve">22% of time writing new code</w:t>
      </w:r>
      <w:r>
        <w:t xml:space="preserve">; remaining 78% on maintenance, review, testing, meetings, and documentation (Microsoft Research, n=5,971)</w:t>
      </w:r>
    </w:p>
    <w:p>
      <w:pPr>
        <w:pStyle w:val="ListParagraph"/>
        <w:numPr>
          <w:ilvl w:val="0"/>
          <w:numId w:val="2"/>
        </w:numPr>
        <w:spacing w:after="80"/>
      </w:pPr>
      <w:r>
        <w:t xml:space="preserve">AI coding assistants (GitHub Copilot, ChatGPT, Amazon CodeWhisperer) now adopted by </w:t>
      </w:r>
      <w:r>
        <w:rPr>
          <w:b/>
          <w:bCs/>
        </w:rPr>
        <w:t xml:space="preserve">72.2% of companies</w:t>
      </w:r>
      <w:r>
        <w:t xml:space="preserve"> for code generation as of 2025</w:t>
      </w:r>
    </w:p>
    <w:p>
      <w:pPr>
        <w:pStyle w:val="ListParagraph"/>
        <w:numPr>
          <w:ilvl w:val="0"/>
          <w:numId w:val="2"/>
        </w:numPr>
        <w:spacing w:after="80"/>
      </w:pPr>
      <w:r>
        <w:t xml:space="preserve">Gartner projects </w:t>
      </w:r>
      <w:r>
        <w:rPr>
          <w:b/>
          <w:bCs/>
        </w:rPr>
        <w:t xml:space="preserve">75% enterprise adoption by 2028</w:t>
      </w:r>
      <w:r>
        <w:t xml:space="preserve">, up from less than 10% in early 2023</w:t>
      </w:r>
    </w:p>
    <w:p>
      <w:pPr>
        <w:pStyle w:val="ListParagraph"/>
        <w:numPr>
          <w:ilvl w:val="0"/>
          <w:numId w:val="2"/>
        </w:numPr>
        <w:spacing w:after="150"/>
      </w:pPr>
      <w:r>
        <w:t xml:space="preserve">This paper synthesizes empirical data from randomized controlled trials and enterprise surveys to quantify AI impact across each core development task</w:t>
      </w:r>
    </w:p>
    <w:p>
      <w:r>
        <w:br w:type="page"/>
      </w:r>
    </w:p>
    <w:p>
      <w:pPr>
        <w:pStyle w:val="Heading1"/>
      </w:pPr>
      <w:r>
        <w:t xml:space="preserve">2. AI Productivity Impact by Task</w:t>
      </w:r>
    </w:p>
    <w:p>
      <w:pPr>
        <w:spacing w:after="120"/>
      </w:pPr>
      <w:r>
        <w:t xml:space="preserve">Table 1 and Figure 1 present measured efficiency improvements from AI tools across core software engineering activities, derived from controlled trials and enterprise deployments.</w:t>
      </w:r>
    </w:p>
    <w:p>
      <w:pPr>
        <w:spacing w:before="80" w:after="80"/>
        <w:jc w:val="center"/>
      </w:pPr>
      <w:r>
        <w:rPr>
          <w:b/>
          <w:bCs/>
          <w:sz w:val="22"/>
          <w:szCs w:val="22"/>
        </w:rPr>
        <w:t xml:space="preserve">Table 1: AI Efficiency Gains by Software Engineering Task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4000"/>
      </w:tblGrid>
      <w:tr>
        <w:trPr>
          <w:tblHeader/>
        </w:trPr>
        <w:tc>
          <w:tcPr>
            <w:tcW w:type="dxa" w:w="2600"/>
            <w:tcBorders>
              <w:top w:val="single" w:color="999999" w:sz="1"/>
              <w:left w:val="single" w:color="999999" w:sz="1"/>
              <w:bottom w:val="single" w:color="999999" w:sz="1"/>
              <w:right w:val="single" w:color="999999" w:sz="1"/>
            </w:tcBorders>
            <w:shd w:fill="D9D9D9" w:val="clear"/>
          </w:tcPr>
          <w:p>
            <w:pPr>
              <w:jc w:val="center"/>
            </w:pPr>
            <w:r>
              <w:rPr>
                <w:b/>
                <w:bCs/>
                <w:sz w:val="21"/>
                <w:szCs w:val="21"/>
              </w:rPr>
              <w:t xml:space="preserve">Task</w:t>
            </w:r>
          </w:p>
        </w:tc>
        <w:tc>
          <w:tcPr>
            <w:tcW w:type="dxa" w:w="1400"/>
            <w:tcBorders>
              <w:top w:val="single" w:color="999999" w:sz="1"/>
              <w:left w:val="single" w:color="999999" w:sz="1"/>
              <w:bottom w:val="single" w:color="999999" w:sz="1"/>
              <w:right w:val="single" w:color="999999" w:sz="1"/>
            </w:tcBorders>
            <w:shd w:fill="D9D9D9" w:val="clear"/>
          </w:tcPr>
          <w:p>
            <w:pPr>
              <w:jc w:val="center"/>
            </w:pPr>
            <w:r>
              <w:rPr>
                <w:b/>
                <w:bCs/>
                <w:sz w:val="21"/>
                <w:szCs w:val="21"/>
              </w:rPr>
              <w:t xml:space="preserve">Min</w:t>
            </w:r>
          </w:p>
        </w:tc>
        <w:tc>
          <w:tcPr>
            <w:tcW w:type="dxa" w:w="1400"/>
            <w:tcBorders>
              <w:top w:val="single" w:color="999999" w:sz="1"/>
              <w:left w:val="single" w:color="999999" w:sz="1"/>
              <w:bottom w:val="single" w:color="999999" w:sz="1"/>
              <w:right w:val="single" w:color="999999" w:sz="1"/>
            </w:tcBorders>
            <w:shd w:fill="D9D9D9" w:val="clear"/>
          </w:tcPr>
          <w:p>
            <w:pPr>
              <w:jc w:val="center"/>
            </w:pPr>
            <w:r>
              <w:rPr>
                <w:b/>
                <w:bCs/>
                <w:sz w:val="21"/>
                <w:szCs w:val="21"/>
              </w:rPr>
              <w:t xml:space="preserve">Max</w:t>
            </w:r>
          </w:p>
        </w:tc>
        <w:tc>
          <w:tcPr>
            <w:tcW w:type="dxa" w:w="4000"/>
            <w:tcBorders>
              <w:top w:val="single" w:color="999999" w:sz="1"/>
              <w:left w:val="single" w:color="999999" w:sz="1"/>
              <w:bottom w:val="single" w:color="999999" w:sz="1"/>
              <w:right w:val="single" w:color="999999" w:sz="1"/>
            </w:tcBorders>
            <w:shd w:fill="D9D9D9" w:val="clear"/>
          </w:tcPr>
          <w:p>
            <w:pPr>
              <w:jc w:val="center"/>
            </w:pPr>
            <w:r>
              <w:rPr>
                <w:b/>
                <w:bCs/>
                <w:sz w:val="21"/>
                <w:szCs w:val="21"/>
              </w:rPr>
              <w:t xml:space="preserve">Source</w:t>
            </w:r>
          </w:p>
        </w:tc>
      </w:tr>
      <w:tr>
        <w:tc>
          <w:tcPr>
            <w:tcW w:type="dxa" w:w="2600"/>
            <w:tcBorders>
              <w:top w:val="single" w:color="999999" w:sz="1"/>
              <w:left w:val="single" w:color="999999" w:sz="1"/>
              <w:bottom w:val="single" w:color="999999" w:sz="1"/>
              <w:right w:val="single" w:color="999999" w:sz="1"/>
            </w:tcBorders>
          </w:tcPr>
          <w:p>
            <w:r>
              <w:rPr>
                <w:sz w:val="21"/>
                <w:szCs w:val="21"/>
              </w:rPr>
              <w:t xml:space="preserve">Code Generation</w:t>
            </w:r>
          </w:p>
        </w:tc>
        <w:tc>
          <w:tcPr>
            <w:tcW w:type="dxa" w:w="1400"/>
            <w:tcBorders>
              <w:top w:val="single" w:color="999999" w:sz="1"/>
              <w:left w:val="single" w:color="999999" w:sz="1"/>
              <w:bottom w:val="single" w:color="999999" w:sz="1"/>
              <w:right w:val="single" w:color="999999" w:sz="1"/>
            </w:tcBorders>
          </w:tcPr>
          <w:p>
            <w:pPr>
              <w:jc w:val="center"/>
            </w:pPr>
            <w:r>
              <w:rPr>
                <w:sz w:val="21"/>
                <w:szCs w:val="21"/>
              </w:rPr>
              <w:t xml:space="preserve">21%</w:t>
            </w:r>
          </w:p>
        </w:tc>
        <w:tc>
          <w:tcPr>
            <w:tcW w:type="dxa" w:w="1400"/>
            <w:tcBorders>
              <w:top w:val="single" w:color="999999" w:sz="1"/>
              <w:left w:val="single" w:color="999999" w:sz="1"/>
              <w:bottom w:val="single" w:color="999999" w:sz="1"/>
              <w:right w:val="single" w:color="999999" w:sz="1"/>
            </w:tcBorders>
          </w:tcPr>
          <w:p>
            <w:pPr>
              <w:jc w:val="center"/>
            </w:pPr>
            <w:r>
              <w:rPr>
                <w:b/>
                <w:bCs/>
                <w:sz w:val="21"/>
                <w:szCs w:val="21"/>
              </w:rPr>
              <w:t xml:space="preserve">55.8%</w:t>
            </w:r>
          </w:p>
        </w:tc>
        <w:tc>
          <w:tcPr>
            <w:tcW w:type="dxa" w:w="4000"/>
            <w:tcBorders>
              <w:top w:val="single" w:color="999999" w:sz="1"/>
              <w:left w:val="single" w:color="999999" w:sz="1"/>
              <w:bottom w:val="single" w:color="999999" w:sz="1"/>
              <w:right w:val="single" w:color="999999" w:sz="1"/>
            </w:tcBorders>
          </w:tcPr>
          <w:p>
            <w:r>
              <w:rPr>
                <w:sz w:val="19"/>
                <w:szCs w:val="19"/>
              </w:rPr>
              <w:t xml:space="preserve">Google RCT (n=96); GitHub RCT (n=95)</w:t>
            </w:r>
          </w:p>
        </w:tc>
      </w:tr>
      <w:tr>
        <w:tc>
          <w:tcPr>
            <w:tcW w:type="dxa" w:w="2600"/>
            <w:tcBorders>
              <w:top w:val="single" w:color="999999" w:sz="1"/>
              <w:left w:val="single" w:color="999999" w:sz="1"/>
              <w:bottom w:val="single" w:color="999999" w:sz="1"/>
              <w:right w:val="single" w:color="999999" w:sz="1"/>
            </w:tcBorders>
            <w:shd w:fill="F5F5F5" w:val="clear"/>
          </w:tcPr>
          <w:p>
            <w:r>
              <w:rPr>
                <w:sz w:val="21"/>
                <w:szCs w:val="21"/>
              </w:rPr>
              <w:t xml:space="preserve">Unit Testing</w:t>
            </w:r>
          </w:p>
        </w:tc>
        <w:tc>
          <w:tcPr>
            <w:tcW w:type="dxa" w:w="1400"/>
            <w:tcBorders>
              <w:top w:val="single" w:color="999999" w:sz="1"/>
              <w:left w:val="single" w:color="999999" w:sz="1"/>
              <w:bottom w:val="single" w:color="999999" w:sz="1"/>
              <w:right w:val="single" w:color="999999" w:sz="1"/>
            </w:tcBorders>
            <w:shd w:fill="F5F5F5" w:val="clear"/>
          </w:tcPr>
          <w:p>
            <w:pPr>
              <w:jc w:val="center"/>
            </w:pPr>
            <w:r>
              <w:rPr>
                <w:sz w:val="21"/>
                <w:szCs w:val="21"/>
              </w:rPr>
              <w:t xml:space="preserve">33%</w:t>
            </w:r>
          </w:p>
        </w:tc>
        <w:tc>
          <w:tcPr>
            <w:tcW w:type="dxa" w:w="1400"/>
            <w:tcBorders>
              <w:top w:val="single" w:color="999999" w:sz="1"/>
              <w:left w:val="single" w:color="999999" w:sz="1"/>
              <w:bottom w:val="single" w:color="999999" w:sz="1"/>
              <w:right w:val="single" w:color="999999" w:sz="1"/>
            </w:tcBorders>
            <w:shd w:fill="F5F5F5" w:val="clear"/>
          </w:tcPr>
          <w:p>
            <w:pPr>
              <w:jc w:val="center"/>
            </w:pPr>
            <w:r>
              <w:rPr>
                <w:b/>
                <w:bCs/>
                <w:sz w:val="21"/>
                <w:szCs w:val="21"/>
              </w:rPr>
              <w:t xml:space="preserve">50%</w:t>
            </w:r>
          </w:p>
        </w:tc>
        <w:tc>
          <w:tcPr>
            <w:tcW w:type="dxa" w:w="4000"/>
            <w:tcBorders>
              <w:top w:val="single" w:color="999999" w:sz="1"/>
              <w:left w:val="single" w:color="999999" w:sz="1"/>
              <w:bottom w:val="single" w:color="999999" w:sz="1"/>
              <w:right w:val="single" w:color="999999" w:sz="1"/>
            </w:tcBorders>
            <w:shd w:fill="F5F5F5" w:val="clear"/>
          </w:tcPr>
          <w:p>
            <w:r>
              <w:rPr>
                <w:sz w:val="19"/>
                <w:szCs w:val="19"/>
              </w:rPr>
              <w:t xml:space="preserve">Techreviewer Survey 2025 (n=500+)</w:t>
            </w:r>
          </w:p>
        </w:tc>
      </w:tr>
      <w:tr>
        <w:tc>
          <w:tcPr>
            <w:tcW w:type="dxa" w:w="2600"/>
            <w:tcBorders>
              <w:top w:val="single" w:color="999999" w:sz="1"/>
              <w:left w:val="single" w:color="999999" w:sz="1"/>
              <w:bottom w:val="single" w:color="999999" w:sz="1"/>
              <w:right w:val="single" w:color="999999" w:sz="1"/>
            </w:tcBorders>
          </w:tcPr>
          <w:p>
            <w:r>
              <w:rPr>
                <w:sz w:val="21"/>
                <w:szCs w:val="21"/>
              </w:rPr>
              <w:t xml:space="preserve">Code Review</w:t>
            </w:r>
          </w:p>
        </w:tc>
        <w:tc>
          <w:tcPr>
            <w:tcW w:type="dxa" w:w="1400"/>
            <w:tcBorders>
              <w:top w:val="single" w:color="999999" w:sz="1"/>
              <w:left w:val="single" w:color="999999" w:sz="1"/>
              <w:bottom w:val="single" w:color="999999" w:sz="1"/>
              <w:right w:val="single" w:color="999999" w:sz="1"/>
            </w:tcBorders>
          </w:tcPr>
          <w:p>
            <w:pPr>
              <w:jc w:val="center"/>
            </w:pPr>
            <w:r>
              <w:rPr>
                <w:sz w:val="21"/>
                <w:szCs w:val="21"/>
              </w:rPr>
              <w:t xml:space="preserve">25%</w:t>
            </w:r>
          </w:p>
        </w:tc>
        <w:tc>
          <w:tcPr>
            <w:tcW w:type="dxa" w:w="1400"/>
            <w:tcBorders>
              <w:top w:val="single" w:color="999999" w:sz="1"/>
              <w:left w:val="single" w:color="999999" w:sz="1"/>
              <w:bottom w:val="single" w:color="999999" w:sz="1"/>
              <w:right w:val="single" w:color="999999" w:sz="1"/>
            </w:tcBorders>
          </w:tcPr>
          <w:p>
            <w:pPr>
              <w:jc w:val="center"/>
            </w:pPr>
            <w:r>
              <w:rPr>
                <w:b/>
                <w:bCs/>
                <w:sz w:val="21"/>
                <w:szCs w:val="21"/>
              </w:rPr>
              <w:t xml:space="preserve">35%</w:t>
            </w:r>
          </w:p>
        </w:tc>
        <w:tc>
          <w:tcPr>
            <w:tcW w:type="dxa" w:w="4000"/>
            <w:tcBorders>
              <w:top w:val="single" w:color="999999" w:sz="1"/>
              <w:left w:val="single" w:color="999999" w:sz="1"/>
              <w:bottom w:val="single" w:color="999999" w:sz="1"/>
              <w:right w:val="single" w:color="999999" w:sz="1"/>
            </w:tcBorders>
          </w:tcPr>
          <w:p>
            <w:r>
              <w:rPr>
                <w:sz w:val="19"/>
                <w:szCs w:val="19"/>
              </w:rPr>
              <w:t xml:space="preserve">Google Research 2024; Accenture</w:t>
            </w:r>
          </w:p>
        </w:tc>
      </w:tr>
      <w:tr>
        <w:tc>
          <w:tcPr>
            <w:tcW w:type="dxa" w:w="2600"/>
            <w:tcBorders>
              <w:top w:val="single" w:color="999999" w:sz="1"/>
              <w:left w:val="single" w:color="999999" w:sz="1"/>
              <w:bottom w:val="single" w:color="999999" w:sz="1"/>
              <w:right w:val="single" w:color="999999" w:sz="1"/>
            </w:tcBorders>
            <w:shd w:fill="F5F5F5" w:val="clear"/>
          </w:tcPr>
          <w:p>
            <w:r>
              <w:rPr>
                <w:sz w:val="21"/>
                <w:szCs w:val="21"/>
              </w:rPr>
              <w:t xml:space="preserve">Debugging</w:t>
            </w:r>
          </w:p>
        </w:tc>
        <w:tc>
          <w:tcPr>
            <w:tcW w:type="dxa" w:w="1400"/>
            <w:tcBorders>
              <w:top w:val="single" w:color="999999" w:sz="1"/>
              <w:left w:val="single" w:color="999999" w:sz="1"/>
              <w:bottom w:val="single" w:color="999999" w:sz="1"/>
              <w:right w:val="single" w:color="999999" w:sz="1"/>
            </w:tcBorders>
            <w:shd w:fill="F5F5F5" w:val="clear"/>
          </w:tcPr>
          <w:p>
            <w:pPr>
              <w:jc w:val="center"/>
            </w:pPr>
            <w:r>
              <w:rPr>
                <w:sz w:val="21"/>
                <w:szCs w:val="21"/>
              </w:rPr>
              <w:t xml:space="preserve">20%</w:t>
            </w:r>
          </w:p>
        </w:tc>
        <w:tc>
          <w:tcPr>
            <w:tcW w:type="dxa" w:w="1400"/>
            <w:tcBorders>
              <w:top w:val="single" w:color="999999" w:sz="1"/>
              <w:left w:val="single" w:color="999999" w:sz="1"/>
              <w:bottom w:val="single" w:color="999999" w:sz="1"/>
              <w:right w:val="single" w:color="999999" w:sz="1"/>
            </w:tcBorders>
            <w:shd w:fill="F5F5F5" w:val="clear"/>
          </w:tcPr>
          <w:p>
            <w:pPr>
              <w:jc w:val="center"/>
            </w:pPr>
            <w:r>
              <w:rPr>
                <w:b/>
                <w:bCs/>
                <w:sz w:val="21"/>
                <w:szCs w:val="21"/>
              </w:rPr>
              <w:t xml:space="preserve">30%</w:t>
            </w:r>
          </w:p>
        </w:tc>
        <w:tc>
          <w:tcPr>
            <w:tcW w:type="dxa" w:w="4000"/>
            <w:tcBorders>
              <w:top w:val="single" w:color="999999" w:sz="1"/>
              <w:left w:val="single" w:color="999999" w:sz="1"/>
              <w:bottom w:val="single" w:color="999999" w:sz="1"/>
              <w:right w:val="single" w:color="999999" w:sz="1"/>
            </w:tcBorders>
            <w:shd w:fill="F5F5F5" w:val="clear"/>
          </w:tcPr>
          <w:p>
            <w:r>
              <w:rPr>
                <w:sz w:val="19"/>
                <w:szCs w:val="19"/>
              </w:rPr>
              <w:t xml:space="preserve">ZoomInfo (n=400); DORA Report 2024</w:t>
            </w:r>
          </w:p>
        </w:tc>
      </w:tr>
      <w:tr>
        <w:tc>
          <w:tcPr>
            <w:tcW w:type="dxa" w:w="2600"/>
            <w:tcBorders>
              <w:top w:val="single" w:color="999999" w:sz="1"/>
              <w:left w:val="single" w:color="999999" w:sz="1"/>
              <w:bottom w:val="single" w:color="999999" w:sz="1"/>
              <w:right w:val="single" w:color="999999" w:sz="1"/>
            </w:tcBorders>
          </w:tcPr>
          <w:p>
            <w:r>
              <w:rPr>
                <w:sz w:val="21"/>
                <w:szCs w:val="21"/>
              </w:rPr>
              <w:t xml:space="preserve">Documentation</w:t>
            </w:r>
          </w:p>
        </w:tc>
        <w:tc>
          <w:tcPr>
            <w:tcW w:type="dxa" w:w="1400"/>
            <w:tcBorders>
              <w:top w:val="single" w:color="999999" w:sz="1"/>
              <w:left w:val="single" w:color="999999" w:sz="1"/>
              <w:bottom w:val="single" w:color="999999" w:sz="1"/>
              <w:right w:val="single" w:color="999999" w:sz="1"/>
            </w:tcBorders>
          </w:tcPr>
          <w:p>
            <w:pPr>
              <w:jc w:val="center"/>
            </w:pPr>
            <w:r>
              <w:rPr>
                <w:sz w:val="21"/>
                <w:szCs w:val="21"/>
              </w:rPr>
              <w:t xml:space="preserve">7.5%</w:t>
            </w:r>
          </w:p>
        </w:tc>
        <w:tc>
          <w:tcPr>
            <w:tcW w:type="dxa" w:w="1400"/>
            <w:tcBorders>
              <w:top w:val="single" w:color="999999" w:sz="1"/>
              <w:left w:val="single" w:color="999999" w:sz="1"/>
              <w:bottom w:val="single" w:color="999999" w:sz="1"/>
              <w:right w:val="single" w:color="999999" w:sz="1"/>
            </w:tcBorders>
          </w:tcPr>
          <w:p>
            <w:pPr>
              <w:jc w:val="center"/>
            </w:pPr>
            <w:r>
              <w:rPr>
                <w:b/>
                <w:bCs/>
                <w:sz w:val="21"/>
                <w:szCs w:val="21"/>
              </w:rPr>
              <w:t xml:space="preserve">25%</w:t>
            </w:r>
          </w:p>
        </w:tc>
        <w:tc>
          <w:tcPr>
            <w:tcW w:type="dxa" w:w="4000"/>
            <w:tcBorders>
              <w:top w:val="single" w:color="999999" w:sz="1"/>
              <w:left w:val="single" w:color="999999" w:sz="1"/>
              <w:bottom w:val="single" w:color="999999" w:sz="1"/>
              <w:right w:val="single" w:color="999999" w:sz="1"/>
            </w:tcBorders>
          </w:tcPr>
          <w:p>
            <w:r>
              <w:rPr>
                <w:sz w:val="19"/>
                <w:szCs w:val="19"/>
              </w:rPr>
              <w:t xml:space="preserve">DORA 2024; Bain &amp; Company 2024</w:t>
            </w:r>
          </w:p>
        </w:tc>
      </w:tr>
      <w:tr>
        <w:tc>
          <w:tcPr>
            <w:tcW w:type="dxa" w:w="2600"/>
            <w:tcBorders>
              <w:top w:val="single" w:color="999999" w:sz="1"/>
              <w:left w:val="single" w:color="999999" w:sz="1"/>
              <w:bottom w:val="single" w:color="999999" w:sz="1"/>
              <w:right w:val="single" w:color="999999" w:sz="1"/>
            </w:tcBorders>
            <w:shd w:fill="F5F5F5" w:val="clear"/>
          </w:tcPr>
          <w:p>
            <w:r>
              <w:rPr>
                <w:sz w:val="21"/>
                <w:szCs w:val="21"/>
              </w:rPr>
              <w:t xml:space="preserve">Integration Tasks</w:t>
            </w:r>
          </w:p>
        </w:tc>
        <w:tc>
          <w:tcPr>
            <w:tcW w:type="dxa" w:w="1400"/>
            <w:tcBorders>
              <w:top w:val="single" w:color="999999" w:sz="1"/>
              <w:left w:val="single" w:color="999999" w:sz="1"/>
              <w:bottom w:val="single" w:color="999999" w:sz="1"/>
              <w:right w:val="single" w:color="999999" w:sz="1"/>
            </w:tcBorders>
            <w:shd w:fill="F5F5F5" w:val="clear"/>
          </w:tcPr>
          <w:p>
            <w:pPr>
              <w:jc w:val="center"/>
            </w:pPr>
            <w:r>
              <w:rPr>
                <w:sz w:val="21"/>
                <w:szCs w:val="21"/>
              </w:rPr>
              <w:t xml:space="preserve">100%</w:t>
            </w:r>
          </w:p>
        </w:tc>
        <w:tc>
          <w:tcPr>
            <w:tcW w:type="dxa" w:w="1400"/>
            <w:tcBorders>
              <w:top w:val="single" w:color="999999" w:sz="1"/>
              <w:left w:val="single" w:color="999999" w:sz="1"/>
              <w:bottom w:val="single" w:color="999999" w:sz="1"/>
              <w:right w:val="single" w:color="999999" w:sz="1"/>
            </w:tcBorders>
            <w:shd w:fill="F5F5F5" w:val="clear"/>
          </w:tcPr>
          <w:p>
            <w:pPr>
              <w:jc w:val="center"/>
            </w:pPr>
            <w:r>
              <w:rPr>
                <w:b/>
                <w:bCs/>
                <w:sz w:val="21"/>
                <w:szCs w:val="21"/>
              </w:rPr>
              <w:t xml:space="preserve">200%</w:t>
            </w:r>
          </w:p>
        </w:tc>
        <w:tc>
          <w:tcPr>
            <w:tcW w:type="dxa" w:w="4000"/>
            <w:tcBorders>
              <w:top w:val="single" w:color="999999" w:sz="1"/>
              <w:left w:val="single" w:color="999999" w:sz="1"/>
              <w:bottom w:val="single" w:color="999999" w:sz="1"/>
              <w:right w:val="single" w:color="999999" w:sz="1"/>
            </w:tcBorders>
            <w:shd w:fill="F5F5F5" w:val="clear"/>
          </w:tcPr>
          <w:p>
            <w:r>
              <w:rPr>
                <w:sz w:val="19"/>
                <w:szCs w:val="19"/>
              </w:rPr>
              <w:t xml:space="preserve">Intuit GenOS (contextual AI)</w:t>
            </w:r>
          </w:p>
        </w:tc>
      </w:tr>
    </w:tbl>
    <w:p>
      <w:pPr>
        <w:spacing w:before="200" w:after="80"/>
        <w:jc w:val="center"/>
      </w:pPr>
      <w:r>
        <w:rPr>
          <w:b/>
          <w:bCs/>
          <w:sz w:val="22"/>
          <w:szCs w:val="22"/>
        </w:rPr>
        <w:t xml:space="preserve">Figure 1: Maximum Efficiency Gain by Task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200"/>
      </w:tblGrid>
      <w:tr>
        <w:tc>
          <w:tcPr>
            <w:tcW w:type="dxa" w:w="2200"/>
            <w:tcBorders>
              <w:top w:val="none" w:color="FFFFFF" w:sz="0"/>
              <w:left w:val="none" w:color="FFFFFF" w:sz="0"/>
              <w:bottom w:val="none" w:color="FFFFFF" w:sz="0"/>
              <w:right w:val="none" w:color="FFFFFF" w:sz="0"/>
            </w:tcBorders>
          </w:tcPr>
          <w:p>
            <w:pPr>
              <w:jc w:val="right"/>
            </w:pPr>
            <w:r>
              <w:rPr>
                <w:sz w:val="20"/>
                <w:szCs w:val="20"/>
              </w:rPr>
              <w:t xml:space="preserve">Code Generation  </w:t>
            </w:r>
          </w:p>
        </w:tc>
        <w:tc>
          <w:tcPr>
            <w:tcW w:type="dxa" w:w="5400"/>
            <w:tcBorders>
              <w:top w:val="none" w:color="FFFFFF" w:sz="0"/>
              <w:left w:val="none" w:color="FFFFFF" w:sz="0"/>
              <w:bottom w:val="none" w:color="FFFFFF" w:sz="0"/>
              <w:right w:val="none" w:color="FFFFFF" w:sz="0"/>
            </w:tcBorders>
          </w:tcPr>
          <w:p>
            <w:r>
              <w:rPr>
                <w:color w:val="2E75B6"/>
                <w:sz w:val="20"/>
                <w:szCs w:val="20"/>
              </w:rPr>
              <w:t xml:space="preserve">████████████████████████████</w:t>
            </w:r>
          </w:p>
        </w:tc>
        <w:tc>
          <w:tcPr>
            <w:tcW w:type="dxa" w:w="1200"/>
            <w:tcBorders>
              <w:top w:val="none" w:color="FFFFFF" w:sz="0"/>
              <w:left w:val="none" w:color="FFFFFF" w:sz="0"/>
              <w:bottom w:val="none" w:color="FFFFFF" w:sz="0"/>
              <w:right w:val="none" w:color="FFFFFF" w:sz="0"/>
            </w:tcBorders>
          </w:tcPr>
          <w:p>
            <w:r>
              <w:rPr>
                <w:b/>
                <w:bCs/>
                <w:sz w:val="20"/>
                <w:szCs w:val="20"/>
              </w:rPr>
              <w:t xml:space="preserve"> 55.8%</w:t>
            </w:r>
          </w:p>
        </w:tc>
      </w:tr>
      <w:tr>
        <w:tc>
          <w:tcPr>
            <w:tcW w:type="dxa" w:w="2200"/>
            <w:tcBorders>
              <w:top w:val="none" w:color="FFFFFF" w:sz="0"/>
              <w:left w:val="none" w:color="FFFFFF" w:sz="0"/>
              <w:bottom w:val="none" w:color="FFFFFF" w:sz="0"/>
              <w:right w:val="none" w:color="FFFFFF" w:sz="0"/>
            </w:tcBorders>
          </w:tcPr>
          <w:p>
            <w:pPr>
              <w:jc w:val="right"/>
            </w:pPr>
            <w:r>
              <w:rPr>
                <w:sz w:val="20"/>
                <w:szCs w:val="20"/>
              </w:rPr>
              <w:t xml:space="preserve">Unit Testing  </w:t>
            </w:r>
          </w:p>
        </w:tc>
        <w:tc>
          <w:tcPr>
            <w:tcW w:type="dxa" w:w="5400"/>
            <w:tcBorders>
              <w:top w:val="none" w:color="FFFFFF" w:sz="0"/>
              <w:left w:val="none" w:color="FFFFFF" w:sz="0"/>
              <w:bottom w:val="none" w:color="FFFFFF" w:sz="0"/>
              <w:right w:val="none" w:color="FFFFFF" w:sz="0"/>
            </w:tcBorders>
          </w:tcPr>
          <w:p>
            <w:r>
              <w:rPr>
                <w:color w:val="5B9BD5"/>
                <w:sz w:val="20"/>
                <w:szCs w:val="20"/>
              </w:rPr>
              <w:t xml:space="preserve">█████████████████████████</w:t>
            </w:r>
          </w:p>
        </w:tc>
        <w:tc>
          <w:tcPr>
            <w:tcW w:type="dxa" w:w="1200"/>
            <w:tcBorders>
              <w:top w:val="none" w:color="FFFFFF" w:sz="0"/>
              <w:left w:val="none" w:color="FFFFFF" w:sz="0"/>
              <w:bottom w:val="none" w:color="FFFFFF" w:sz="0"/>
              <w:right w:val="none" w:color="FFFFFF" w:sz="0"/>
            </w:tcBorders>
          </w:tcPr>
          <w:p>
            <w:r>
              <w:rPr>
                <w:b/>
                <w:bCs/>
                <w:sz w:val="20"/>
                <w:szCs w:val="20"/>
              </w:rPr>
              <w:t xml:space="preserve"> 50%</w:t>
            </w:r>
          </w:p>
        </w:tc>
      </w:tr>
      <w:tr>
        <w:tc>
          <w:tcPr>
            <w:tcW w:type="dxa" w:w="2200"/>
            <w:tcBorders>
              <w:top w:val="none" w:color="FFFFFF" w:sz="0"/>
              <w:left w:val="none" w:color="FFFFFF" w:sz="0"/>
              <w:bottom w:val="none" w:color="FFFFFF" w:sz="0"/>
              <w:right w:val="none" w:color="FFFFFF" w:sz="0"/>
            </w:tcBorders>
          </w:tcPr>
          <w:p>
            <w:pPr>
              <w:jc w:val="right"/>
            </w:pPr>
            <w:r>
              <w:rPr>
                <w:sz w:val="20"/>
                <w:szCs w:val="20"/>
              </w:rPr>
              <w:t xml:space="preserve">Code Review  </w:t>
            </w:r>
          </w:p>
        </w:tc>
        <w:tc>
          <w:tcPr>
            <w:tcW w:type="dxa" w:w="5400"/>
            <w:tcBorders>
              <w:top w:val="none" w:color="FFFFFF" w:sz="0"/>
              <w:left w:val="none" w:color="FFFFFF" w:sz="0"/>
              <w:bottom w:val="none" w:color="FFFFFF" w:sz="0"/>
              <w:right w:val="none" w:color="FFFFFF" w:sz="0"/>
            </w:tcBorders>
          </w:tcPr>
          <w:p>
            <w:r>
              <w:rPr>
                <w:color w:val="8FAADC"/>
                <w:sz w:val="20"/>
                <w:szCs w:val="20"/>
              </w:rPr>
              <w:t xml:space="preserve">██████████████████</w:t>
            </w:r>
          </w:p>
        </w:tc>
        <w:tc>
          <w:tcPr>
            <w:tcW w:type="dxa" w:w="1200"/>
            <w:tcBorders>
              <w:top w:val="none" w:color="FFFFFF" w:sz="0"/>
              <w:left w:val="none" w:color="FFFFFF" w:sz="0"/>
              <w:bottom w:val="none" w:color="FFFFFF" w:sz="0"/>
              <w:right w:val="none" w:color="FFFFFF" w:sz="0"/>
            </w:tcBorders>
          </w:tcPr>
          <w:p>
            <w:r>
              <w:rPr>
                <w:b/>
                <w:bCs/>
                <w:sz w:val="20"/>
                <w:szCs w:val="20"/>
              </w:rPr>
              <w:t xml:space="preserve"> 35%</w:t>
            </w:r>
          </w:p>
        </w:tc>
      </w:tr>
      <w:tr>
        <w:tc>
          <w:tcPr>
            <w:tcW w:type="dxa" w:w="2200"/>
            <w:tcBorders>
              <w:top w:val="none" w:color="FFFFFF" w:sz="0"/>
              <w:left w:val="none" w:color="FFFFFF" w:sz="0"/>
              <w:bottom w:val="none" w:color="FFFFFF" w:sz="0"/>
              <w:right w:val="none" w:color="FFFFFF" w:sz="0"/>
            </w:tcBorders>
          </w:tcPr>
          <w:p>
            <w:pPr>
              <w:jc w:val="right"/>
            </w:pPr>
            <w:r>
              <w:rPr>
                <w:sz w:val="20"/>
                <w:szCs w:val="20"/>
              </w:rPr>
              <w:t xml:space="preserve">Debugging  </w:t>
            </w:r>
          </w:p>
        </w:tc>
        <w:tc>
          <w:tcPr>
            <w:tcW w:type="dxa" w:w="5400"/>
            <w:tcBorders>
              <w:top w:val="none" w:color="FFFFFF" w:sz="0"/>
              <w:left w:val="none" w:color="FFFFFF" w:sz="0"/>
              <w:bottom w:val="none" w:color="FFFFFF" w:sz="0"/>
              <w:right w:val="none" w:color="FFFFFF" w:sz="0"/>
            </w:tcBorders>
          </w:tcPr>
          <w:p>
            <w:r>
              <w:rPr>
                <w:color w:val="A9CCE3"/>
                <w:sz w:val="20"/>
                <w:szCs w:val="20"/>
              </w:rPr>
              <w:t xml:space="preserve">███████████████</w:t>
            </w:r>
          </w:p>
        </w:tc>
        <w:tc>
          <w:tcPr>
            <w:tcW w:type="dxa" w:w="1200"/>
            <w:tcBorders>
              <w:top w:val="none" w:color="FFFFFF" w:sz="0"/>
              <w:left w:val="none" w:color="FFFFFF" w:sz="0"/>
              <w:bottom w:val="none" w:color="FFFFFF" w:sz="0"/>
              <w:right w:val="none" w:color="FFFFFF" w:sz="0"/>
            </w:tcBorders>
          </w:tcPr>
          <w:p>
            <w:r>
              <w:rPr>
                <w:b/>
                <w:bCs/>
                <w:sz w:val="20"/>
                <w:szCs w:val="20"/>
              </w:rPr>
              <w:t xml:space="preserve"> 30%</w:t>
            </w:r>
          </w:p>
        </w:tc>
      </w:tr>
      <w:tr>
        <w:tc>
          <w:tcPr>
            <w:tcW w:type="dxa" w:w="2200"/>
            <w:tcBorders>
              <w:top w:val="none" w:color="FFFFFF" w:sz="0"/>
              <w:left w:val="none" w:color="FFFFFF" w:sz="0"/>
              <w:bottom w:val="none" w:color="FFFFFF" w:sz="0"/>
              <w:right w:val="none" w:color="FFFFFF" w:sz="0"/>
            </w:tcBorders>
          </w:tcPr>
          <w:p>
            <w:pPr>
              <w:jc w:val="right"/>
            </w:pPr>
            <w:r>
              <w:rPr>
                <w:sz w:val="20"/>
                <w:szCs w:val="20"/>
              </w:rPr>
              <w:t xml:space="preserve">Documentation  </w:t>
            </w:r>
          </w:p>
        </w:tc>
        <w:tc>
          <w:tcPr>
            <w:tcW w:type="dxa" w:w="5400"/>
            <w:tcBorders>
              <w:top w:val="none" w:color="FFFFFF" w:sz="0"/>
              <w:left w:val="none" w:color="FFFFFF" w:sz="0"/>
              <w:bottom w:val="none" w:color="FFFFFF" w:sz="0"/>
              <w:right w:val="none" w:color="FFFFFF" w:sz="0"/>
            </w:tcBorders>
          </w:tcPr>
          <w:p>
            <w:r>
              <w:rPr>
                <w:color w:val="BDD7EE"/>
                <w:sz w:val="20"/>
                <w:szCs w:val="20"/>
              </w:rPr>
              <w:t xml:space="preserve">█████████████</w:t>
            </w:r>
          </w:p>
        </w:tc>
        <w:tc>
          <w:tcPr>
            <w:tcW w:type="dxa" w:w="1200"/>
            <w:tcBorders>
              <w:top w:val="none" w:color="FFFFFF" w:sz="0"/>
              <w:left w:val="none" w:color="FFFFFF" w:sz="0"/>
              <w:bottom w:val="none" w:color="FFFFFF" w:sz="0"/>
              <w:right w:val="none" w:color="FFFFFF" w:sz="0"/>
            </w:tcBorders>
          </w:tcPr>
          <w:p>
            <w:r>
              <w:rPr>
                <w:b/>
                <w:bCs/>
                <w:sz w:val="20"/>
                <w:szCs w:val="20"/>
              </w:rPr>
              <w:t xml:space="preserve"> 25%</w:t>
            </w:r>
          </w:p>
        </w:tc>
      </w:tr>
    </w:tbl>
    <w:p>
      <w:pPr>
        <w:spacing w:before="30" w:after="150"/>
        <w:jc w:val="center"/>
      </w:pPr>
      <w:r>
        <w:rPr>
          <w:i/>
          <w:iCs/>
          <w:sz w:val="18"/>
          <w:szCs w:val="18"/>
        </w:rPr>
        <w:t xml:space="preserve">Note: Integration tasks (100-200% gain) excluded from chart for scale. Based on contextual AI training at Intuit.</w:t>
      </w:r>
    </w:p>
    <w:p>
      <w:pPr>
        <w:pStyle w:val="Heading2"/>
      </w:pPr>
      <w:r>
        <w:t xml:space="preserve">Key Research Findings</w:t>
      </w:r>
    </w:p>
    <w:p>
      <w:pPr>
        <w:pStyle w:val="ListParagraph"/>
        <w:numPr>
          <w:ilvl w:val="0"/>
          <w:numId w:val="2"/>
        </w:numPr>
        <w:spacing w:after="60"/>
      </w:pPr>
      <w:r>
        <w:rPr>
          <w:b/>
          <w:bCs/>
        </w:rPr>
        <w:t xml:space="preserve">GitHub RCT (n=95): </w:t>
      </w:r>
      <w:r>
        <w:t xml:space="preserve">55.8% faster task completion with Copilot (95% CI: 21-89%)</w:t>
      </w:r>
    </w:p>
    <w:p>
      <w:pPr>
        <w:pStyle w:val="ListParagraph"/>
        <w:numPr>
          <w:ilvl w:val="0"/>
          <w:numId w:val="2"/>
        </w:numPr>
        <w:spacing w:after="60"/>
      </w:pPr>
      <w:r>
        <w:rPr>
          <w:b/>
          <w:bCs/>
        </w:rPr>
        <w:t xml:space="preserve">Google RCT (n=96): </w:t>
      </w:r>
      <w:r>
        <w:t xml:space="preserve">21% reduction in complex enterprise task completion time</w:t>
      </w:r>
    </w:p>
    <w:p>
      <w:pPr>
        <w:pStyle w:val="ListParagraph"/>
        <w:numPr>
          <w:ilvl w:val="0"/>
          <w:numId w:val="2"/>
        </w:numPr>
        <w:spacing w:after="60"/>
      </w:pPr>
      <w:r>
        <w:rPr>
          <w:b/>
          <w:bCs/>
        </w:rPr>
        <w:t xml:space="preserve">Microsoft Field Experiment (n=1,749): </w:t>
      </w:r>
      <w:r>
        <w:t xml:space="preserve">12.9-21.8% more pull requests per week</w:t>
      </w:r>
    </w:p>
    <w:p>
      <w:pPr>
        <w:pStyle w:val="ListParagraph"/>
        <w:numPr>
          <w:ilvl w:val="0"/>
          <w:numId w:val="2"/>
        </w:numPr>
        <w:spacing w:after="150"/>
      </w:pPr>
      <w:r>
        <w:rPr>
          <w:b/>
          <w:bCs/>
        </w:rPr>
        <w:t xml:space="preserve">Accenture Enterprise Study: </w:t>
      </w:r>
      <w:r>
        <w:t xml:space="preserve">90% felt more productive; 88% AI code retention rate</w:t>
      </w:r>
    </w:p>
    <w:p>
      <w:r>
        <w:br w:type="page"/>
      </w:r>
    </w:p>
    <w:p>
      <w:pPr>
        <w:pStyle w:val="Heading1"/>
      </w:pPr>
      <w:r>
        <w:t xml:space="preserve">3. Industry Adoption &amp; Overall Impact</w:t>
      </w:r>
    </w:p>
    <w:p>
      <w:pPr>
        <w:spacing w:before="80" w:after="80"/>
        <w:jc w:val="center"/>
      </w:pPr>
      <w:r>
        <w:rPr>
          <w:b/>
          <w:bCs/>
          <w:sz w:val="22"/>
          <w:szCs w:val="22"/>
        </w:rPr>
        <w:t xml:space="preserve">Table 2: Overall AI Impact Statistics (Techreviewer Survey 2025, n=500+)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200"/>
      </w:tblGrid>
      <w:tr>
        <w:trPr>
          <w:tblHeader/>
        </w:trPr>
        <w:tc>
          <w:tcPr>
            <w:tcW w:type="dxa" w:w="6200"/>
            <w:tcBorders>
              <w:top w:val="single" w:color="999999" w:sz="1"/>
              <w:left w:val="single" w:color="999999" w:sz="1"/>
              <w:bottom w:val="single" w:color="999999" w:sz="1"/>
              <w:right w:val="single" w:color="999999" w:sz="1"/>
            </w:tcBorders>
            <w:shd w:fill="D9D9D9" w:val="clear"/>
          </w:tcPr>
          <w:p>
            <w:r>
              <w:rPr>
                <w:b/>
                <w:bCs/>
                <w:sz w:val="21"/>
                <w:szCs w:val="21"/>
              </w:rPr>
              <w:t xml:space="preserve">Metric</w:t>
            </w:r>
          </w:p>
        </w:tc>
        <w:tc>
          <w:tcPr>
            <w:tcW w:type="dxa" w:w="3200"/>
            <w:tcBorders>
              <w:top w:val="single" w:color="999999" w:sz="1"/>
              <w:left w:val="single" w:color="999999" w:sz="1"/>
              <w:bottom w:val="single" w:color="999999" w:sz="1"/>
              <w:right w:val="single" w:color="999999" w:sz="1"/>
            </w:tcBorders>
            <w:shd w:fill="D9D9D9" w:val="clear"/>
          </w:tcPr>
          <w:p>
            <w:pPr>
              <w:jc w:val="center"/>
            </w:pPr>
            <w:r>
              <w:rPr>
                <w:b/>
                <w:bCs/>
                <w:sz w:val="21"/>
                <w:szCs w:val="21"/>
              </w:rPr>
              <w:t xml:space="preserve">Result</w:t>
            </w:r>
          </w:p>
        </w:tc>
      </w:tr>
      <w:tr>
        <w:tc>
          <w:tcPr>
            <w:tcW w:type="dxa" w:w="6200"/>
            <w:tcBorders>
              <w:top w:val="single" w:color="999999" w:sz="1"/>
              <w:left w:val="single" w:color="999999" w:sz="1"/>
              <w:bottom w:val="single" w:color="999999" w:sz="1"/>
              <w:right w:val="single" w:color="999999" w:sz="1"/>
            </w:tcBorders>
          </w:tcPr>
          <w:p>
            <w:r>
              <w:rPr>
                <w:sz w:val="21"/>
                <w:szCs w:val="21"/>
              </w:rPr>
              <w:t xml:space="preserve">Organizations reporting positive SDLC effects</w:t>
            </w:r>
          </w:p>
        </w:tc>
        <w:tc>
          <w:tcPr>
            <w:tcW w:type="dxa" w:w="3200"/>
            <w:tcBorders>
              <w:top w:val="single" w:color="999999" w:sz="1"/>
              <w:left w:val="single" w:color="999999" w:sz="1"/>
              <w:bottom w:val="single" w:color="999999" w:sz="1"/>
              <w:right w:val="single" w:color="999999" w:sz="1"/>
            </w:tcBorders>
          </w:tcPr>
          <w:p>
            <w:pPr>
              <w:jc w:val="center"/>
            </w:pPr>
            <w:r>
              <w:rPr>
                <w:b/>
                <w:bCs/>
                <w:sz w:val="21"/>
                <w:szCs w:val="21"/>
              </w:rPr>
              <w:t xml:space="preserve">92.4%</w:t>
            </w:r>
          </w:p>
        </w:tc>
      </w:tr>
      <w:tr>
        <w:tc>
          <w:tcPr>
            <w:tcW w:type="dxa" w:w="6200"/>
            <w:tcBorders>
              <w:top w:val="single" w:color="999999" w:sz="1"/>
              <w:left w:val="single" w:color="999999" w:sz="1"/>
              <w:bottom w:val="single" w:color="999999" w:sz="1"/>
              <w:right w:val="single" w:color="999999" w:sz="1"/>
            </w:tcBorders>
            <w:shd w:fill="F5F5F5" w:val="clear"/>
          </w:tcPr>
          <w:p>
            <w:r>
              <w:rPr>
                <w:sz w:val="21"/>
                <w:szCs w:val="21"/>
              </w:rPr>
              <w:t xml:space="preserve">Organizations achieving ≥20% productivity gain</w:t>
            </w:r>
          </w:p>
        </w:tc>
        <w:tc>
          <w:tcPr>
            <w:tcW w:type="dxa" w:w="3200"/>
            <w:tcBorders>
              <w:top w:val="single" w:color="999999" w:sz="1"/>
              <w:left w:val="single" w:color="999999" w:sz="1"/>
              <w:bottom w:val="single" w:color="999999" w:sz="1"/>
              <w:right w:val="single" w:color="999999" w:sz="1"/>
            </w:tcBorders>
            <w:shd w:fill="F5F5F5" w:val="clear"/>
          </w:tcPr>
          <w:p>
            <w:pPr>
              <w:jc w:val="center"/>
            </w:pPr>
            <w:r>
              <w:rPr>
                <w:b/>
                <w:bCs/>
                <w:sz w:val="21"/>
                <w:szCs w:val="21"/>
              </w:rPr>
              <w:t xml:space="preserve">82.3%</w:t>
            </w:r>
          </w:p>
        </w:tc>
      </w:tr>
      <w:tr>
        <w:tc>
          <w:tcPr>
            <w:tcW w:type="dxa" w:w="6200"/>
            <w:tcBorders>
              <w:top w:val="single" w:color="999999" w:sz="1"/>
              <w:left w:val="single" w:color="999999" w:sz="1"/>
              <w:bottom w:val="single" w:color="999999" w:sz="1"/>
              <w:right w:val="single" w:color="999999" w:sz="1"/>
            </w:tcBorders>
          </w:tcPr>
          <w:p>
            <w:r>
              <w:rPr>
                <w:sz w:val="21"/>
                <w:szCs w:val="21"/>
              </w:rPr>
              <w:t xml:space="preserve">Organizations exceeding 50% productivity gain</w:t>
            </w:r>
          </w:p>
        </w:tc>
        <w:tc>
          <w:tcPr>
            <w:tcW w:type="dxa" w:w="3200"/>
            <w:tcBorders>
              <w:top w:val="single" w:color="999999" w:sz="1"/>
              <w:left w:val="single" w:color="999999" w:sz="1"/>
              <w:bottom w:val="single" w:color="999999" w:sz="1"/>
              <w:right w:val="single" w:color="999999" w:sz="1"/>
            </w:tcBorders>
          </w:tcPr>
          <w:p>
            <w:pPr>
              <w:jc w:val="center"/>
            </w:pPr>
            <w:r>
              <w:rPr>
                <w:b/>
                <w:bCs/>
                <w:sz w:val="21"/>
                <w:szCs w:val="21"/>
              </w:rPr>
              <w:t xml:space="preserve">24.1%</w:t>
            </w:r>
          </w:p>
        </w:tc>
      </w:tr>
      <w:tr>
        <w:tc>
          <w:tcPr>
            <w:tcW w:type="dxa" w:w="6200"/>
            <w:tcBorders>
              <w:top w:val="single" w:color="999999" w:sz="1"/>
              <w:left w:val="single" w:color="999999" w:sz="1"/>
              <w:bottom w:val="single" w:color="999999" w:sz="1"/>
              <w:right w:val="single" w:color="999999" w:sz="1"/>
            </w:tcBorders>
            <w:shd w:fill="F5F5F5" w:val="clear"/>
          </w:tcPr>
          <w:p>
            <w:r>
              <w:rPr>
                <w:sz w:val="21"/>
                <w:szCs w:val="21"/>
              </w:rPr>
              <w:t xml:space="preserve">Companies using AI for code generation</w:t>
            </w:r>
          </w:p>
        </w:tc>
        <w:tc>
          <w:tcPr>
            <w:tcW w:type="dxa" w:w="3200"/>
            <w:tcBorders>
              <w:top w:val="single" w:color="999999" w:sz="1"/>
              <w:left w:val="single" w:color="999999" w:sz="1"/>
              <w:bottom w:val="single" w:color="999999" w:sz="1"/>
              <w:right w:val="single" w:color="999999" w:sz="1"/>
            </w:tcBorders>
            <w:shd w:fill="F5F5F5" w:val="clear"/>
          </w:tcPr>
          <w:p>
            <w:pPr>
              <w:jc w:val="center"/>
            </w:pPr>
            <w:r>
              <w:rPr>
                <w:b/>
                <w:bCs/>
                <w:sz w:val="21"/>
                <w:szCs w:val="21"/>
              </w:rPr>
              <w:t xml:space="preserve">72.2%</w:t>
            </w:r>
          </w:p>
        </w:tc>
      </w:tr>
      <w:tr>
        <w:tc>
          <w:tcPr>
            <w:tcW w:type="dxa" w:w="6200"/>
            <w:tcBorders>
              <w:top w:val="single" w:color="999999" w:sz="1"/>
              <w:left w:val="single" w:color="999999" w:sz="1"/>
              <w:bottom w:val="single" w:color="999999" w:sz="1"/>
              <w:right w:val="single" w:color="999999" w:sz="1"/>
            </w:tcBorders>
          </w:tcPr>
          <w:p>
            <w:r>
              <w:rPr>
                <w:sz w:val="21"/>
                <w:szCs w:val="21"/>
              </w:rPr>
              <w:t xml:space="preserve">Expecting significant AI growth in development</w:t>
            </w:r>
          </w:p>
        </w:tc>
        <w:tc>
          <w:tcPr>
            <w:tcW w:type="dxa" w:w="3200"/>
            <w:tcBorders>
              <w:top w:val="single" w:color="999999" w:sz="1"/>
              <w:left w:val="single" w:color="999999" w:sz="1"/>
              <w:bottom w:val="single" w:color="999999" w:sz="1"/>
              <w:right w:val="single" w:color="999999" w:sz="1"/>
            </w:tcBorders>
          </w:tcPr>
          <w:p>
            <w:pPr>
              <w:jc w:val="center"/>
            </w:pPr>
            <w:r>
              <w:rPr>
                <w:b/>
                <w:bCs/>
                <w:sz w:val="21"/>
                <w:szCs w:val="21"/>
              </w:rPr>
              <w:t xml:space="preserve">76.5%</w:t>
            </w:r>
          </w:p>
        </w:tc>
      </w:tr>
    </w:tbl>
    <w:p>
      <w:pPr>
        <w:spacing w:before="200" w:after="80"/>
        <w:jc w:val="center"/>
      </w:pPr>
      <w:r>
        <w:rPr>
          <w:b/>
          <w:bCs/>
          <w:sz w:val="22"/>
          <w:szCs w:val="22"/>
        </w:rPr>
        <w:t xml:space="preserve">Figure 2: AI Tool Adoption Rate by Activity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200"/>
      </w:tblGrid>
      <w:tr>
        <w:tc>
          <w:tcPr>
            <w:tcW w:type="dxa" w:w="2400"/>
            <w:tcBorders>
              <w:top w:val="none" w:color="FFFFFF" w:sz="0"/>
              <w:left w:val="none" w:color="FFFFFF" w:sz="0"/>
              <w:bottom w:val="none" w:color="FFFFFF" w:sz="0"/>
              <w:right w:val="none" w:color="FFFFFF" w:sz="0"/>
            </w:tcBorders>
          </w:tcPr>
          <w:p>
            <w:pPr>
              <w:jc w:val="right"/>
            </w:pPr>
            <w:r>
              <w:rPr>
                <w:sz w:val="20"/>
                <w:szCs w:val="20"/>
              </w:rPr>
              <w:t xml:space="preserve">Code Generation  </w:t>
            </w:r>
          </w:p>
        </w:tc>
        <w:tc>
          <w:tcPr>
            <w:tcW w:type="dxa" w:w="5200"/>
            <w:tcBorders>
              <w:top w:val="none" w:color="FFFFFF" w:sz="0"/>
              <w:left w:val="none" w:color="FFFFFF" w:sz="0"/>
              <w:bottom w:val="none" w:color="FFFFFF" w:sz="0"/>
              <w:right w:val="none" w:color="FFFFFF" w:sz="0"/>
            </w:tcBorders>
          </w:tcPr>
          <w:p>
            <w:r>
              <w:rPr>
                <w:color w:val="1F4E79"/>
                <w:sz w:val="20"/>
                <w:szCs w:val="20"/>
              </w:rPr>
              <w:t xml:space="preserve">████████████████████████████████████</w:t>
            </w:r>
          </w:p>
        </w:tc>
        <w:tc>
          <w:tcPr>
            <w:tcW w:type="dxa" w:w="1200"/>
            <w:tcBorders>
              <w:top w:val="none" w:color="FFFFFF" w:sz="0"/>
              <w:left w:val="none" w:color="FFFFFF" w:sz="0"/>
              <w:bottom w:val="none" w:color="FFFFFF" w:sz="0"/>
              <w:right w:val="none" w:color="FFFFFF" w:sz="0"/>
            </w:tcBorders>
          </w:tcPr>
          <w:p>
            <w:r>
              <w:rPr>
                <w:b/>
                <w:bCs/>
                <w:sz w:val="20"/>
                <w:szCs w:val="20"/>
              </w:rPr>
              <w:t xml:space="preserve"> 72.2%</w:t>
            </w:r>
          </w:p>
        </w:tc>
      </w:tr>
      <w:tr>
        <w:tc>
          <w:tcPr>
            <w:tcW w:type="dxa" w:w="2400"/>
            <w:tcBorders>
              <w:top w:val="none" w:color="FFFFFF" w:sz="0"/>
              <w:left w:val="none" w:color="FFFFFF" w:sz="0"/>
              <w:bottom w:val="none" w:color="FFFFFF" w:sz="0"/>
              <w:right w:val="none" w:color="FFFFFF" w:sz="0"/>
            </w:tcBorders>
          </w:tcPr>
          <w:p>
            <w:pPr>
              <w:jc w:val="right"/>
            </w:pPr>
            <w:r>
              <w:rPr>
                <w:sz w:val="20"/>
                <w:szCs w:val="20"/>
              </w:rPr>
              <w:t xml:space="preserve">Documentation  </w:t>
            </w:r>
          </w:p>
        </w:tc>
        <w:tc>
          <w:tcPr>
            <w:tcW w:type="dxa" w:w="5200"/>
            <w:tcBorders>
              <w:top w:val="none" w:color="FFFFFF" w:sz="0"/>
              <w:left w:val="none" w:color="FFFFFF" w:sz="0"/>
              <w:bottom w:val="none" w:color="FFFFFF" w:sz="0"/>
              <w:right w:val="none" w:color="FFFFFF" w:sz="0"/>
            </w:tcBorders>
          </w:tcPr>
          <w:p>
            <w:r>
              <w:rPr>
                <w:color w:val="2E75B6"/>
                <w:sz w:val="20"/>
                <w:szCs w:val="20"/>
              </w:rPr>
              <w:t xml:space="preserve">█████████████████████████████████</w:t>
            </w:r>
          </w:p>
        </w:tc>
        <w:tc>
          <w:tcPr>
            <w:tcW w:type="dxa" w:w="1200"/>
            <w:tcBorders>
              <w:top w:val="none" w:color="FFFFFF" w:sz="0"/>
              <w:left w:val="none" w:color="FFFFFF" w:sz="0"/>
              <w:bottom w:val="none" w:color="FFFFFF" w:sz="0"/>
              <w:right w:val="none" w:color="FFFFFF" w:sz="0"/>
            </w:tcBorders>
          </w:tcPr>
          <w:p>
            <w:r>
              <w:rPr>
                <w:b/>
                <w:bCs/>
                <w:sz w:val="20"/>
                <w:szCs w:val="20"/>
              </w:rPr>
              <w:t xml:space="preserve"> 67.1%</w:t>
            </w:r>
          </w:p>
        </w:tc>
      </w:tr>
      <w:tr>
        <w:tc>
          <w:tcPr>
            <w:tcW w:type="dxa" w:w="2400"/>
            <w:tcBorders>
              <w:top w:val="none" w:color="FFFFFF" w:sz="0"/>
              <w:left w:val="none" w:color="FFFFFF" w:sz="0"/>
              <w:bottom w:val="none" w:color="FFFFFF" w:sz="0"/>
              <w:right w:val="none" w:color="FFFFFF" w:sz="0"/>
            </w:tcBorders>
          </w:tcPr>
          <w:p>
            <w:pPr>
              <w:jc w:val="right"/>
            </w:pPr>
            <w:r>
              <w:rPr>
                <w:sz w:val="20"/>
                <w:szCs w:val="20"/>
              </w:rPr>
              <w:t xml:space="preserve">Code Review  </w:t>
            </w:r>
          </w:p>
        </w:tc>
        <w:tc>
          <w:tcPr>
            <w:tcW w:type="dxa" w:w="5200"/>
            <w:tcBorders>
              <w:top w:val="none" w:color="FFFFFF" w:sz="0"/>
              <w:left w:val="none" w:color="FFFFFF" w:sz="0"/>
              <w:bottom w:val="none" w:color="FFFFFF" w:sz="0"/>
              <w:right w:val="none" w:color="FFFFFF" w:sz="0"/>
            </w:tcBorders>
          </w:tcPr>
          <w:p>
            <w:r>
              <w:rPr>
                <w:color w:val="2E75B6"/>
                <w:sz w:val="20"/>
                <w:szCs w:val="20"/>
              </w:rPr>
              <w:t xml:space="preserve">█████████████████████████████████</w:t>
            </w:r>
          </w:p>
        </w:tc>
        <w:tc>
          <w:tcPr>
            <w:tcW w:type="dxa" w:w="1200"/>
            <w:tcBorders>
              <w:top w:val="none" w:color="FFFFFF" w:sz="0"/>
              <w:left w:val="none" w:color="FFFFFF" w:sz="0"/>
              <w:bottom w:val="none" w:color="FFFFFF" w:sz="0"/>
              <w:right w:val="none" w:color="FFFFFF" w:sz="0"/>
            </w:tcBorders>
          </w:tcPr>
          <w:p>
            <w:r>
              <w:rPr>
                <w:b/>
                <w:bCs/>
                <w:sz w:val="20"/>
                <w:szCs w:val="20"/>
              </w:rPr>
              <w:t xml:space="preserve"> 67.1%</w:t>
            </w:r>
          </w:p>
        </w:tc>
      </w:tr>
      <w:tr>
        <w:tc>
          <w:tcPr>
            <w:tcW w:type="dxa" w:w="2400"/>
            <w:tcBorders>
              <w:top w:val="none" w:color="FFFFFF" w:sz="0"/>
              <w:left w:val="none" w:color="FFFFFF" w:sz="0"/>
              <w:bottom w:val="none" w:color="FFFFFF" w:sz="0"/>
              <w:right w:val="none" w:color="FFFFFF" w:sz="0"/>
            </w:tcBorders>
          </w:tcPr>
          <w:p>
            <w:pPr>
              <w:jc w:val="right"/>
            </w:pPr>
            <w:r>
              <w:rPr>
                <w:sz w:val="20"/>
                <w:szCs w:val="20"/>
              </w:rPr>
              <w:t xml:space="preserve">Testing/Debugging  </w:t>
            </w:r>
          </w:p>
        </w:tc>
        <w:tc>
          <w:tcPr>
            <w:tcW w:type="dxa" w:w="5200"/>
            <w:tcBorders>
              <w:top w:val="none" w:color="FFFFFF" w:sz="0"/>
              <w:left w:val="none" w:color="FFFFFF" w:sz="0"/>
              <w:bottom w:val="none" w:color="FFFFFF" w:sz="0"/>
              <w:right w:val="none" w:color="FFFFFF" w:sz="0"/>
            </w:tcBorders>
          </w:tcPr>
          <w:p>
            <w:r>
              <w:rPr>
                <w:color w:val="5B9BD5"/>
                <w:sz w:val="20"/>
                <w:szCs w:val="20"/>
              </w:rPr>
              <w:t xml:space="preserve">████████████████████████████</w:t>
            </w:r>
          </w:p>
        </w:tc>
        <w:tc>
          <w:tcPr>
            <w:tcW w:type="dxa" w:w="1200"/>
            <w:tcBorders>
              <w:top w:val="none" w:color="FFFFFF" w:sz="0"/>
              <w:left w:val="none" w:color="FFFFFF" w:sz="0"/>
              <w:bottom w:val="none" w:color="FFFFFF" w:sz="0"/>
              <w:right w:val="none" w:color="FFFFFF" w:sz="0"/>
            </w:tcBorders>
          </w:tcPr>
          <w:p>
            <w:r>
              <w:rPr>
                <w:b/>
                <w:bCs/>
                <w:sz w:val="20"/>
                <w:szCs w:val="20"/>
              </w:rPr>
              <w:t xml:space="preserve"> 55.7%</w:t>
            </w:r>
          </w:p>
        </w:tc>
      </w:tr>
      <w:tr>
        <w:tc>
          <w:tcPr>
            <w:tcW w:type="dxa" w:w="2400"/>
            <w:tcBorders>
              <w:top w:val="none" w:color="FFFFFF" w:sz="0"/>
              <w:left w:val="none" w:color="FFFFFF" w:sz="0"/>
              <w:bottom w:val="none" w:color="FFFFFF" w:sz="0"/>
              <w:right w:val="none" w:color="FFFFFF" w:sz="0"/>
            </w:tcBorders>
          </w:tcPr>
          <w:p>
            <w:pPr>
              <w:jc w:val="right"/>
            </w:pPr>
            <w:r>
              <w:rPr>
                <w:sz w:val="20"/>
                <w:szCs w:val="20"/>
              </w:rPr>
              <w:t xml:space="preserve">Planning/Design  </w:t>
            </w:r>
          </w:p>
        </w:tc>
        <w:tc>
          <w:tcPr>
            <w:tcW w:type="dxa" w:w="5200"/>
            <w:tcBorders>
              <w:top w:val="none" w:color="FFFFFF" w:sz="0"/>
              <w:left w:val="none" w:color="FFFFFF" w:sz="0"/>
              <w:bottom w:val="none" w:color="FFFFFF" w:sz="0"/>
              <w:right w:val="none" w:color="FFFFFF" w:sz="0"/>
            </w:tcBorders>
          </w:tcPr>
          <w:p>
            <w:r>
              <w:rPr>
                <w:color w:val="8FAADC"/>
                <w:sz w:val="20"/>
                <w:szCs w:val="20"/>
              </w:rPr>
              <w:t xml:space="preserve">█████████████████████</w:t>
            </w:r>
          </w:p>
        </w:tc>
        <w:tc>
          <w:tcPr>
            <w:tcW w:type="dxa" w:w="1200"/>
            <w:tcBorders>
              <w:top w:val="none" w:color="FFFFFF" w:sz="0"/>
              <w:left w:val="none" w:color="FFFFFF" w:sz="0"/>
              <w:bottom w:val="none" w:color="FFFFFF" w:sz="0"/>
              <w:right w:val="none" w:color="FFFFFF" w:sz="0"/>
            </w:tcBorders>
          </w:tcPr>
          <w:p>
            <w:r>
              <w:rPr>
                <w:b/>
                <w:bCs/>
                <w:sz w:val="20"/>
                <w:szCs w:val="20"/>
              </w:rPr>
              <w:t xml:space="preserve"> 42.3%</w:t>
            </w:r>
          </w:p>
        </w:tc>
      </w:tr>
    </w:tbl>
    <w:p>
      <w:pPr>
        <w:spacing w:before="30" w:after="150"/>
        <w:jc w:val="center"/>
      </w:pPr>
      <w:r>
        <w:rPr>
          <w:i/>
          <w:iCs/>
          <w:sz w:val="18"/>
          <w:szCs w:val="18"/>
        </w:rPr>
        <w:t xml:space="preserve">Source: Techreviewer AI in Software Development Survey 2025</w:t>
      </w:r>
    </w:p>
    <w:p>
      <w:pPr>
        <w:pStyle w:val="Heading2"/>
      </w:pPr>
      <w:r>
        <w:t xml:space="preserve">Enterprise Case Study Highlights</w:t>
      </w:r>
    </w:p>
    <w:p>
      <w:pPr>
        <w:pStyle w:val="ListParagraph"/>
        <w:numPr>
          <w:ilvl w:val="0"/>
          <w:numId w:val="2"/>
        </w:numPr>
        <w:spacing w:after="60"/>
      </w:pPr>
      <w:r>
        <w:rPr>
          <w:b/>
          <w:bCs/>
        </w:rPr>
        <w:t xml:space="preserve">ZoomInfo (400+ developers): </w:t>
      </w:r>
      <w:r>
        <w:t xml:space="preserve">33% suggestion acceptance, 72% developer satisfaction, 20% faster task completion</w:t>
      </w:r>
    </w:p>
    <w:p>
      <w:pPr>
        <w:pStyle w:val="ListParagraph"/>
        <w:numPr>
          <w:ilvl w:val="0"/>
          <w:numId w:val="2"/>
        </w:numPr>
        <w:spacing w:after="60"/>
      </w:pPr>
      <w:r>
        <w:rPr>
          <w:b/>
          <w:bCs/>
        </w:rPr>
        <w:t xml:space="preserve">Accenture Partnership: </w:t>
      </w:r>
      <w:r>
        <w:t xml:space="preserve">90% felt productive, 91% merged PRs with AI code, 43% rated tool 'extremely easy'</w:t>
      </w:r>
    </w:p>
    <w:p>
      <w:pPr>
        <w:pStyle w:val="ListParagraph"/>
        <w:numPr>
          <w:ilvl w:val="0"/>
          <w:numId w:val="2"/>
        </w:numPr>
        <w:spacing w:after="150"/>
      </w:pPr>
      <w:r>
        <w:rPr>
          <w:b/>
          <w:bCs/>
        </w:rPr>
        <w:t xml:space="preserve">Intuit GenOS: </w:t>
      </w:r>
      <w:r>
        <w:t xml:space="preserve">2-3x faster integration tasks when AI trained with company-specific code context and patterns</w:t>
      </w:r>
    </w:p>
    <w:p>
      <w:r>
        <w:br w:type="page"/>
      </w:r>
    </w:p>
    <w:p>
      <w:pPr>
        <w:pStyle w:val="Heading1"/>
      </w:pPr>
      <w:r>
        <w:t xml:space="preserve">4. Limitations &amp; Challenges</w:t>
      </w:r>
    </w:p>
    <w:p>
      <w:pPr>
        <w:pStyle w:val="ListParagraph"/>
        <w:numPr>
          <w:ilvl w:val="0"/>
          <w:numId w:val="2"/>
        </w:numPr>
        <w:spacing w:after="60"/>
      </w:pPr>
      <w:r>
        <w:rPr>
          <w:b/>
          <w:bCs/>
        </w:rPr>
        <w:t xml:space="preserve">Context dependency: </w:t>
      </w:r>
      <w:r>
        <w:t xml:space="preserve">METR 2025 study found experienced developers took </w:t>
      </w:r>
      <w:r>
        <w:rPr>
          <w:b/>
          <w:bCs/>
        </w:rPr>
        <w:t xml:space="preserve">19% longer</w:t>
      </w:r>
      <w:r>
        <w:t xml:space="preserve"> with AI on familiar codebases—opposite of expected 24% speedup</w:t>
      </w:r>
    </w:p>
    <w:p>
      <w:pPr>
        <w:pStyle w:val="ListParagraph"/>
        <w:numPr>
          <w:ilvl w:val="0"/>
          <w:numId w:val="2"/>
        </w:numPr>
        <w:spacing w:after="60"/>
      </w:pPr>
      <w:r>
        <w:rPr>
          <w:b/>
          <w:bCs/>
        </w:rPr>
        <w:t xml:space="preserve">Delivery stability: </w:t>
      </w:r>
      <w:r>
        <w:t xml:space="preserve">7.2% decrease reported in DORA 2024 with increased AI usage</w:t>
      </w:r>
    </w:p>
    <w:p>
      <w:pPr>
        <w:pStyle w:val="ListParagraph"/>
        <w:numPr>
          <w:ilvl w:val="0"/>
          <w:numId w:val="2"/>
        </w:numPr>
        <w:spacing w:after="60"/>
      </w:pPr>
      <w:r>
        <w:rPr>
          <w:b/>
          <w:bCs/>
        </w:rPr>
        <w:t xml:space="preserve">Code quality concerns: </w:t>
      </w:r>
      <w:r>
        <w:t xml:space="preserve">GitClear analysis of 153M lines found 4x increase in code duplication with AI tools</w:t>
      </w:r>
    </w:p>
    <w:p>
      <w:pPr>
        <w:pStyle w:val="ListParagraph"/>
        <w:numPr>
          <w:ilvl w:val="0"/>
          <w:numId w:val="2"/>
        </w:numPr>
        <w:spacing w:after="60"/>
      </w:pPr>
      <w:r>
        <w:rPr>
          <w:b/>
          <w:bCs/>
        </w:rPr>
        <w:t xml:space="preserve">Skill atrophy risk: </w:t>
      </w:r>
      <w:r>
        <w:t xml:space="preserve">Over-reliance may reduce critical thinking; junior developers accepting &gt;50% suggestions need mentoring</w:t>
      </w:r>
    </w:p>
    <w:p>
      <w:pPr>
        <w:pStyle w:val="ListParagraph"/>
        <w:numPr>
          <w:ilvl w:val="0"/>
          <w:numId w:val="2"/>
        </w:numPr>
        <w:spacing w:after="150"/>
      </w:pPr>
      <w:r>
        <w:rPr>
          <w:b/>
          <w:bCs/>
        </w:rPr>
        <w:t xml:space="preserve">Perception gap: </w:t>
      </w:r>
      <w:r>
        <w:t xml:space="preserve">Developers perceived 20% speedup despite actual 19% slowdown in METR study—subjective benefits may differ from objective metrics</w:t>
      </w:r>
    </w:p>
    <w:p>
      <w:pPr>
        <w:pStyle w:val="Heading1"/>
      </w:pPr>
      <w:r>
        <w:t xml:space="preserve">5. Conclusion</w:t>
      </w:r>
    </w:p>
    <w:p>
      <w:pPr>
        <w:spacing w:after="120"/>
        <w:jc w:val="both"/>
      </w:pPr>
      <w:r>
        <w:t xml:space="preserve">Empirical evidence from randomized controlled trials and large-scale industry surveys demonstrates that AI tools deliver measurable productivity improvements across the software development lifecycle. The key findings are:</w:t>
      </w:r>
    </w:p>
    <w:p>
      <w:pPr>
        <w:pStyle w:val="ListParagraph"/>
        <w:numPr>
          <w:ilvl w:val="0"/>
          <w:numId w:val="2"/>
        </w:numPr>
        <w:spacing w:after="60"/>
      </w:pPr>
      <w:r>
        <w:rPr>
          <w:b/>
          <w:bCs/>
        </w:rPr>
        <w:t xml:space="preserve">Efficiency gains range from 7.5% to 55.8%</w:t>
      </w:r>
      <w:r>
        <w:t xml:space="preserve"> depending on task type, with code generation showing highest impact (21-55.8%)</w:t>
      </w:r>
    </w:p>
    <w:p>
      <w:pPr>
        <w:pStyle w:val="ListParagraph"/>
        <w:numPr>
          <w:ilvl w:val="0"/>
          <w:numId w:val="2"/>
        </w:numPr>
        <w:spacing w:after="60"/>
      </w:pPr>
      <w:r>
        <w:rPr>
          <w:b/>
          <w:bCs/>
        </w:rPr>
        <w:t xml:space="preserve">82.3% of organizations achieved ≥20% productivity improvement</w:t>
      </w:r>
      <w:r>
        <w:t xml:space="preserve">, with 24.1% exceeding 50% gains</w:t>
      </w:r>
    </w:p>
    <w:p>
      <w:pPr>
        <w:pStyle w:val="ListParagraph"/>
        <w:numPr>
          <w:ilvl w:val="0"/>
          <w:numId w:val="2"/>
        </w:numPr>
        <w:spacing w:after="60"/>
      </w:pPr>
      <w:r>
        <w:rPr>
          <w:b/>
          <w:bCs/>
        </w:rPr>
        <w:t xml:space="preserve">Context significantly affects outcomes</w:t>
      </w:r>
      <w:r>
        <w:t xml:space="preserve">—gains highest for routine tasks and developers learning new codebases</w:t>
      </w:r>
    </w:p>
    <w:p>
      <w:pPr>
        <w:pStyle w:val="ListParagraph"/>
        <w:numPr>
          <w:ilvl w:val="0"/>
          <w:numId w:val="2"/>
        </w:numPr>
        <w:spacing w:after="60"/>
      </w:pPr>
      <w:r>
        <w:rPr>
          <w:b/>
          <w:bCs/>
        </w:rPr>
        <w:t xml:space="preserve">Experienced developers on familiar systems may not benefit</w:t>
      </w:r>
      <w:r>
        <w:t xml:space="preserve"> and may experience slowdowns</w:t>
      </w:r>
    </w:p>
    <w:p>
      <w:pPr>
        <w:pStyle w:val="ListParagraph"/>
        <w:numPr>
          <w:ilvl w:val="0"/>
          <w:numId w:val="2"/>
        </w:numPr>
        <w:spacing w:after="120"/>
      </w:pPr>
      <w:r>
        <w:rPr>
          <w:b/>
          <w:bCs/>
        </w:rPr>
        <w:t xml:space="preserve">76.5% of organizations expect significant continued AI growth</w:t>
      </w:r>
      <w:r>
        <w:t xml:space="preserve"> in software development</w:t>
      </w:r>
    </w:p>
    <w:p>
      <w:pPr>
        <w:spacing w:after="150"/>
        <w:jc w:val="both"/>
      </w:pPr>
      <w:r>
        <w:t xml:space="preserve">Organizations should adopt AI tools thoughtfully, focusing on use cases with proven effectiveness while implementing appropriate quality guardrails. The most successful deployments combine AI assistance with human oversight, contextual training, and ongoing measurement of both productivity and code quality metrics.</w:t>
      </w:r>
    </w:p>
    <w:p>
      <w:r>
        <w:br w:type="page"/>
      </w:r>
    </w:p>
    <w:p>
      <w:pPr>
        <w:pStyle w:val="Heading1"/>
      </w:pPr>
      <w:r>
        <w:t xml:space="preserve">References</w:t>
      </w:r>
    </w:p>
    <w:p>
      <w:pPr>
        <w:pStyle w:val="ListParagraph"/>
        <w:numPr>
          <w:ilvl w:val="0"/>
          <w:numId w:val="3"/>
        </w:numPr>
        <w:spacing w:after="100"/>
      </w:pPr>
      <w:r>
        <w:rPr>
          <w:sz w:val="21"/>
          <w:szCs w:val="21"/>
        </w:rPr>
        <w:t xml:space="preserve">Peng, S., Kalliamvakou, E., Cihon, P., &amp; Demirer, M. (2023). The Impact of AI on Developer Productivity: Evidence from GitHub Copilot. arXiv:2302.06590.</w:t>
      </w:r>
    </w:p>
    <w:p>
      <w:pPr>
        <w:pStyle w:val="ListParagraph"/>
        <w:numPr>
          <w:ilvl w:val="0"/>
          <w:numId w:val="3"/>
        </w:numPr>
        <w:spacing w:after="100"/>
      </w:pPr>
      <w:r>
        <w:rPr>
          <w:sz w:val="21"/>
          <w:szCs w:val="21"/>
        </w:rPr>
        <w:t xml:space="preserve">Google Research. (2024). How Much Does AI Impact Development Speed? An Enterprise-Based Randomized Controlled Trial. IEEE Conference Publication.</w:t>
      </w:r>
    </w:p>
    <w:p>
      <w:pPr>
        <w:pStyle w:val="ListParagraph"/>
        <w:numPr>
          <w:ilvl w:val="0"/>
          <w:numId w:val="3"/>
        </w:numPr>
        <w:spacing w:after="100"/>
      </w:pPr>
      <w:r>
        <w:rPr>
          <w:sz w:val="21"/>
          <w:szCs w:val="21"/>
        </w:rPr>
        <w:t xml:space="preserve">Ziegler, A., et al. (2024). Measuring GitHub Copilot's Impact on Productivity. Communications of the ACM, 67(5).</w:t>
      </w:r>
    </w:p>
    <w:p>
      <w:pPr>
        <w:pStyle w:val="ListParagraph"/>
        <w:numPr>
          <w:ilvl w:val="0"/>
          <w:numId w:val="3"/>
        </w:numPr>
        <w:spacing w:after="100"/>
      </w:pPr>
      <w:r>
        <w:rPr>
          <w:sz w:val="21"/>
          <w:szCs w:val="21"/>
        </w:rPr>
        <w:t xml:space="preserve">DORA. (2024). Accelerate State of DevOps Report: The Impact of Generative AI. Google Cloud.</w:t>
      </w:r>
    </w:p>
    <w:p>
      <w:pPr>
        <w:pStyle w:val="ListParagraph"/>
        <w:numPr>
          <w:ilvl w:val="0"/>
          <w:numId w:val="3"/>
        </w:numPr>
        <w:spacing w:after="100"/>
      </w:pPr>
      <w:r>
        <w:rPr>
          <w:sz w:val="21"/>
          <w:szCs w:val="21"/>
        </w:rPr>
        <w:t xml:space="preserve">Techreviewer. (2025). AI in Software Development: From Exploration to Accountability – A Global Survey Analysis.</w:t>
      </w:r>
    </w:p>
    <w:p>
      <w:pPr>
        <w:pStyle w:val="ListParagraph"/>
        <w:numPr>
          <w:ilvl w:val="0"/>
          <w:numId w:val="3"/>
        </w:numPr>
        <w:spacing w:after="100"/>
      </w:pPr>
      <w:r>
        <w:rPr>
          <w:sz w:val="21"/>
          <w:szCs w:val="21"/>
        </w:rPr>
        <w:t xml:space="preserve">GitHub. (2024). Research: Quantifying GitHub Copilot's Impact in the Enterprise with Accenture. GitHub Blog.</w:t>
      </w:r>
    </w:p>
    <w:p>
      <w:pPr>
        <w:pStyle w:val="ListParagraph"/>
        <w:numPr>
          <w:ilvl w:val="0"/>
          <w:numId w:val="3"/>
        </w:numPr>
        <w:spacing w:after="100"/>
      </w:pPr>
      <w:r>
        <w:rPr>
          <w:sz w:val="21"/>
          <w:szCs w:val="21"/>
        </w:rPr>
        <w:t xml:space="preserve">METR. (2025). Measuring the Impact of Early-2025 AI on Experienced Open-Source Developer Productivity.</w:t>
      </w:r>
    </w:p>
    <w:p>
      <w:pPr>
        <w:pStyle w:val="ListParagraph"/>
        <w:numPr>
          <w:ilvl w:val="0"/>
          <w:numId w:val="3"/>
        </w:numPr>
        <w:spacing w:after="100"/>
      </w:pPr>
      <w:r>
        <w:rPr>
          <w:sz w:val="21"/>
          <w:szCs w:val="21"/>
        </w:rPr>
        <w:t xml:space="preserve">ZoomInfo. (2025). Experience with GitHub Copilot for Developer Productivity. arXiv:2501.13282.</w:t>
      </w:r>
    </w:p>
    <w:p>
      <w:pPr>
        <w:pStyle w:val="ListParagraph"/>
        <w:numPr>
          <w:ilvl w:val="0"/>
          <w:numId w:val="3"/>
        </w:numPr>
        <w:spacing w:after="100"/>
      </w:pPr>
      <w:r>
        <w:rPr>
          <w:sz w:val="21"/>
          <w:szCs w:val="21"/>
        </w:rPr>
        <w:t xml:space="preserve">Bain &amp; Company. (2024). Beyond Code Generation: More Efficient Software Development. Technology Report.</w:t>
      </w:r>
    </w:p>
    <w:p>
      <w:pPr>
        <w:pStyle w:val="ListParagraph"/>
        <w:numPr>
          <w:ilvl w:val="0"/>
          <w:numId w:val="3"/>
        </w:numPr>
        <w:spacing w:after="100"/>
      </w:pPr>
      <w:r>
        <w:rPr>
          <w:sz w:val="21"/>
          <w:szCs w:val="21"/>
        </w:rPr>
        <w:t xml:space="preserve">Meyer, A.N., et al. (2019). Today was a Good Day: The Daily Life of Software Developers. IEEE Transactions on Software Engineering.</w:t>
      </w:r>
    </w:p>
    <w:p>
      <w:pPr>
        <w:pStyle w:val="ListParagraph"/>
        <w:numPr>
          <w:ilvl w:val="0"/>
          <w:numId w:val="3"/>
        </w:numPr>
        <w:spacing w:after="100"/>
      </w:pPr>
      <w:r>
        <w:rPr>
          <w:sz w:val="21"/>
          <w:szCs w:val="21"/>
        </w:rPr>
        <w:t xml:space="preserve">GitClear. (2024). AI Code Quality Analysis: 153 Million Lines of Code Analyzed.</w:t>
      </w:r>
    </w:p>
    <w:p>
      <w:pPr>
        <w:pStyle w:val="ListParagraph"/>
        <w:numPr>
          <w:ilvl w:val="0"/>
          <w:numId w:val="3"/>
        </w:numPr>
        <w:spacing w:after="100"/>
      </w:pPr>
      <w:r>
        <w:rPr>
          <w:sz w:val="21"/>
          <w:szCs w:val="21"/>
        </w:rPr>
        <w:t xml:space="preserve">LinearB. (2025). AI in Software Development: The Complete Guide to Tools, Productivity &amp; Real ROI.</w:t>
      </w:r>
    </w:p>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AI Impact on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000000"/>
      <w:sz w:val="36"/>
      <w:szCs w:val="36"/>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2025-11-25T22:25:05.699Z</dcterms:created>
  <dcterms:modified xsi:type="dcterms:W3CDTF">2025-11-25T22:25:05.700Z</dcterms:modified>
</cp:coreProperties>
</file>

<file path=docProps/custom.xml><?xml version="1.0" encoding="utf-8"?>
<Properties xmlns="http://schemas.openxmlformats.org/officeDocument/2006/custom-properties" xmlns:vt="http://schemas.openxmlformats.org/officeDocument/2006/docPropsVTypes"/>
</file>