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Impact of Artificial Intelligence on Daily Software Engineering Tasks</w:t>
      </w:r>
    </w:p>
    <w:p>
      <w:pPr>
        <w:spacing w:after="120"/>
        <w:jc w:val="center"/>
      </w:pPr>
      <w:r>
        <w:rPr>
          <w:i/>
          <w:iCs/>
          <w:sz w:val="24"/>
          <w:szCs w:val="24"/>
        </w:rPr>
        <w:t xml:space="preserve">A Comprehensive Analysis Based on IEEE and Industry Research</w:t>
      </w:r>
    </w:p>
    <w:p>
      <w:pPr>
        <w:spacing w:after="480"/>
        <w:jc w:val="center"/>
      </w:pPr>
      <w:r>
        <w:rPr>
          <w:sz w:val="22"/>
          <w:szCs w:val="22"/>
        </w:rPr>
        <w:t xml:space="preserve">November 2025</w:t>
      </w:r>
    </w:p>
    <w:p>
      <w:pPr>
        <w:pStyle w:val="Heading1"/>
      </w:pPr>
      <w:r>
        <w:t xml:space="preserve">Abstract</w:t>
      </w:r>
    </w:p>
    <w:p>
      <w:pPr>
        <w:spacing w:after="200"/>
      </w:pPr>
      <w:r>
        <w:t xml:space="preserve">This paper examines the quantitative impact of Artificial Intelligence (AI) tools on software engineering tasks based on empirical research from IEEE publications, ACM journals, and major industry studies. Software engineers typically allocate their time across various activities including code writing, code review, testing, debugging, documentation, and meetings. The integration of AI-powered tools such as GitHub Copilot, ChatGPT, and specialized testing platforms has demonstrated measurable productivity improvements across these activities. According to randomized controlled trials conducted at Google and Microsoft, AI tools have shown productivity gains ranging from 21% to 55.8% for specific development tasks. The 2025 industry survey reveals that 92.4% of organizations report positive software development lifecycle effects, with 82.3% achieving at least 20% productivity gains. However, effectiveness varies significantly based on task complexity, developer experience, and organizational context. This paper synthesizes findings from multiple peer-reviewed studies to provide a comprehensive quantification of AI's impact across the software engineering workflow, offering insights for practitioners and researchers in the field.</w:t>
      </w:r>
    </w:p>
    <w:p>
      <w:r>
        <w:br w:type="page"/>
      </w:r>
    </w:p>
    <w:p>
      <w:pPr>
        <w:pStyle w:val="Heading1"/>
      </w:pPr>
      <w:r>
        <w:t xml:space="preserve">1. Introduction</w:t>
      </w:r>
    </w:p>
    <w:p>
      <w:pPr>
        <w:spacing w:after="200"/>
      </w:pPr>
      <w:r>
        <w:t xml:space="preserve">The integration of Artificial Intelligence into software development represents a paradigm shift in how development teams think and implement technical solutions. Since GitHub Copilot's launch in 2021, AI-powered coding assistants have evolved from simple autocompletion features to sophisticated tools capable of generating complete test automation scripts, identifying failures, and interpreting user stories to generate test cases. According to Gartner forecasts, AI code assistants will reach 75% adoption among enterprise software engineers by 2028, up from less than 10% in early 2023.</w:t>
      </w:r>
    </w:p>
    <w:p>
      <w:pPr>
        <w:spacing w:after="200"/>
      </w:pPr>
      <w:r>
        <w:t xml:space="preserve">Understanding how software engineers allocate their time is essential for quantifying AI's impact. Research involving over 5,000 professional developers at Microsoft and surveys of 1,100 global developers reveals that software engineers typically spend only 39% of their time writing or improving code. The remaining 61% is devoted to operational tasks, code maintenance, testing, debugging, meetings, and documentation. This distribution of activities presents multiple opportunities for AI augmentation.</w:t>
      </w:r>
    </w:p>
    <w:p>
      <w:pPr>
        <w:pStyle w:val="Heading1"/>
      </w:pPr>
      <w:r>
        <w:t xml:space="preserve">2. Daily Software Engineering Activities</w:t>
      </w:r>
    </w:p>
    <w:p>
      <w:pPr>
        <w:spacing w:after="200"/>
      </w:pPr>
      <w:r>
        <w:t xml:space="preserve">A comprehensive analysis of developer workdays identifies 16 key activities that comprise a developer's workweek. Studies from Microsoft Research and DX surveys reveal significant patterns in how developers allocate their time versus how they would ideally spend it.</w:t>
      </w:r>
    </w:p>
    <w:p>
      <w:pPr>
        <w:pStyle w:val="Heading2"/>
      </w:pPr>
      <w:r>
        <w:t xml:space="preserve">2.1 Time Allocation Analysis</w:t>
      </w:r>
    </w:p>
    <w:p>
      <w:pPr>
        <w:spacing w:before="200" w:after="100"/>
      </w:pPr>
      <w:r>
        <w:rPr>
          <w:b/>
          <w:bCs/>
        </w:rPr>
        <w:t xml:space="preserve">Table 1: Typical Daily Time Allocation for Software Engineers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Activity Category</w:t>
            </w:r>
          </w:p>
        </w:tc>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 of Time</w:t>
            </w:r>
          </w:p>
        </w:tc>
        <w:tc>
          <w:tcPr>
            <w:tcW w:type="dxa" w:w="386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Daily Hours (8-hr day)</w:t>
            </w:r>
          </w:p>
        </w:tc>
      </w:tr>
      <w:tr>
        <w:tc>
          <w:tcPr>
            <w:tcW w:type="dxa" w:w="3500"/>
            <w:tcBorders>
              <w:top w:val="single" w:color="CCCCCC" w:sz="1"/>
              <w:left w:val="single" w:color="CCCCCC" w:sz="1"/>
              <w:bottom w:val="single" w:color="CCCCCC" w:sz="1"/>
              <w:right w:val="single" w:color="CCCCCC" w:sz="1"/>
            </w:tcBorders>
          </w:tcPr>
          <w:p>
            <w:r>
              <w:t xml:space="preserve">Writing New Code</w:t>
            </w:r>
          </w:p>
        </w:tc>
        <w:tc>
          <w:tcPr>
            <w:tcW w:type="dxa" w:w="2000"/>
            <w:tcBorders>
              <w:top w:val="single" w:color="CCCCCC" w:sz="1"/>
              <w:left w:val="single" w:color="CCCCCC" w:sz="1"/>
              <w:bottom w:val="single" w:color="CCCCCC" w:sz="1"/>
              <w:right w:val="single" w:color="CCCCCC" w:sz="1"/>
            </w:tcBorders>
          </w:tcPr>
          <w:p>
            <w:pPr>
              <w:jc w:val="center"/>
            </w:pPr>
            <w:r>
              <w:t xml:space="preserve">22%</w:t>
            </w:r>
          </w:p>
        </w:tc>
        <w:tc>
          <w:tcPr>
            <w:tcW w:type="dxa" w:w="3860"/>
            <w:tcBorders>
              <w:top w:val="single" w:color="CCCCCC" w:sz="1"/>
              <w:left w:val="single" w:color="CCCCCC" w:sz="1"/>
              <w:bottom w:val="single" w:color="CCCCCC" w:sz="1"/>
              <w:right w:val="single" w:color="CCCCCC" w:sz="1"/>
            </w:tcBorders>
          </w:tcPr>
          <w:p>
            <w:pPr>
              <w:jc w:val="center"/>
            </w:pPr>
            <w:r>
              <w:t xml:space="preserve">1.8 hours</w:t>
            </w:r>
          </w:p>
        </w:tc>
      </w:tr>
      <w:tr>
        <w:tc>
          <w:tcPr>
            <w:tcW w:type="dxa" w:w="3500"/>
            <w:tcBorders>
              <w:top w:val="single" w:color="CCCCCC" w:sz="1"/>
              <w:left w:val="single" w:color="CCCCCC" w:sz="1"/>
              <w:bottom w:val="single" w:color="CCCCCC" w:sz="1"/>
              <w:right w:val="single" w:color="CCCCCC" w:sz="1"/>
            </w:tcBorders>
            <w:shd w:fill="F2F2F2" w:val="clear"/>
          </w:tcPr>
          <w:p>
            <w:r>
              <w:t xml:space="preserve">Code Maintenance/Refactoring</w:t>
            </w:r>
          </w:p>
        </w:tc>
        <w:tc>
          <w:tcPr>
            <w:tcW w:type="dxa" w:w="2000"/>
            <w:tcBorders>
              <w:top w:val="single" w:color="CCCCCC" w:sz="1"/>
              <w:left w:val="single" w:color="CCCCCC" w:sz="1"/>
              <w:bottom w:val="single" w:color="CCCCCC" w:sz="1"/>
              <w:right w:val="single" w:color="CCCCCC" w:sz="1"/>
            </w:tcBorders>
            <w:shd w:fill="F2F2F2" w:val="clear"/>
          </w:tcPr>
          <w:p>
            <w:pPr>
              <w:jc w:val="center"/>
            </w:pPr>
            <w:r>
              <w:t xml:space="preserve">19%</w:t>
            </w:r>
          </w:p>
        </w:tc>
        <w:tc>
          <w:tcPr>
            <w:tcW w:type="dxa" w:w="3860"/>
            <w:tcBorders>
              <w:top w:val="single" w:color="CCCCCC" w:sz="1"/>
              <w:left w:val="single" w:color="CCCCCC" w:sz="1"/>
              <w:bottom w:val="single" w:color="CCCCCC" w:sz="1"/>
              <w:right w:val="single" w:color="CCCCCC" w:sz="1"/>
            </w:tcBorders>
            <w:shd w:fill="F2F2F2" w:val="clear"/>
          </w:tcPr>
          <w:p>
            <w:pPr>
              <w:jc w:val="center"/>
            </w:pPr>
            <w:r>
              <w:t xml:space="preserve">1.5 hours</w:t>
            </w:r>
          </w:p>
        </w:tc>
      </w:tr>
      <w:tr>
        <w:tc>
          <w:tcPr>
            <w:tcW w:type="dxa" w:w="3500"/>
            <w:tcBorders>
              <w:top w:val="single" w:color="CCCCCC" w:sz="1"/>
              <w:left w:val="single" w:color="CCCCCC" w:sz="1"/>
              <w:bottom w:val="single" w:color="CCCCCC" w:sz="1"/>
              <w:right w:val="single" w:color="CCCCCC" w:sz="1"/>
            </w:tcBorders>
          </w:tcPr>
          <w:p>
            <w:r>
              <w:t xml:space="preserve">Code Review</w:t>
            </w:r>
          </w:p>
        </w:tc>
        <w:tc>
          <w:tcPr>
            <w:tcW w:type="dxa" w:w="2000"/>
            <w:tcBorders>
              <w:top w:val="single" w:color="CCCCCC" w:sz="1"/>
              <w:left w:val="single" w:color="CCCCCC" w:sz="1"/>
              <w:bottom w:val="single" w:color="CCCCCC" w:sz="1"/>
              <w:right w:val="single" w:color="CCCCCC" w:sz="1"/>
            </w:tcBorders>
          </w:tcPr>
          <w:p>
            <w:pPr>
              <w:jc w:val="center"/>
            </w:pPr>
            <w:r>
              <w:t xml:space="preserve">12%</w:t>
            </w:r>
          </w:p>
        </w:tc>
        <w:tc>
          <w:tcPr>
            <w:tcW w:type="dxa" w:w="3860"/>
            <w:tcBorders>
              <w:top w:val="single" w:color="CCCCCC" w:sz="1"/>
              <w:left w:val="single" w:color="CCCCCC" w:sz="1"/>
              <w:bottom w:val="single" w:color="CCCCCC" w:sz="1"/>
              <w:right w:val="single" w:color="CCCCCC" w:sz="1"/>
            </w:tcBorders>
          </w:tcPr>
          <w:p>
            <w:pPr>
              <w:jc w:val="center"/>
            </w:pPr>
            <w:r>
              <w:t xml:space="preserve">1.0 hour</w:t>
            </w:r>
          </w:p>
        </w:tc>
      </w:tr>
      <w:tr>
        <w:tc>
          <w:tcPr>
            <w:tcW w:type="dxa" w:w="3500"/>
            <w:tcBorders>
              <w:top w:val="single" w:color="CCCCCC" w:sz="1"/>
              <w:left w:val="single" w:color="CCCCCC" w:sz="1"/>
              <w:bottom w:val="single" w:color="CCCCCC" w:sz="1"/>
              <w:right w:val="single" w:color="CCCCCC" w:sz="1"/>
            </w:tcBorders>
            <w:shd w:fill="F2F2F2" w:val="clear"/>
          </w:tcPr>
          <w:p>
            <w:r>
              <w:t xml:space="preserve">Testing &amp; QA</w:t>
            </w:r>
          </w:p>
        </w:tc>
        <w:tc>
          <w:tcPr>
            <w:tcW w:type="dxa" w:w="2000"/>
            <w:tcBorders>
              <w:top w:val="single" w:color="CCCCCC" w:sz="1"/>
              <w:left w:val="single" w:color="CCCCCC" w:sz="1"/>
              <w:bottom w:val="single" w:color="CCCCCC" w:sz="1"/>
              <w:right w:val="single" w:color="CCCCCC" w:sz="1"/>
            </w:tcBorders>
            <w:shd w:fill="F2F2F2" w:val="clear"/>
          </w:tcPr>
          <w:p>
            <w:pPr>
              <w:jc w:val="center"/>
            </w:pPr>
            <w:r>
              <w:t xml:space="preserve">12%</w:t>
            </w:r>
          </w:p>
        </w:tc>
        <w:tc>
          <w:tcPr>
            <w:tcW w:type="dxa" w:w="3860"/>
            <w:tcBorders>
              <w:top w:val="single" w:color="CCCCCC" w:sz="1"/>
              <w:left w:val="single" w:color="CCCCCC" w:sz="1"/>
              <w:bottom w:val="single" w:color="CCCCCC" w:sz="1"/>
              <w:right w:val="single" w:color="CCCCCC" w:sz="1"/>
            </w:tcBorders>
            <w:shd w:fill="F2F2F2" w:val="clear"/>
          </w:tcPr>
          <w:p>
            <w:pPr>
              <w:jc w:val="center"/>
            </w:pPr>
            <w:r>
              <w:t xml:space="preserve">1.0 hour</w:t>
            </w:r>
          </w:p>
        </w:tc>
      </w:tr>
      <w:tr>
        <w:tc>
          <w:tcPr>
            <w:tcW w:type="dxa" w:w="3500"/>
            <w:tcBorders>
              <w:top w:val="single" w:color="CCCCCC" w:sz="1"/>
              <w:left w:val="single" w:color="CCCCCC" w:sz="1"/>
              <w:bottom w:val="single" w:color="CCCCCC" w:sz="1"/>
              <w:right w:val="single" w:color="CCCCCC" w:sz="1"/>
            </w:tcBorders>
          </w:tcPr>
          <w:p>
            <w:r>
              <w:t xml:space="preserve">Debugging</w:t>
            </w:r>
          </w:p>
        </w:tc>
        <w:tc>
          <w:tcPr>
            <w:tcW w:type="dxa" w:w="2000"/>
            <w:tcBorders>
              <w:top w:val="single" w:color="CCCCCC" w:sz="1"/>
              <w:left w:val="single" w:color="CCCCCC" w:sz="1"/>
              <w:bottom w:val="single" w:color="CCCCCC" w:sz="1"/>
              <w:right w:val="single" w:color="CCCCCC" w:sz="1"/>
            </w:tcBorders>
          </w:tcPr>
          <w:p>
            <w:pPr>
              <w:jc w:val="center"/>
            </w:pPr>
            <w:r>
              <w:t xml:space="preserve">10%</w:t>
            </w:r>
          </w:p>
        </w:tc>
        <w:tc>
          <w:tcPr>
            <w:tcW w:type="dxa" w:w="3860"/>
            <w:tcBorders>
              <w:top w:val="single" w:color="CCCCCC" w:sz="1"/>
              <w:left w:val="single" w:color="CCCCCC" w:sz="1"/>
              <w:bottom w:val="single" w:color="CCCCCC" w:sz="1"/>
              <w:right w:val="single" w:color="CCCCCC" w:sz="1"/>
            </w:tcBorders>
          </w:tcPr>
          <w:p>
            <w:pPr>
              <w:jc w:val="center"/>
            </w:pPr>
            <w:r>
              <w:t xml:space="preserve">0.8 hours</w:t>
            </w:r>
          </w:p>
        </w:tc>
      </w:tr>
      <w:tr>
        <w:tc>
          <w:tcPr>
            <w:tcW w:type="dxa" w:w="3500"/>
            <w:tcBorders>
              <w:top w:val="single" w:color="CCCCCC" w:sz="1"/>
              <w:left w:val="single" w:color="CCCCCC" w:sz="1"/>
              <w:bottom w:val="single" w:color="CCCCCC" w:sz="1"/>
              <w:right w:val="single" w:color="CCCCCC" w:sz="1"/>
            </w:tcBorders>
            <w:shd w:fill="F2F2F2" w:val="clear"/>
          </w:tcPr>
          <w:p>
            <w:r>
              <w:t xml:space="preserve">Meetings &amp; Communication</w:t>
            </w:r>
          </w:p>
        </w:tc>
        <w:tc>
          <w:tcPr>
            <w:tcW w:type="dxa" w:w="2000"/>
            <w:tcBorders>
              <w:top w:val="single" w:color="CCCCCC" w:sz="1"/>
              <w:left w:val="single" w:color="CCCCCC" w:sz="1"/>
              <w:bottom w:val="single" w:color="CCCCCC" w:sz="1"/>
              <w:right w:val="single" w:color="CCCCCC" w:sz="1"/>
            </w:tcBorders>
            <w:shd w:fill="F2F2F2" w:val="clear"/>
          </w:tcPr>
          <w:p>
            <w:pPr>
              <w:jc w:val="center"/>
            </w:pPr>
            <w:r>
              <w:t xml:space="preserve">15%</w:t>
            </w:r>
          </w:p>
        </w:tc>
        <w:tc>
          <w:tcPr>
            <w:tcW w:type="dxa" w:w="3860"/>
            <w:tcBorders>
              <w:top w:val="single" w:color="CCCCCC" w:sz="1"/>
              <w:left w:val="single" w:color="CCCCCC" w:sz="1"/>
              <w:bottom w:val="single" w:color="CCCCCC" w:sz="1"/>
              <w:right w:val="single" w:color="CCCCCC" w:sz="1"/>
            </w:tcBorders>
            <w:shd w:fill="F2F2F2" w:val="clear"/>
          </w:tcPr>
          <w:p>
            <w:pPr>
              <w:jc w:val="center"/>
            </w:pPr>
            <w:r>
              <w:t xml:space="preserve">1.2 hours</w:t>
            </w:r>
          </w:p>
        </w:tc>
      </w:tr>
      <w:tr>
        <w:tc>
          <w:tcPr>
            <w:tcW w:type="dxa" w:w="3500"/>
            <w:tcBorders>
              <w:top w:val="single" w:color="CCCCCC" w:sz="1"/>
              <w:left w:val="single" w:color="CCCCCC" w:sz="1"/>
              <w:bottom w:val="single" w:color="CCCCCC" w:sz="1"/>
              <w:right w:val="single" w:color="CCCCCC" w:sz="1"/>
            </w:tcBorders>
          </w:tcPr>
          <w:p>
            <w:r>
              <w:t xml:space="preserve">Documentation</w:t>
            </w:r>
          </w:p>
        </w:tc>
        <w:tc>
          <w:tcPr>
            <w:tcW w:type="dxa" w:w="2000"/>
            <w:tcBorders>
              <w:top w:val="single" w:color="CCCCCC" w:sz="1"/>
              <w:left w:val="single" w:color="CCCCCC" w:sz="1"/>
              <w:bottom w:val="single" w:color="CCCCCC" w:sz="1"/>
              <w:right w:val="single" w:color="CCCCCC" w:sz="1"/>
            </w:tcBorders>
          </w:tcPr>
          <w:p>
            <w:pPr>
              <w:jc w:val="center"/>
            </w:pPr>
            <w:r>
              <w:t xml:space="preserve">6%</w:t>
            </w:r>
          </w:p>
        </w:tc>
        <w:tc>
          <w:tcPr>
            <w:tcW w:type="dxa" w:w="3860"/>
            <w:tcBorders>
              <w:top w:val="single" w:color="CCCCCC" w:sz="1"/>
              <w:left w:val="single" w:color="CCCCCC" w:sz="1"/>
              <w:bottom w:val="single" w:color="CCCCCC" w:sz="1"/>
              <w:right w:val="single" w:color="CCCCCC" w:sz="1"/>
            </w:tcBorders>
          </w:tcPr>
          <w:p>
            <w:pPr>
              <w:jc w:val="center"/>
            </w:pPr>
            <w:r>
              <w:t xml:space="preserve">0.5 hours</w:t>
            </w:r>
          </w:p>
        </w:tc>
      </w:tr>
      <w:tr>
        <w:tc>
          <w:tcPr>
            <w:tcW w:type="dxa" w:w="3500"/>
            <w:tcBorders>
              <w:top w:val="single" w:color="CCCCCC" w:sz="1"/>
              <w:left w:val="single" w:color="CCCCCC" w:sz="1"/>
              <w:bottom w:val="single" w:color="CCCCCC" w:sz="1"/>
              <w:right w:val="single" w:color="CCCCCC" w:sz="1"/>
            </w:tcBorders>
            <w:shd w:fill="F2F2F2" w:val="clear"/>
          </w:tcPr>
          <w:p>
            <w:r>
              <w:t xml:space="preserve">Security &amp; Compliance</w:t>
            </w:r>
          </w:p>
        </w:tc>
        <w:tc>
          <w:tcPr>
            <w:tcW w:type="dxa" w:w="2000"/>
            <w:tcBorders>
              <w:top w:val="single" w:color="CCCCCC" w:sz="1"/>
              <w:left w:val="single" w:color="CCCCCC" w:sz="1"/>
              <w:bottom w:val="single" w:color="CCCCCC" w:sz="1"/>
              <w:right w:val="single" w:color="CCCCCC" w:sz="1"/>
            </w:tcBorders>
            <w:shd w:fill="F2F2F2" w:val="clear"/>
          </w:tcPr>
          <w:p>
            <w:pPr>
              <w:jc w:val="center"/>
            </w:pPr>
            <w:r>
              <w:t xml:space="preserve">4%</w:t>
            </w:r>
          </w:p>
        </w:tc>
        <w:tc>
          <w:tcPr>
            <w:tcW w:type="dxa" w:w="3860"/>
            <w:tcBorders>
              <w:top w:val="single" w:color="CCCCCC" w:sz="1"/>
              <w:left w:val="single" w:color="CCCCCC" w:sz="1"/>
              <w:bottom w:val="single" w:color="CCCCCC" w:sz="1"/>
              <w:right w:val="single" w:color="CCCCCC" w:sz="1"/>
            </w:tcBorders>
            <w:shd w:fill="F2F2F2" w:val="clear"/>
          </w:tcPr>
          <w:p>
            <w:pPr>
              <w:jc w:val="center"/>
            </w:pPr>
            <w:r>
              <w:t xml:space="preserve">0.3 hours</w:t>
            </w:r>
          </w:p>
        </w:tc>
      </w:tr>
    </w:tbl>
    <w:p>
      <w:pPr>
        <w:spacing w:before="100" w:after="300"/>
      </w:pPr>
      <w:r>
        <w:rPr>
          <w:i/>
          <w:iCs/>
          <w:sz w:val="20"/>
          <w:szCs w:val="20"/>
        </w:rPr>
        <w:t xml:space="preserve">Source: Microsoft Research, DX Developer Surveys 2024-2025</w:t>
      </w:r>
    </w:p>
    <w:p>
      <w:r>
        <w:br w:type="page"/>
      </w:r>
    </w:p>
    <w:p>
      <w:pPr>
        <w:pStyle w:val="Heading1"/>
      </w:pPr>
      <w:r>
        <w:t xml:space="preserve">3. Quantifying AI Impact by Activity</w:t>
      </w:r>
    </w:p>
    <w:p>
      <w:pPr>
        <w:spacing w:after="200"/>
      </w:pPr>
      <w:r>
        <w:t xml:space="preserve">Multiple peer-reviewed studies and industry research provide empirical data on AI's productivity impact across different software engineering activities. The following analysis synthesizes findings from IEEE publications, ACM journals, and major technology companies including Google, Microsoft, and GitHub.</w:t>
      </w:r>
    </w:p>
    <w:p>
      <w:pPr>
        <w:pStyle w:val="Heading2"/>
      </w:pPr>
      <w:r>
        <w:t xml:space="preserve">3.1 Code Generation and Writing</w:t>
      </w:r>
    </w:p>
    <w:p>
      <w:pPr>
        <w:spacing w:after="200"/>
      </w:pPr>
      <w:r>
        <w:t xml:space="preserve">The most extensively studied area of AI impact is code generation. A randomized controlled trial with 95 professional programmers conducted by GitHub found that developers using Copilot completed an HTTP server implementation task 55.8% faster than the control group (95% confidence interval: 21-89%). A subsequent enterprise-based trial at Google with 96 full-time software engineers demonstrated a 21% reduction in time spent on complex tasks when using AI features. The 2024 DORA Report indicates a 3.4% boost in code quality when AI tools are employed.</w:t>
      </w:r>
    </w:p>
    <w:p>
      <w:pPr>
        <w:pStyle w:val="Heading2"/>
      </w:pPr>
      <w:r>
        <w:t xml:space="preserve">3.2 Code Review</w:t>
      </w:r>
    </w:p>
    <w:p>
      <w:pPr>
        <w:spacing w:after="200"/>
      </w:pPr>
      <w:r>
        <w:t xml:space="preserve">According to Google Research's 2024 paper on ML-powered code reviews, developers spend approximately 60 minutes shepherding each code change through the review process. AI-powered review tools have demonstrated the ability to reduce this time significantly. The Accenture study found that developers accepted around 30% of GitHub Copilot's suggestions, with 90% reporting they committed AI-suggested code and 91% reporting their teams merged pull requests containing AI-generated code.</w:t>
      </w:r>
    </w:p>
    <w:p>
      <w:pPr>
        <w:pStyle w:val="Heading2"/>
      </w:pPr>
      <w:r>
        <w:t xml:space="preserve">3.3 Testing and Quality Assurance</w:t>
      </w:r>
    </w:p>
    <w:p>
      <w:pPr>
        <w:spacing w:after="200"/>
      </w:pPr>
      <w:r>
        <w:t xml:space="preserve">The 2025 industry survey reveals that 55.7% of companies use AI for automated testing and debugging. Small companies report up to 50% faster unit test generation when using AI tools. Self-healing test capabilities using ML algorithms can automatically adjust tests when application code changes, significantly reducing maintenance efforts. AI-driven test case generation analyzes user behavior patterns to create more comprehensive test coverage.</w:t>
      </w:r>
    </w:p>
    <w:p>
      <w:pPr>
        <w:pStyle w:val="Heading2"/>
      </w:pPr>
      <w:r>
        <w:t xml:space="preserve">3.4 Documentation</w:t>
      </w:r>
    </w:p>
    <w:p>
      <w:pPr>
        <w:spacing w:after="200"/>
      </w:pPr>
      <w:r>
        <w:t xml:space="preserve">The 2024 DORA Report shows a 7.5% improvement in AI-driven documentation quality. The 2025 survey indicates that 67.1% of companies now use AI for documentation generation. ZoomInfo's enterprise deployment demonstrated that AI tools free up significant time by summarizing and indexing product requirements and architecture design documents in minutes rather than hours. This automation ensures documentation stays current with code changes while reducing manual effort.</w:t>
      </w:r>
    </w:p>
    <w:p>
      <w:pPr>
        <w:pStyle w:val="Heading2"/>
      </w:pPr>
      <w:r>
        <w:t xml:space="preserve">3.5 Debugging</w:t>
      </w:r>
    </w:p>
    <w:p>
      <w:pPr>
        <w:spacing w:after="200"/>
      </w:pPr>
      <w:r>
        <w:t xml:space="preserve">AI debugging tools integrate directly into IDEs and CI/CD pipelines to automate error reporting, triage, and resolution. These tools utilize large language models to understand code semantics and recommend breakpoints based on code complexity and risk. Research from Frontiers in AI (2024) indicates that AI-enhanced debugging techniques, particularly regression testing and automated log analysis, help reduce the time required to identify failures while enhancing efficiency in the application lifecycle.</w:t>
      </w:r>
    </w:p>
    <w:p>
      <w:r>
        <w:br w:type="page"/>
      </w:r>
    </w:p>
    <w:p>
      <w:pPr>
        <w:pStyle w:val="Heading1"/>
      </w:pPr>
      <w:r>
        <w:t xml:space="preserve">4. Comprehensive Impact Analysis</w:t>
      </w:r>
    </w:p>
    <w:p>
      <w:pPr>
        <w:spacing w:before="200" w:after="100"/>
      </w:pPr>
      <w:r>
        <w:rPr>
          <w:b/>
          <w:bCs/>
        </w:rPr>
        <w:t xml:space="preserve">Table 2: AI Impact Quantification by Software Engineering Activity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00"/>
        <w:gridCol w:w="3060"/>
      </w:tblGrid>
      <w:tr>
        <w:trPr>
          <w:tblHeader/>
        </w:trPr>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Activity</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AI Adoption</w:t>
            </w:r>
          </w:p>
        </w:tc>
        <w:tc>
          <w:tcPr>
            <w:tcW w:type="dxa" w:w="23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Productivity Gain</w:t>
            </w:r>
          </w:p>
        </w:tc>
        <w:tc>
          <w:tcPr>
            <w:tcW w:type="dxa" w:w="306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Source</w:t>
            </w:r>
          </w:p>
        </w:tc>
      </w:tr>
      <w:tr>
        <w:tc>
          <w:tcPr>
            <w:tcW w:type="dxa" w:w="2200"/>
            <w:tcBorders>
              <w:top w:val="single" w:color="CCCCCC" w:sz="1"/>
              <w:left w:val="single" w:color="CCCCCC" w:sz="1"/>
              <w:bottom w:val="single" w:color="CCCCCC" w:sz="1"/>
              <w:right w:val="single" w:color="CCCCCC" w:sz="1"/>
            </w:tcBorders>
          </w:tcPr>
          <w:p>
            <w:r>
              <w:t xml:space="preserve">Code Generation</w:t>
            </w:r>
          </w:p>
        </w:tc>
        <w:tc>
          <w:tcPr>
            <w:tcW w:type="dxa" w:w="1800"/>
            <w:tcBorders>
              <w:top w:val="single" w:color="CCCCCC" w:sz="1"/>
              <w:left w:val="single" w:color="CCCCCC" w:sz="1"/>
              <w:bottom w:val="single" w:color="CCCCCC" w:sz="1"/>
              <w:right w:val="single" w:color="CCCCCC" w:sz="1"/>
            </w:tcBorders>
          </w:tcPr>
          <w:p>
            <w:pPr>
              <w:jc w:val="center"/>
            </w:pPr>
            <w:r>
              <w:t xml:space="preserve">72.2%</w:t>
            </w:r>
          </w:p>
        </w:tc>
        <w:tc>
          <w:tcPr>
            <w:tcW w:type="dxa" w:w="2300"/>
            <w:tcBorders>
              <w:top w:val="single" w:color="CCCCCC" w:sz="1"/>
              <w:left w:val="single" w:color="CCCCCC" w:sz="1"/>
              <w:bottom w:val="single" w:color="CCCCCC" w:sz="1"/>
              <w:right w:val="single" w:color="CCCCCC" w:sz="1"/>
            </w:tcBorders>
          </w:tcPr>
          <w:p>
            <w:pPr>
              <w:jc w:val="center"/>
            </w:pPr>
            <w:r>
              <w:t xml:space="preserve">21-55.8%</w:t>
            </w:r>
          </w:p>
        </w:tc>
        <w:tc>
          <w:tcPr>
            <w:tcW w:type="dxa" w:w="3060"/>
            <w:tcBorders>
              <w:top w:val="single" w:color="CCCCCC" w:sz="1"/>
              <w:left w:val="single" w:color="CCCCCC" w:sz="1"/>
              <w:bottom w:val="single" w:color="CCCCCC" w:sz="1"/>
              <w:right w:val="single" w:color="CCCCCC" w:sz="1"/>
            </w:tcBorders>
          </w:tcPr>
          <w:p>
            <w:r>
              <w:rPr>
                <w:sz w:val="20"/>
                <w:szCs w:val="20"/>
              </w:rPr>
              <w:t xml:space="preserve">IEEE/Google/GitHub RCT</w:t>
            </w:r>
          </w:p>
        </w:tc>
      </w:tr>
      <w:tr>
        <w:tc>
          <w:tcPr>
            <w:tcW w:type="dxa" w:w="2200"/>
            <w:tcBorders>
              <w:top w:val="single" w:color="CCCCCC" w:sz="1"/>
              <w:left w:val="single" w:color="CCCCCC" w:sz="1"/>
              <w:bottom w:val="single" w:color="CCCCCC" w:sz="1"/>
              <w:right w:val="single" w:color="CCCCCC" w:sz="1"/>
            </w:tcBorders>
            <w:shd w:fill="F2F2F2" w:val="clear"/>
          </w:tcPr>
          <w:p>
            <w:r>
              <w:t xml:space="preserve">Code Review</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67.1%</w:t>
            </w:r>
          </w:p>
        </w:tc>
        <w:tc>
          <w:tcPr>
            <w:tcW w:type="dxa" w:w="2300"/>
            <w:tcBorders>
              <w:top w:val="single" w:color="CCCCCC" w:sz="1"/>
              <w:left w:val="single" w:color="CCCCCC" w:sz="1"/>
              <w:bottom w:val="single" w:color="CCCCCC" w:sz="1"/>
              <w:right w:val="single" w:color="CCCCCC" w:sz="1"/>
            </w:tcBorders>
            <w:shd w:fill="F2F2F2" w:val="clear"/>
          </w:tcPr>
          <w:p>
            <w:pPr>
              <w:jc w:val="center"/>
            </w:pPr>
            <w:r>
              <w:t xml:space="preserve">25-35%</w:t>
            </w:r>
          </w:p>
        </w:tc>
        <w:tc>
          <w:tcPr>
            <w:tcW w:type="dxa" w:w="3060"/>
            <w:tcBorders>
              <w:top w:val="single" w:color="CCCCCC" w:sz="1"/>
              <w:left w:val="single" w:color="CCCCCC" w:sz="1"/>
              <w:bottom w:val="single" w:color="CCCCCC" w:sz="1"/>
              <w:right w:val="single" w:color="CCCCCC" w:sz="1"/>
            </w:tcBorders>
            <w:shd w:fill="F2F2F2" w:val="clear"/>
          </w:tcPr>
          <w:p>
            <w:r>
              <w:rPr>
                <w:sz w:val="20"/>
                <w:szCs w:val="20"/>
              </w:rPr>
              <w:t xml:space="preserve">Google Research/Accenture</w:t>
            </w:r>
          </w:p>
        </w:tc>
      </w:tr>
      <w:tr>
        <w:tc>
          <w:tcPr>
            <w:tcW w:type="dxa" w:w="2200"/>
            <w:tcBorders>
              <w:top w:val="single" w:color="CCCCCC" w:sz="1"/>
              <w:left w:val="single" w:color="CCCCCC" w:sz="1"/>
              <w:bottom w:val="single" w:color="CCCCCC" w:sz="1"/>
              <w:right w:val="single" w:color="CCCCCC" w:sz="1"/>
            </w:tcBorders>
          </w:tcPr>
          <w:p>
            <w:r>
              <w:t xml:space="preserve">Testing/Debugging</w:t>
            </w:r>
          </w:p>
        </w:tc>
        <w:tc>
          <w:tcPr>
            <w:tcW w:type="dxa" w:w="1800"/>
            <w:tcBorders>
              <w:top w:val="single" w:color="CCCCCC" w:sz="1"/>
              <w:left w:val="single" w:color="CCCCCC" w:sz="1"/>
              <w:bottom w:val="single" w:color="CCCCCC" w:sz="1"/>
              <w:right w:val="single" w:color="CCCCCC" w:sz="1"/>
            </w:tcBorders>
          </w:tcPr>
          <w:p>
            <w:pPr>
              <w:jc w:val="center"/>
            </w:pPr>
            <w:r>
              <w:t xml:space="preserve">55.7%</w:t>
            </w:r>
          </w:p>
        </w:tc>
        <w:tc>
          <w:tcPr>
            <w:tcW w:type="dxa" w:w="2300"/>
            <w:tcBorders>
              <w:top w:val="single" w:color="CCCCCC" w:sz="1"/>
              <w:left w:val="single" w:color="CCCCCC" w:sz="1"/>
              <w:bottom w:val="single" w:color="CCCCCC" w:sz="1"/>
              <w:right w:val="single" w:color="CCCCCC" w:sz="1"/>
            </w:tcBorders>
          </w:tcPr>
          <w:p>
            <w:pPr>
              <w:jc w:val="center"/>
            </w:pPr>
            <w:r>
              <w:t xml:space="preserve">33-50%</w:t>
            </w:r>
          </w:p>
        </w:tc>
        <w:tc>
          <w:tcPr>
            <w:tcW w:type="dxa" w:w="3060"/>
            <w:tcBorders>
              <w:top w:val="single" w:color="CCCCCC" w:sz="1"/>
              <w:left w:val="single" w:color="CCCCCC" w:sz="1"/>
              <w:bottom w:val="single" w:color="CCCCCC" w:sz="1"/>
              <w:right w:val="single" w:color="CCCCCC" w:sz="1"/>
            </w:tcBorders>
          </w:tcPr>
          <w:p>
            <w:r>
              <w:rPr>
                <w:sz w:val="20"/>
                <w:szCs w:val="20"/>
              </w:rPr>
              <w:t xml:space="preserve">Techreviewer Survey 2025</w:t>
            </w:r>
          </w:p>
        </w:tc>
      </w:tr>
      <w:tr>
        <w:tc>
          <w:tcPr>
            <w:tcW w:type="dxa" w:w="2200"/>
            <w:tcBorders>
              <w:top w:val="single" w:color="CCCCCC" w:sz="1"/>
              <w:left w:val="single" w:color="CCCCCC" w:sz="1"/>
              <w:bottom w:val="single" w:color="CCCCCC" w:sz="1"/>
              <w:right w:val="single" w:color="CCCCCC" w:sz="1"/>
            </w:tcBorders>
            <w:shd w:fill="F2F2F2" w:val="clear"/>
          </w:tcPr>
          <w:p>
            <w:r>
              <w:t xml:space="preserve">Documentation</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67.1%</w:t>
            </w:r>
          </w:p>
        </w:tc>
        <w:tc>
          <w:tcPr>
            <w:tcW w:type="dxa" w:w="2300"/>
            <w:tcBorders>
              <w:top w:val="single" w:color="CCCCCC" w:sz="1"/>
              <w:left w:val="single" w:color="CCCCCC" w:sz="1"/>
              <w:bottom w:val="single" w:color="CCCCCC" w:sz="1"/>
              <w:right w:val="single" w:color="CCCCCC" w:sz="1"/>
            </w:tcBorders>
            <w:shd w:fill="F2F2F2" w:val="clear"/>
          </w:tcPr>
          <w:p>
            <w:pPr>
              <w:jc w:val="center"/>
            </w:pPr>
            <w:r>
              <w:t xml:space="preserve">7.5% quality + time</w:t>
            </w:r>
          </w:p>
        </w:tc>
        <w:tc>
          <w:tcPr>
            <w:tcW w:type="dxa" w:w="3060"/>
            <w:tcBorders>
              <w:top w:val="single" w:color="CCCCCC" w:sz="1"/>
              <w:left w:val="single" w:color="CCCCCC" w:sz="1"/>
              <w:bottom w:val="single" w:color="CCCCCC" w:sz="1"/>
              <w:right w:val="single" w:color="CCCCCC" w:sz="1"/>
            </w:tcBorders>
            <w:shd w:fill="F2F2F2" w:val="clear"/>
          </w:tcPr>
          <w:p>
            <w:r>
              <w:rPr>
                <w:sz w:val="20"/>
                <w:szCs w:val="20"/>
              </w:rPr>
              <w:t xml:space="preserve">DORA Report 2024</w:t>
            </w:r>
          </w:p>
        </w:tc>
      </w:tr>
      <w:tr>
        <w:tc>
          <w:tcPr>
            <w:tcW w:type="dxa" w:w="2200"/>
            <w:tcBorders>
              <w:top w:val="single" w:color="CCCCCC" w:sz="1"/>
              <w:left w:val="single" w:color="CCCCCC" w:sz="1"/>
              <w:bottom w:val="single" w:color="CCCCCC" w:sz="1"/>
              <w:right w:val="single" w:color="CCCCCC" w:sz="1"/>
            </w:tcBorders>
          </w:tcPr>
          <w:p>
            <w:r>
              <w:t xml:space="preserve">Planning/Design</w:t>
            </w:r>
          </w:p>
        </w:tc>
        <w:tc>
          <w:tcPr>
            <w:tcW w:type="dxa" w:w="1800"/>
            <w:tcBorders>
              <w:top w:val="single" w:color="CCCCCC" w:sz="1"/>
              <w:left w:val="single" w:color="CCCCCC" w:sz="1"/>
              <w:bottom w:val="single" w:color="CCCCCC" w:sz="1"/>
              <w:right w:val="single" w:color="CCCCCC" w:sz="1"/>
            </w:tcBorders>
          </w:tcPr>
          <w:p>
            <w:pPr>
              <w:jc w:val="center"/>
            </w:pPr>
            <w:r>
              <w:t xml:space="preserve">42.3%</w:t>
            </w:r>
          </w:p>
        </w:tc>
        <w:tc>
          <w:tcPr>
            <w:tcW w:type="dxa" w:w="2300"/>
            <w:tcBorders>
              <w:top w:val="single" w:color="CCCCCC" w:sz="1"/>
              <w:left w:val="single" w:color="CCCCCC" w:sz="1"/>
              <w:bottom w:val="single" w:color="CCCCCC" w:sz="1"/>
              <w:right w:val="single" w:color="CCCCCC" w:sz="1"/>
            </w:tcBorders>
          </w:tcPr>
          <w:p>
            <w:pPr>
              <w:jc w:val="center"/>
            </w:pPr>
            <w:r>
              <w:t xml:space="preserve">15-25%</w:t>
            </w:r>
          </w:p>
        </w:tc>
        <w:tc>
          <w:tcPr>
            <w:tcW w:type="dxa" w:w="3060"/>
            <w:tcBorders>
              <w:top w:val="single" w:color="CCCCCC" w:sz="1"/>
              <w:left w:val="single" w:color="CCCCCC" w:sz="1"/>
              <w:bottom w:val="single" w:color="CCCCCC" w:sz="1"/>
              <w:right w:val="single" w:color="CCCCCC" w:sz="1"/>
            </w:tcBorders>
          </w:tcPr>
          <w:p>
            <w:r>
              <w:rPr>
                <w:sz w:val="20"/>
                <w:szCs w:val="20"/>
              </w:rPr>
              <w:t xml:space="preserve">Bain Tech Report 2024</w:t>
            </w:r>
          </w:p>
        </w:tc>
      </w:tr>
      <w:tr>
        <w:tc>
          <w:tcPr>
            <w:tcW w:type="dxa" w:w="2200"/>
            <w:tcBorders>
              <w:top w:val="single" w:color="CCCCCC" w:sz="1"/>
              <w:left w:val="single" w:color="CCCCCC" w:sz="1"/>
              <w:bottom w:val="single" w:color="CCCCCC" w:sz="1"/>
              <w:right w:val="single" w:color="CCCCCC" w:sz="1"/>
            </w:tcBorders>
            <w:shd w:fill="F2F2F2" w:val="clear"/>
          </w:tcPr>
          <w:p>
            <w:r>
              <w:t xml:space="preserve">DevOps/Deployment</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38.4%</w:t>
            </w:r>
          </w:p>
        </w:tc>
        <w:tc>
          <w:tcPr>
            <w:tcW w:type="dxa" w:w="2300"/>
            <w:tcBorders>
              <w:top w:val="single" w:color="CCCCCC" w:sz="1"/>
              <w:left w:val="single" w:color="CCCCCC" w:sz="1"/>
              <w:bottom w:val="single" w:color="CCCCCC" w:sz="1"/>
              <w:right w:val="single" w:color="CCCCCC" w:sz="1"/>
            </w:tcBorders>
            <w:shd w:fill="F2F2F2" w:val="clear"/>
          </w:tcPr>
          <w:p>
            <w:pPr>
              <w:jc w:val="center"/>
            </w:pPr>
            <w:r>
              <w:t xml:space="preserve">30%+ efficiency</w:t>
            </w:r>
          </w:p>
        </w:tc>
        <w:tc>
          <w:tcPr>
            <w:tcW w:type="dxa" w:w="3060"/>
            <w:tcBorders>
              <w:top w:val="single" w:color="CCCCCC" w:sz="1"/>
              <w:left w:val="single" w:color="CCCCCC" w:sz="1"/>
              <w:bottom w:val="single" w:color="CCCCCC" w:sz="1"/>
              <w:right w:val="single" w:color="CCCCCC" w:sz="1"/>
            </w:tcBorders>
            <w:shd w:fill="F2F2F2" w:val="clear"/>
          </w:tcPr>
          <w:p>
            <w:r>
              <w:rPr>
                <w:sz w:val="20"/>
                <w:szCs w:val="20"/>
              </w:rPr>
              <w:t xml:space="preserve">Techreviewer Survey 2025</w:t>
            </w:r>
          </w:p>
        </w:tc>
      </w:tr>
    </w:tbl>
    <w:p>
      <w:pPr>
        <w:spacing w:before="100" w:after="300"/>
      </w:pPr>
      <w:r>
        <w:rPr>
          <w:i/>
          <w:iCs/>
          <w:sz w:val="20"/>
          <w:szCs w:val="20"/>
        </w:rPr>
        <w:t xml:space="preserve">Note: Productivity gains vary based on task complexity, developer experience, and tool maturity</w:t>
      </w:r>
    </w:p>
    <w:p>
      <w:pPr>
        <w:pStyle w:val="Heading2"/>
      </w:pPr>
      <w:r>
        <w:t xml:space="preserve">4.1 Overall Productivity Statistics</w:t>
      </w:r>
    </w:p>
    <w:p>
      <w:pPr>
        <w:spacing w:before="200" w:after="100"/>
      </w:pPr>
      <w:r>
        <w:rPr>
          <w:b/>
          <w:bCs/>
        </w:rPr>
        <w:t xml:space="preserve">Table 3: Overall AI Impact on Developer Productivity (2025 Survey)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Productivity Gain Category</w:t>
            </w:r>
          </w:p>
        </w:tc>
        <w:tc>
          <w:tcPr>
            <w:tcW w:type="dxa" w:w="4680"/>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 of Organizations</w:t>
            </w:r>
          </w:p>
        </w:tc>
      </w:tr>
      <w:tr>
        <w:tc>
          <w:tcPr>
            <w:tcW w:type="dxa" w:w="4680"/>
            <w:tcBorders>
              <w:top w:val="single" w:color="CCCCCC" w:sz="1"/>
              <w:left w:val="single" w:color="CCCCCC" w:sz="1"/>
              <w:bottom w:val="single" w:color="CCCCCC" w:sz="1"/>
              <w:right w:val="single" w:color="CCCCCC" w:sz="1"/>
            </w:tcBorders>
          </w:tcPr>
          <w:p>
            <w:r>
              <w:t xml:space="preserve">Positive SDLC Effects</w:t>
            </w:r>
          </w:p>
        </w:tc>
        <w:tc>
          <w:tcPr>
            <w:tcW w:type="dxa" w:w="4680"/>
            <w:tcBorders>
              <w:top w:val="single" w:color="CCCCCC" w:sz="1"/>
              <w:left w:val="single" w:color="CCCCCC" w:sz="1"/>
              <w:bottom w:val="single" w:color="CCCCCC" w:sz="1"/>
              <w:right w:val="single" w:color="CCCCCC" w:sz="1"/>
            </w:tcBorders>
          </w:tcPr>
          <w:p>
            <w:pPr>
              <w:jc w:val="center"/>
            </w:pPr>
            <w:r>
              <w:t xml:space="preserve">92.4%</w:t>
            </w:r>
          </w:p>
        </w:tc>
      </w:tr>
      <w:tr>
        <w:tc>
          <w:tcPr>
            <w:tcW w:type="dxa" w:w="4680"/>
            <w:tcBorders>
              <w:top w:val="single" w:color="CCCCCC" w:sz="1"/>
              <w:left w:val="single" w:color="CCCCCC" w:sz="1"/>
              <w:bottom w:val="single" w:color="CCCCCC" w:sz="1"/>
              <w:right w:val="single" w:color="CCCCCC" w:sz="1"/>
            </w:tcBorders>
            <w:shd w:fill="F2F2F2" w:val="clear"/>
          </w:tcPr>
          <w:p>
            <w:r>
              <w:t xml:space="preserve">Gained ≥20% Productivity</w:t>
            </w:r>
          </w:p>
        </w:tc>
        <w:tc>
          <w:tcPr>
            <w:tcW w:type="dxa" w:w="4680"/>
            <w:tcBorders>
              <w:top w:val="single" w:color="CCCCCC" w:sz="1"/>
              <w:left w:val="single" w:color="CCCCCC" w:sz="1"/>
              <w:bottom w:val="single" w:color="CCCCCC" w:sz="1"/>
              <w:right w:val="single" w:color="CCCCCC" w:sz="1"/>
            </w:tcBorders>
            <w:shd w:fill="F2F2F2" w:val="clear"/>
          </w:tcPr>
          <w:p>
            <w:pPr>
              <w:jc w:val="center"/>
            </w:pPr>
            <w:r>
              <w:t xml:space="preserve">82.3%</w:t>
            </w:r>
          </w:p>
        </w:tc>
      </w:tr>
      <w:tr>
        <w:tc>
          <w:tcPr>
            <w:tcW w:type="dxa" w:w="4680"/>
            <w:tcBorders>
              <w:top w:val="single" w:color="CCCCCC" w:sz="1"/>
              <w:left w:val="single" w:color="CCCCCC" w:sz="1"/>
              <w:bottom w:val="single" w:color="CCCCCC" w:sz="1"/>
              <w:right w:val="single" w:color="CCCCCC" w:sz="1"/>
            </w:tcBorders>
          </w:tcPr>
          <w:p>
            <w:r>
              <w:t xml:space="preserve">Exceeded 50% Productivity Gain</w:t>
            </w:r>
          </w:p>
        </w:tc>
        <w:tc>
          <w:tcPr>
            <w:tcW w:type="dxa" w:w="4680"/>
            <w:tcBorders>
              <w:top w:val="single" w:color="CCCCCC" w:sz="1"/>
              <w:left w:val="single" w:color="CCCCCC" w:sz="1"/>
              <w:bottom w:val="single" w:color="CCCCCC" w:sz="1"/>
              <w:right w:val="single" w:color="CCCCCC" w:sz="1"/>
            </w:tcBorders>
          </w:tcPr>
          <w:p>
            <w:pPr>
              <w:jc w:val="center"/>
            </w:pPr>
            <w:r>
              <w:t xml:space="preserve">24.1%</w:t>
            </w:r>
          </w:p>
        </w:tc>
      </w:tr>
      <w:tr>
        <w:tc>
          <w:tcPr>
            <w:tcW w:type="dxa" w:w="4680"/>
            <w:tcBorders>
              <w:top w:val="single" w:color="CCCCCC" w:sz="1"/>
              <w:left w:val="single" w:color="CCCCCC" w:sz="1"/>
              <w:bottom w:val="single" w:color="CCCCCC" w:sz="1"/>
              <w:right w:val="single" w:color="CCCCCC" w:sz="1"/>
            </w:tcBorders>
            <w:shd w:fill="F2F2F2" w:val="clear"/>
          </w:tcPr>
          <w:p>
            <w:r>
              <w:t xml:space="preserve">Using AI &gt;1 Year</w:t>
            </w:r>
          </w:p>
        </w:tc>
        <w:tc>
          <w:tcPr>
            <w:tcW w:type="dxa" w:w="4680"/>
            <w:tcBorders>
              <w:top w:val="single" w:color="CCCCCC" w:sz="1"/>
              <w:left w:val="single" w:color="CCCCCC" w:sz="1"/>
              <w:bottom w:val="single" w:color="CCCCCC" w:sz="1"/>
              <w:right w:val="single" w:color="CCCCCC" w:sz="1"/>
            </w:tcBorders>
            <w:shd w:fill="F2F2F2" w:val="clear"/>
          </w:tcPr>
          <w:p>
            <w:pPr>
              <w:jc w:val="center"/>
            </w:pPr>
            <w:r>
              <w:t xml:space="preserve">49.4%</w:t>
            </w:r>
          </w:p>
        </w:tc>
      </w:tr>
      <w:tr>
        <w:tc>
          <w:tcPr>
            <w:tcW w:type="dxa" w:w="4680"/>
            <w:tcBorders>
              <w:top w:val="single" w:color="CCCCCC" w:sz="1"/>
              <w:left w:val="single" w:color="CCCCCC" w:sz="1"/>
              <w:bottom w:val="single" w:color="CCCCCC" w:sz="1"/>
              <w:right w:val="single" w:color="CCCCCC" w:sz="1"/>
            </w:tcBorders>
          </w:tcPr>
          <w:p>
            <w:r>
              <w:t xml:space="preserve">Expect Significant AI Growth</w:t>
            </w:r>
          </w:p>
        </w:tc>
        <w:tc>
          <w:tcPr>
            <w:tcW w:type="dxa" w:w="4680"/>
            <w:tcBorders>
              <w:top w:val="single" w:color="CCCCCC" w:sz="1"/>
              <w:left w:val="single" w:color="CCCCCC" w:sz="1"/>
              <w:bottom w:val="single" w:color="CCCCCC" w:sz="1"/>
              <w:right w:val="single" w:color="CCCCCC" w:sz="1"/>
            </w:tcBorders>
          </w:tcPr>
          <w:p>
            <w:pPr>
              <w:jc w:val="center"/>
            </w:pPr>
            <w:r>
              <w:t xml:space="preserve">76.5%</w:t>
            </w:r>
          </w:p>
        </w:tc>
      </w:tr>
    </w:tbl>
    <w:p>
      <w:pPr>
        <w:spacing w:before="100" w:after="300"/>
      </w:pPr>
      <w:r>
        <w:rPr>
          <w:i/>
          <w:iCs/>
          <w:sz w:val="20"/>
          <w:szCs w:val="20"/>
        </w:rPr>
        <w:t xml:space="preserve">Source: Techreviewer AI in Software Development Survey 2025</w:t>
      </w:r>
    </w:p>
    <w:p>
      <w:r>
        <w:br w:type="page"/>
      </w:r>
    </w:p>
    <w:p>
      <w:pPr>
        <w:pStyle w:val="Heading1"/>
      </w:pPr>
      <w:r>
        <w:t xml:space="preserve">5. Enterprise Case Studies</w:t>
      </w:r>
    </w:p>
    <w:p>
      <w:pPr>
        <w:pStyle w:val="Heading2"/>
      </w:pPr>
      <w:r>
        <w:t xml:space="preserve">5.1 ZoomInfo</w:t>
      </w:r>
    </w:p>
    <w:p>
      <w:pPr>
        <w:spacing w:after="200"/>
      </w:pPr>
      <w:r>
        <w:t xml:space="preserve">ZoomInfo's deployment of GitHub Copilot across 400+ geographically dispersed developers demonstrated consistent acceptance rates of 33% for suggestions and 20% for lines of code. Developer satisfaction scores reached 72%, with the tool proving particularly effective for boilerplate code generation and unit testing. The majority of developers reported a 20% average reduction in task completion time.</w:t>
      </w:r>
    </w:p>
    <w:p>
      <w:pPr>
        <w:pStyle w:val="Heading2"/>
      </w:pPr>
      <w:r>
        <w:t xml:space="preserve">5.2 Accenture Partnership Study</w:t>
      </w:r>
    </w:p>
    <w:p>
      <w:pPr>
        <w:spacing w:after="200"/>
      </w:pPr>
      <w:r>
        <w:t xml:space="preserve">GitHub's research partnership with Accenture found that 90% of developers felt more productive with AI tools. Notably, 43% of developers rated GitHub Copilot as extremely easy to use, while 51% rated it as extremely useful. Analysis showed developers retained 88% of Copilot-generated characters in their final code, indicating high quality of AI suggestions. The study also demonstrated improved build success rates and reduced cognitive load on developers.</w:t>
      </w:r>
    </w:p>
    <w:p>
      <w:pPr>
        <w:pStyle w:val="Heading2"/>
      </w:pPr>
      <w:r>
        <w:t xml:space="preserve">5.3 Microsoft and Intuit</w:t>
      </w:r>
    </w:p>
    <w:p>
      <w:pPr>
        <w:spacing w:after="200"/>
      </w:pPr>
      <w:r>
        <w:t xml:space="preserve">Microsoft-backed field experiments at Accenture showed developers completing 12.92% to 21.83% more pull requests per week. Intuit's implementation of proprietary GenOS demonstrated that while initial code generation improved speed by 10-15%, adding Intuit-specific code context patterns reduced integration task completion times by 2-3x. This highlights the importance of contextual training for maximum AI effectiveness.</w:t>
      </w:r>
    </w:p>
    <w:p>
      <w:pPr>
        <w:pStyle w:val="Heading1"/>
      </w:pPr>
      <w:r>
        <w:t xml:space="preserve">6. Challenges and Limitations</w:t>
      </w:r>
    </w:p>
    <w:p>
      <w:pPr>
        <w:spacing w:after="200"/>
      </w:pPr>
      <w:r>
        <w:t xml:space="preserve">Despite promising results, AI integration in software development presents notable challenges. The 2024 DORA Report indicates that while AI speeds up certain tasks, it comes with a 7.2% decrease in delivery stability. GitClear's 2024 analysis of over 153 million lines of code found that AI-assisted coding is linked to 4x more code cloning and increased short-term churn, potentially affecting maintainability.</w:t>
      </w:r>
    </w:p>
    <w:p>
      <w:pPr>
        <w:spacing w:after="200"/>
      </w:pPr>
      <w:r>
        <w:t xml:space="preserve">Importantly, a 2025 METR study with experienced open-source developers found that when using AI tools on familiar codebases, developers took 19% longer to complete issues—a significant slowdown that contradicted developer expectations of a 24% speedup. This highlights that AI effectiveness varies significantly based on context, with the technology potentially being less beneficial for experts working on systems they already understand deeply.</w:t>
      </w:r>
    </w:p>
    <w:p>
      <w:pPr>
        <w:spacing w:after="100"/>
      </w:pPr>
      <w:r>
        <w:rPr>
          <w:b/>
          <w:bCs/>
        </w:rPr>
        <w:t xml:space="preserve">Key concerns identified in industry surveys include:</w:t>
      </w:r>
    </w:p>
    <w:p>
      <w:pPr>
        <w:pStyle w:val="ListParagraph"/>
        <w:numPr>
          <w:ilvl w:val="0"/>
          <w:numId w:val="2"/>
        </w:numPr>
      </w:pPr>
      <w:r>
        <w:t xml:space="preserve">Skill atrophy among developers relying heavily on AI suggestions</w:t>
      </w:r>
    </w:p>
    <w:p>
      <w:pPr>
        <w:pStyle w:val="ListParagraph"/>
        <w:numPr>
          <w:ilvl w:val="0"/>
          <w:numId w:val="2"/>
        </w:numPr>
      </w:pPr>
      <w:r>
        <w:t xml:space="preserve">Code quality concerns when AI generates solutions for complex problems</w:t>
      </w:r>
    </w:p>
    <w:p>
      <w:pPr>
        <w:pStyle w:val="ListParagraph"/>
        <w:numPr>
          <w:ilvl w:val="0"/>
          <w:numId w:val="2"/>
        </w:numPr>
      </w:pPr>
      <w:r>
        <w:t xml:space="preserve">Data privacy and security vulnerabilities in AI-generated code</w:t>
      </w:r>
    </w:p>
    <w:p>
      <w:pPr>
        <w:pStyle w:val="ListParagraph"/>
        <w:numPr>
          <w:ilvl w:val="0"/>
          <w:numId w:val="2"/>
        </w:numPr>
      </w:pPr>
      <w:r>
        <w:t xml:space="preserve">Over-reliance on AI reducing critical thinking and problem-solving skills</w:t>
      </w:r>
    </w:p>
    <w:p>
      <w:pPr>
        <w:pStyle w:val="ListParagraph"/>
        <w:numPr>
          <w:ilvl w:val="0"/>
          <w:numId w:val="2"/>
        </w:numPr>
        <w:spacing w:after="200"/>
      </w:pPr>
      <w:r>
        <w:t xml:space="preserve">Potential displacement of junior developer roles</w:t>
      </w:r>
    </w:p>
    <w:p>
      <w:r>
        <w:br w:type="page"/>
      </w:r>
    </w:p>
    <w:p>
      <w:pPr>
        <w:pStyle w:val="Heading1"/>
      </w:pPr>
      <w:r>
        <w:t xml:space="preserve">7. Conclusion</w:t>
      </w:r>
    </w:p>
    <w:p>
      <w:pPr>
        <w:spacing w:after="200"/>
      </w:pPr>
      <w:r>
        <w:t xml:space="preserve">The integration of AI tools into software engineering workflows has demonstrated measurable productivity improvements across the software development lifecycle. Empirical evidence from randomized controlled trials and large-scale industry surveys indicates productivity gains ranging from 10-15% in general use cases to 55.8% for specific, well-defined tasks. The 2025 industry landscape shows that 92.4% of organizations report positive effects from AI adoption, with the majority achieving at least 20% productivity improvements.</w:t>
      </w:r>
    </w:p>
    <w:p>
      <w:pPr>
        <w:spacing w:after="200"/>
      </w:pPr>
      <w:r>
        <w:t xml:space="preserve">The most significant impacts are observed in code generation (21-55.8% time savings), automated testing (33-50% faster), and documentation (7.5% quality improvement). Enterprise deployments at companies like ZoomInfo, Accenture, and Intuit demonstrate that AI tools can be effectively scaled across large development teams while maintaining code quality and developer satisfaction.</w:t>
      </w:r>
    </w:p>
    <w:p>
      <w:pPr>
        <w:spacing w:after="200"/>
      </w:pPr>
      <w:r>
        <w:t xml:space="preserve">However, the evidence also reveals important nuances. The effectiveness of AI tools varies significantly based on task complexity, developer expertise, and organizational context. For experienced developers working on familiar codebases, AI may not always provide net productivity benefits. Organizations should approach AI adoption thoughtfully, focusing on use cases where the technology has proven most effective while implementing appropriate guardrails for code quality and security.</w:t>
      </w:r>
    </w:p>
    <w:p>
      <w:pPr>
        <w:spacing w:after="200"/>
      </w:pPr>
      <w:r>
        <w:t xml:space="preserve">Looking forward, 76.5% of organizations expect AI's role in software development to grow significantly. Success will depend on effectively integrating AI into workflows while addressing challenges around skill development, code quality, and the evolving role of human developers in an AI-augmented development environment.</w:t>
      </w:r>
    </w:p>
    <w:p>
      <w:pPr>
        <w:pStyle w:val="Heading1"/>
      </w:pPr>
      <w:r>
        <w:t xml:space="preserve">8. References</w:t>
      </w:r>
    </w:p>
    <w:p>
      <w:pPr>
        <w:pStyle w:val="ListParagraph"/>
        <w:numPr>
          <w:ilvl w:val="0"/>
          <w:numId w:val="3"/>
        </w:numPr>
        <w:spacing w:after="100"/>
      </w:pPr>
      <w:r>
        <w:t xml:space="preserve">Peng, S., Kalliamvakou, E., Cihon, P., &amp; Demirer, M. (2023). The Impact of AI on Developer Productivity: Evidence from GitHub Copilot. arXiv:2302.06590. IEEE/ACM International Conference on Software Engineering.</w:t>
      </w:r>
    </w:p>
    <w:p>
      <w:pPr>
        <w:pStyle w:val="ListParagraph"/>
        <w:numPr>
          <w:ilvl w:val="0"/>
          <w:numId w:val="3"/>
        </w:numPr>
        <w:spacing w:after="100"/>
      </w:pPr>
      <w:r>
        <w:t xml:space="preserve">Google Research (2024). How Much Does AI Impact Development Speed? An Enterprise-Based Randomized Controlled Trial. IEEE Conference Publication.</w:t>
      </w:r>
    </w:p>
    <w:p>
      <w:pPr>
        <w:pStyle w:val="ListParagraph"/>
        <w:numPr>
          <w:ilvl w:val="0"/>
          <w:numId w:val="3"/>
        </w:numPr>
        <w:spacing w:after="100"/>
      </w:pPr>
      <w:r>
        <w:t xml:space="preserve">Ziegler, A., et al. (2024). Measuring GitHub Copilot's Impact on Productivity. Communications of the ACM, 67(5).</w:t>
      </w:r>
    </w:p>
    <w:p>
      <w:pPr>
        <w:pStyle w:val="ListParagraph"/>
        <w:numPr>
          <w:ilvl w:val="0"/>
          <w:numId w:val="3"/>
        </w:numPr>
        <w:spacing w:after="100"/>
      </w:pPr>
      <w:r>
        <w:t xml:space="preserve">DORA (2024). Accelerate State of DevOps Report: The Impact of Generative AI. Google Cloud.</w:t>
      </w:r>
    </w:p>
    <w:p>
      <w:pPr>
        <w:pStyle w:val="ListParagraph"/>
        <w:numPr>
          <w:ilvl w:val="0"/>
          <w:numId w:val="3"/>
        </w:numPr>
        <w:spacing w:after="100"/>
      </w:pPr>
      <w:r>
        <w:t xml:space="preserve">Techreviewer (2025). AI in Software Development: From Exploration to Accountability – A Global Survey Analysis.</w:t>
      </w:r>
    </w:p>
    <w:p>
      <w:pPr>
        <w:pStyle w:val="ListParagraph"/>
        <w:numPr>
          <w:ilvl w:val="0"/>
          <w:numId w:val="3"/>
        </w:numPr>
        <w:spacing w:after="100"/>
      </w:pPr>
      <w:r>
        <w:t xml:space="preserve">GitHub (2024). Research: Quantifying GitHub Copilot's Impact in the Enterprise with Accenture. GitHub Blog.</w:t>
      </w:r>
    </w:p>
    <w:p>
      <w:pPr>
        <w:pStyle w:val="ListParagraph"/>
        <w:numPr>
          <w:ilvl w:val="0"/>
          <w:numId w:val="3"/>
        </w:numPr>
        <w:spacing w:after="100"/>
      </w:pPr>
      <w:r>
        <w:t xml:space="preserve">Meyer, A.N., et al. (2019). Today was a Good Day: The Daily Life of Software Developers. IEEE Transactions on Software Engineering.</w:t>
      </w:r>
    </w:p>
    <w:p>
      <w:pPr>
        <w:pStyle w:val="ListParagraph"/>
        <w:numPr>
          <w:ilvl w:val="0"/>
          <w:numId w:val="3"/>
        </w:numPr>
        <w:spacing w:after="100"/>
      </w:pPr>
      <w:r>
        <w:t xml:space="preserve">Bain &amp; Company (2024). Beyond Code Generation: More Efficient Software Development. Technology Report 2024.</w:t>
      </w:r>
    </w:p>
    <w:p>
      <w:pPr>
        <w:pStyle w:val="ListParagraph"/>
        <w:numPr>
          <w:ilvl w:val="0"/>
          <w:numId w:val="3"/>
        </w:numPr>
        <w:spacing w:after="100"/>
      </w:pPr>
      <w:r>
        <w:t xml:space="preserve">METR (2025). Measuring the Impact of Early-2025 AI on Experienced Open-Source Developer Productivity.</w:t>
      </w:r>
    </w:p>
    <w:p>
      <w:pPr>
        <w:pStyle w:val="ListParagraph"/>
        <w:numPr>
          <w:ilvl w:val="0"/>
          <w:numId w:val="3"/>
        </w:numPr>
        <w:spacing w:after="100"/>
      </w:pPr>
      <w:r>
        <w:t xml:space="preserve">ZoomInfo (2025). Experience with GitHub Copilot for Developer Productivity. arXiv:2501.13282.</w:t>
      </w:r>
    </w:p>
    <w:p>
      <w:pPr>
        <w:pStyle w:val="ListParagraph"/>
        <w:numPr>
          <w:ilvl w:val="0"/>
          <w:numId w:val="3"/>
        </w:numPr>
        <w:spacing w:after="100"/>
      </w:pPr>
      <w:r>
        <w:t xml:space="preserve">Esposito, M., et al. (2024). The Use of Artificial Intelligence for Automatic Analysis and Reporting of Software Defects. Frontiers in Artificial Intelligence.</w:t>
      </w:r>
    </w:p>
    <w:p>
      <w:pPr>
        <w:pStyle w:val="ListParagraph"/>
        <w:numPr>
          <w:ilvl w:val="0"/>
          <w:numId w:val="3"/>
        </w:numPr>
        <w:spacing w:after="100"/>
      </w:pPr>
      <w:r>
        <w:t xml:space="preserve">DX Developer Survey (2024). The Gap Between Developers' Ideal and Actual Workdays.</w:t>
      </w:r>
    </w:p>
    <w:p>
      <w:pPr>
        <w:pStyle w:val="ListParagraph"/>
        <w:numPr>
          <w:ilvl w:val="0"/>
          <w:numId w:val="3"/>
        </w:numPr>
        <w:spacing w:after="100"/>
      </w:pPr>
      <w:r>
        <w:t xml:space="preserve">IEEE Transmitter (2024). The Impact of Technology in 2024 and Beyond: An IEEE Global Study.</w:t>
      </w:r>
    </w:p>
    <w:p>
      <w:pPr>
        <w:pStyle w:val="ListParagraph"/>
        <w:numPr>
          <w:ilvl w:val="0"/>
          <w:numId w:val="3"/>
        </w:numPr>
        <w:spacing w:after="100"/>
      </w:pPr>
      <w:r>
        <w:t xml:space="preserve">ScienceDirect (2025). Copiloting the Future: How Generative AI Transforms Software Engineering.</w:t>
      </w:r>
    </w:p>
    <w:p>
      <w:pPr>
        <w:pStyle w:val="ListParagraph"/>
        <w:numPr>
          <w:ilvl w:val="0"/>
          <w:numId w:val="3"/>
        </w:numPr>
        <w:spacing w:after="100"/>
      </w:pPr>
      <w:r>
        <w:t xml:space="preserve">LinearB (2025). AI in Software Development: The Complete Guide to Tools, Productivity &amp; Real ROI.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AI Impact on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52"/>
      <w:szCs w:val="52"/>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2025-11-25T21:48:22.443Z</dcterms:created>
  <dcterms:modified xsi:type="dcterms:W3CDTF">2025-11-25T21:48:22.444Z</dcterms:modified>
</cp:coreProperties>
</file>

<file path=docProps/custom.xml><?xml version="1.0" encoding="utf-8"?>
<Properties xmlns="http://schemas.openxmlformats.org/officeDocument/2006/custom-properties" xmlns:vt="http://schemas.openxmlformats.org/officeDocument/2006/docPropsVTypes"/>
</file>