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/>
              <w:spacing w:after="50"/>
              <w:jc w:val="right"/>
            </w:pPr>
            <w:r>
              <w:rPr>
                <w:b/>
                <w:bCs/>
                <w:color w:val="FFFFFF"/>
                <w:sz w:val="28"/>
                <w:szCs w:val="28"/>
                <w:rtl/>
              </w:rPr>
              <w:t xml:space="preserve">دبلوم الذكاء الاصطناعي — ملخّص لمجلس الإدارة</w:t>
            </w:r>
          </w:p>
          <w:p>
            <w:pPr>
              <w:bidi/>
              <w:spacing w:after="40"/>
              <w:jc w:val="right"/>
            </w:pPr>
            <w:r>
              <w:rPr>
                <w:color w:val="EAF0F7"/>
                <w:sz w:val="17"/>
                <w:szCs w:val="17"/>
                <w:rtl/>
              </w:rPr>
              <w:t xml:space="preserve">تعزيز دبلوم أكاديمية التعلّم بمهارات ذكاء اصطناعي عملية وميسّرة دعماً لرؤية 2030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AF0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50"/>
              <w:jc w:val="right"/>
            </w:pPr>
            <w:r>
              <w:rPr>
                <w:b/>
                <w:bCs/>
                <w:color w:val="1F3864"/>
                <w:sz w:val="19"/>
                <w:szCs w:val="19"/>
                <w:rtl/>
              </w:rPr>
              <w:t xml:space="preserve">نموذج بمسارين</w:t>
            </w:r>
          </w:p>
          <w:p>
            <w:pPr>
              <w:bidi/>
              <w:spacing w:after="30" w:line="240"/>
              <w:jc w:val="right"/>
            </w:pPr>
            <w:r>
              <w:rPr>
                <w:b/>
                <w:bCs/>
                <w:color w:val="262626"/>
                <w:sz w:val="18"/>
                <w:szCs w:val="18"/>
                <w:rtl/>
              </w:rPr>
              <w:t xml:space="preserve">المسار الأساسي (لجميع الطلاب): </w:t>
            </w:r>
            <w:r>
              <w:rPr>
                <w:color w:val="262626"/>
                <w:sz w:val="18"/>
                <w:szCs w:val="18"/>
                <w:rtl/>
              </w:rPr>
              <w:t xml:space="preserve">تأسيسي وتطبيقي — أساسيات الذكاء الاصطناعي، أدوات العمل، مهارات بيانات بسيطة، استخدام مسؤول، ومشاريع صغيرة.</w:t>
            </w:r>
          </w:p>
          <w:p>
            <w:pPr>
              <w:bidi/>
              <w:spacing w:after="30" w:line="240"/>
              <w:jc w:val="right"/>
            </w:pPr>
            <w:r>
              <w:rPr>
                <w:b/>
                <w:bCs/>
                <w:color w:val="262626"/>
                <w:sz w:val="18"/>
                <w:szCs w:val="18"/>
                <w:rtl/>
              </w:rPr>
              <w:t xml:space="preserve">المسارات المتقدمة (اختيارية): </w:t>
            </w:r>
            <w:r>
              <w:rPr>
                <w:color w:val="262626"/>
                <w:sz w:val="18"/>
                <w:szCs w:val="18"/>
                <w:rtl/>
              </w:rPr>
              <w:t xml:space="preserve">للطلاب المتميزين — تحليل بيانات، أساسيات تعلّم الآلة، وتحضير لشهادات تمهيدية.</w:t>
            </w:r>
          </w:p>
        </w:tc>
        <w:tc>
          <w:tcPr>
            <w:tcW w:type="dxa" w:w="46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50"/>
              <w:jc w:val="right"/>
            </w:pPr>
            <w:r>
              <w:rPr>
                <w:b/>
                <w:bCs/>
                <w:color w:val="1F3864"/>
                <w:sz w:val="19"/>
                <w:szCs w:val="19"/>
                <w:rtl/>
              </w:rPr>
              <w:t xml:space="preserve">الفرصة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0" w:line="240"/>
              <w:jc w:val="right"/>
            </w:pPr>
            <w:r>
              <w:rPr>
                <w:color w:val="262626"/>
                <w:sz w:val="18"/>
                <w:szCs w:val="18"/>
                <w:rtl/>
              </w:rPr>
              <w:t xml:space="preserve">تجعل رؤية 2030 من مهارات الذكاء الاصطناعي أولوية وطنية.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0" w:line="240"/>
              <w:jc w:val="right"/>
            </w:pPr>
            <w:r>
              <w:rPr>
                <w:color w:val="262626"/>
                <w:sz w:val="18"/>
                <w:szCs w:val="18"/>
                <w:rtl/>
              </w:rPr>
              <w:t xml:space="preserve">طلاب الدبلوم المموّلون حكومياً يحتاجون مهارات عملية بمستوى ميسّر.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0" w:line="240"/>
              <w:jc w:val="right"/>
            </w:pPr>
            <w:r>
              <w:rPr>
                <w:color w:val="262626"/>
                <w:sz w:val="18"/>
                <w:szCs w:val="18"/>
                <w:rtl/>
              </w:rPr>
              <w:t xml:space="preserve">نطوّر دبلوم الأكاديمية الحالي بدلاً من استبداله.</w:t>
            </w:r>
          </w:p>
        </w:tc>
      </w:tr>
      <w:tr>
        <w:tc>
          <w:tcPr>
            <w:tcW w:type="dxa" w:w="46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shd w:fill="EAF0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50"/>
              <w:jc w:val="right"/>
            </w:pPr>
            <w:r>
              <w:rPr>
                <w:b/>
                <w:bCs/>
                <w:color w:val="1F3864"/>
                <w:sz w:val="19"/>
                <w:szCs w:val="19"/>
                <w:rtl/>
              </w:rPr>
              <w:t xml:space="preserve">النهج التجاري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0" w:line="240"/>
              <w:jc w:val="right"/>
            </w:pPr>
            <w:r>
              <w:rPr>
                <w:color w:val="262626"/>
                <w:sz w:val="18"/>
                <w:szCs w:val="18"/>
                <w:rtl/>
              </w:rPr>
              <w:t xml:space="preserve">تحدّد الأكاديمية التكلفة والرسوم الدراسية.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0" w:line="240"/>
              <w:jc w:val="right"/>
            </w:pPr>
            <w:r>
              <w:rPr>
                <w:color w:val="262626"/>
                <w:sz w:val="18"/>
                <w:szCs w:val="18"/>
                <w:rtl/>
              </w:rPr>
              <w:t xml:space="preserve">نموذج معياري بالكامل: تختار الأكاديمية عدد الوحدات والنطاق.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0" w:line="240"/>
              <w:jc w:val="right"/>
            </w:pPr>
            <w:r>
              <w:rPr>
                <w:color w:val="262626"/>
                <w:sz w:val="18"/>
                <w:szCs w:val="18"/>
                <w:rtl/>
              </w:rPr>
              <w:t xml:space="preserve">لا رسوم مسبقة ثابتة ولا حصة إلزامية من الإيرادات.</w:t>
            </w:r>
          </w:p>
        </w:tc>
        <w:tc>
          <w:tcPr>
            <w:tcW w:type="dxa" w:w="4680"/>
            <w:tcBorders>
              <w:top w:val="single" w:color="D5DEE8" w:sz="4"/>
              <w:left w:val="single" w:color="D5DEE8" w:sz="4"/>
              <w:bottom w:val="single" w:color="D5DEE8" w:sz="4"/>
              <w:right w:val="single" w:color="D5DEE8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50"/>
              <w:jc w:val="right"/>
            </w:pPr>
            <w:r>
              <w:rPr>
                <w:b/>
                <w:bCs/>
                <w:color w:val="1F3864"/>
                <w:sz w:val="19"/>
                <w:szCs w:val="19"/>
                <w:rtl/>
              </w:rPr>
              <w:t xml:space="preserve">ما تقدّمه LGN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0" w:line="240"/>
              <w:jc w:val="right"/>
            </w:pPr>
            <w:r>
              <w:rPr>
                <w:color w:val="262626"/>
                <w:sz w:val="18"/>
                <w:szCs w:val="18"/>
                <w:rtl/>
              </w:rPr>
              <w:t xml:space="preserve">تصميم مناهج بالمستوى المناسب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0" w:line="240"/>
              <w:jc w:val="right"/>
            </w:pPr>
            <w:r>
              <w:rPr>
                <w:color w:val="262626"/>
                <w:sz w:val="18"/>
                <w:szCs w:val="18"/>
                <w:rtl/>
              </w:rPr>
              <w:t xml:space="preserve">تمكين هيئة التدريس وضمان الجودة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0" w:line="240"/>
              <w:jc w:val="right"/>
            </w:pPr>
            <w:r>
              <w:rPr>
                <w:color w:val="262626"/>
                <w:sz w:val="18"/>
                <w:szCs w:val="18"/>
                <w:rtl/>
              </w:rPr>
              <w:t xml:space="preserve">تحديث سنوي للمحتوى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0" w:line="240"/>
              <w:jc w:val="right"/>
            </w:pPr>
            <w:r>
              <w:rPr>
                <w:color w:val="262626"/>
                <w:sz w:val="18"/>
                <w:szCs w:val="18"/>
                <w:rtl/>
              </w:rPr>
              <w:t xml:space="preserve">مواءمة اختيارية للشهادات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30" w:line="240"/>
              <w:jc w:val="right"/>
            </w:pPr>
            <w:r>
              <w:rPr>
                <w:color w:val="262626"/>
                <w:sz w:val="18"/>
                <w:szCs w:val="18"/>
                <w:rtl/>
              </w:rPr>
              <w:t xml:space="preserve">دعم العلامة المشتركة والتموضع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bidi/>
              <w:spacing w:after="40"/>
              <w:jc w:val="right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 xml:space="preserve">النتيجة</w:t>
            </w:r>
          </w:p>
          <w:p>
            <w:pPr>
              <w:bidi/>
              <w:spacing/>
              <w:jc w:val="right"/>
            </w:pPr>
            <w:r>
              <w:rPr>
                <w:color w:val="EAF0F7"/>
                <w:sz w:val="18"/>
                <w:szCs w:val="18"/>
                <w:rtl/>
              </w:rPr>
              <w:t xml:space="preserve">يعزّز الدبلوم الحالي ولا يستبدله  •  في متناول الفئة المستهدفة  •  عمق اختياري للمتميزين  •  متوائم مع رؤية 2030  •  قابل للتوسّع ضمن الميزانية</w:t>
            </w:r>
          </w:p>
        </w:tc>
      </w:tr>
    </w:tbl>
    <w:p>
      <w:pPr>
        <w:bidi/>
        <w:spacing w:after="60" w:before="120"/>
        <w:jc w:val="right"/>
      </w:pPr>
      <w:r>
        <w:rPr>
          <w:b/>
          <w:bCs/>
          <w:color w:val="1F3864"/>
          <w:sz w:val="18"/>
          <w:szCs w:val="18"/>
          <w:rtl/>
        </w:rPr>
        <w:t xml:space="preserve">الخطوة التالية: </w:t>
      </w:r>
      <w:r>
        <w:rPr>
          <w:color w:val="262626"/>
          <w:sz w:val="18"/>
          <w:szCs w:val="18"/>
          <w:rtl/>
        </w:rPr>
        <w:t xml:space="preserve">بموافقة مجلس الإدارة، نعتمد ملف الخرّيج وخريطة الوحدات (المرحلة 1) ونبني النطاق المتفق عليه بالمستوى المناسب.</w:t>
      </w:r>
    </w:p>
    <w:p>
      <w:pPr>
        <w:pBdr>
          <w:top w:val="single" w:color="BFBFBF" w:sz="4" w:space="4"/>
        </w:pBdr>
        <w:bidi/>
        <w:spacing w:before="60"/>
        <w:jc w:val="right"/>
      </w:pPr>
      <w:r>
        <w:rPr>
          <w:color w:val="595959"/>
          <w:sz w:val="15"/>
          <w:szCs w:val="15"/>
          <w:rtl/>
        </w:rPr>
        <w:t xml:space="preserve">مُعدّ لـ: مجلس إدارة أكاديمية التعلّم   |   إعداد: شركة لندن غلف نكسس (LGN)  —  يونيو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00" w:before="240"/>
      <w:jc w:val="right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bidi/>
      <w:spacing w:after="60" w:before="140"/>
      <w:jc w:val="right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2026-06-15T23:40:03.673Z</dcterms:created>
  <dcterms:modified xsi:type="dcterms:W3CDTF">2026-06-15T23:40:03.673Z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