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5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tl w:val="false"/>
              </w:rPr>
              <w:t xml:space="preserve">AI Diploma Partnership — Board Summary</w:t>
            </w:r>
          </w:p>
          <w:p>
            <w:pPr>
              <w:bidi w:val="false"/>
              <w:spacing w:after="40"/>
              <w:jc w:val="left"/>
            </w:pPr>
            <w:r>
              <w:rPr>
                <w:color w:val="EAF0F7"/>
                <w:sz w:val="17"/>
                <w:szCs w:val="17"/>
                <w:rtl w:val="false"/>
              </w:rPr>
              <w:t xml:space="preserve">Strengthening AoL’s diploma with practical, accessible AI skills in support of Vision 2030.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50"/>
              <w:jc w:val="left"/>
            </w:pPr>
            <w:r>
              <w:rPr>
                <w:b/>
                <w:bCs/>
                <w:color w:val="1F3864"/>
                <w:sz w:val="19"/>
                <w:szCs w:val="19"/>
                <w:rtl w:val="false"/>
              </w:rPr>
              <w:t xml:space="preserve">The Opportunity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Vision 2030 makes AI skills a national priority.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Government-funded diploma students need practical skills at an accessible level.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We enhance AoL’s existing diploma rather than replace it.</w:t>
            </w:r>
          </w:p>
        </w:tc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50"/>
              <w:jc w:val="left"/>
            </w:pPr>
            <w:r>
              <w:rPr>
                <w:b/>
                <w:bCs/>
                <w:color w:val="1F3864"/>
                <w:sz w:val="19"/>
                <w:szCs w:val="19"/>
                <w:rtl w:val="false"/>
              </w:rPr>
              <w:t xml:space="preserve">Two-Track Model</w:t>
            </w:r>
          </w:p>
          <w:p>
            <w:pPr>
              <w:bidi w:val="false"/>
              <w:spacing w:after="30" w:line="240"/>
              <w:jc w:val="left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Core Track (all students): </w:t>
            </w:r>
            <w:r>
              <w:rPr>
                <w:color w:val="262626"/>
                <w:sz w:val="18"/>
                <w:szCs w:val="18"/>
              </w:rPr>
              <w:t xml:space="preserve">foundational and applied — AI basics, workplace tools, simple data skills, responsible use, and mini-projects.</w:t>
            </w:r>
          </w:p>
          <w:p>
            <w:pPr>
              <w:bidi w:val="false"/>
              <w:spacing w:after="30" w:line="240"/>
              <w:jc w:val="left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Advanced Electives (optional): </w:t>
            </w:r>
            <w:r>
              <w:rPr>
                <w:color w:val="262626"/>
                <w:sz w:val="18"/>
                <w:szCs w:val="18"/>
              </w:rPr>
              <w:t xml:space="preserve">for high performers — intro data analysis, ML basics, and entry-level certification prep.</w:t>
            </w:r>
          </w:p>
        </w:tc>
      </w:tr>
      <w:tr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50"/>
              <w:jc w:val="left"/>
            </w:pPr>
            <w:r>
              <w:rPr>
                <w:b/>
                <w:bCs/>
                <w:color w:val="1F3864"/>
                <w:sz w:val="19"/>
                <w:szCs w:val="19"/>
                <w:rtl w:val="false"/>
              </w:rPr>
              <w:t xml:space="preserve">What LGN Provides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Curriculum design at the right level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Faculty enablement and quality assurance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Annual content refresh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Optional certification alignment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Co-branding and positioning support</w:t>
            </w:r>
          </w:p>
        </w:tc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50"/>
              <w:jc w:val="left"/>
            </w:pPr>
            <w:r>
              <w:rPr>
                <w:b/>
                <w:bCs/>
                <w:color w:val="1F3864"/>
                <w:sz w:val="19"/>
                <w:szCs w:val="19"/>
                <w:rtl w:val="false"/>
              </w:rPr>
              <w:t xml:space="preserve">Commercial Approach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AoL defines the cost and tuition.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Fully modular: AoL selects the number of modules and scope.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30" w:line="240"/>
              <w:jc w:val="left"/>
            </w:pPr>
            <w:r>
              <w:rPr>
                <w:color w:val="262626"/>
                <w:sz w:val="18"/>
                <w:szCs w:val="18"/>
                <w:rtl w:val="false"/>
              </w:rPr>
              <w:t xml:space="preserve">No fixed upfront fee and no mandatory revenue share.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tl w:val="false"/>
              </w:rPr>
              <w:t xml:space="preserve">Outcome</w:t>
            </w:r>
          </w:p>
          <w:p>
            <w:pPr>
              <w:bidi w:val="false"/>
              <w:spacing/>
              <w:jc w:val="left"/>
            </w:pPr>
            <w:r>
              <w:rPr>
                <w:color w:val="EAF0F7"/>
                <w:sz w:val="18"/>
                <w:szCs w:val="18"/>
                <w:rtl w:val="false"/>
              </w:rPr>
              <w:t xml:space="preserve">Strengthens, not replaces, the current diploma  •  Accessible to the target market  •  Optional depth for high performers  •  Aligned with Vision 2030  •  Scalable within budget</w:t>
            </w:r>
          </w:p>
        </w:tc>
      </w:tr>
    </w:tbl>
    <w:p>
      <w:pPr>
        <w:bidi w:val="false"/>
        <w:spacing w:after="60" w:before="120"/>
        <w:jc w:val="left"/>
      </w:pPr>
      <w:r>
        <w:rPr>
          <w:b/>
          <w:bCs/>
          <w:color w:val="1F3864"/>
          <w:sz w:val="18"/>
          <w:szCs w:val="18"/>
          <w:rtl w:val="false"/>
        </w:rPr>
        <w:t xml:space="preserve">Next step: </w:t>
      </w:r>
      <w:r>
        <w:rPr>
          <w:color w:val="262626"/>
          <w:sz w:val="18"/>
          <w:szCs w:val="18"/>
          <w:rtl w:val="false"/>
        </w:rPr>
        <w:t xml:space="preserve">With the Board’s approval, we confirm the graduate profile and module map (Phase 1) and build the agreed scope at the right level.</w:t>
      </w:r>
    </w:p>
    <w:p>
      <w:pPr>
        <w:pBdr>
          <w:top w:val="single" w:color="BFBFBF" w:sz="4" w:space="4"/>
        </w:pBdr>
        <w:bidi w:val="false"/>
        <w:spacing w:before="60"/>
        <w:jc w:val="left"/>
      </w:pPr>
      <w:r>
        <w:rPr>
          <w:color w:val="595959"/>
          <w:sz w:val="15"/>
          <w:szCs w:val="15"/>
          <w:rtl w:val="false"/>
        </w:rPr>
        <w:t xml:space="preserve">Prepared for: Academy of Learning Board of Directors   |   Prepared by: London Gulf Nexus Ltd (LGN)  —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 w:val="false"/>
      <w:spacing w:after="100" w:before="240"/>
      <w:jc w:val="left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bidi w:val="false"/>
      <w:spacing w:after="60" w:before="140"/>
      <w:jc w:val="left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2026-06-15T23:40:03.614Z</dcterms:created>
  <dcterms:modified xsi:type="dcterms:W3CDTF">2026-06-15T23:40:03.614Z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