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9360"/>
      </w:tblGrid>
      <w:tr>
        <w:tc>
          <w:tcPr>
            <w:tcW w:type="dxa" w:w="9360"/>
            <w:shd w:fill="1F3864" w:color="auto" w:val="clear"/>
            <w:tcMar>
              <w:top w:type="dxa" w:w="200"/>
              <w:left w:type="dxa" w:w="240"/>
              <w:bottom w:type="dxa" w:w="200"/>
              <w:right w:type="dxa" w:w="240"/>
            </w:tcMar>
          </w:tcPr>
          <w:p>
            <w:pPr>
              <w:bidi/>
              <w:spacing w:after="60"/>
              <w:jc w:val="right"/>
            </w:pPr>
            <w:r>
              <w:rPr>
                <w:b/>
                <w:bCs/>
                <w:color w:val="FFFFFF"/>
                <w:sz w:val="34"/>
                <w:szCs w:val="34"/>
                <w:rtl/>
              </w:rPr>
              <w:t xml:space="preserve">دبلوم الذكاء الاصطناعي — مقترح شراكة</w:t>
            </w:r>
          </w:p>
          <w:p>
            <w:pPr>
              <w:bidi/>
              <w:spacing w:after="140"/>
              <w:jc w:val="right"/>
            </w:pPr>
            <w:r>
              <w:rPr>
                <w:b/>
                <w:bCs/>
                <w:color w:val="BFD4EC"/>
                <w:sz w:val="22"/>
                <w:szCs w:val="22"/>
                <w:rtl/>
              </w:rPr>
              <w:t xml:space="preserve">نسخة مُحدّثة</w:t>
            </w:r>
          </w:p>
          <w:p>
            <w:pPr>
              <w:bidi/>
              <w:spacing w:after="40"/>
              <w:jc w:val="right"/>
            </w:pPr>
            <w:r>
              <w:rPr>
                <w:color w:val="EAF0F7"/>
                <w:sz w:val="19"/>
                <w:szCs w:val="19"/>
                <w:rtl/>
              </w:rPr>
              <w:t xml:space="preserve">تعزيز دبلوم أكاديمية التعلّم بما يخدم رؤية المملكة 2030</w:t>
            </w:r>
          </w:p>
        </w:tc>
      </w:tr>
    </w:tbl>
    <w:p>
      <w:pPr>
        <w:spacing w:after="120"/>
      </w:pPr>
    </w:p>
    <w:p>
      <w:pPr>
        <w:bidi/>
        <w:spacing w:after="30"/>
        <w:jc w:val="right"/>
      </w:pPr>
      <w:r>
        <w:rPr>
          <w:b/>
          <w:bCs/>
          <w:rtl/>
        </w:rPr>
        <w:t xml:space="preserve">مُعدّ لـ: </w:t>
      </w:r>
      <w:r>
        <w:rPr>
          <w:rtl/>
        </w:rPr>
        <w:t xml:space="preserve">مجلس الإدارة والإدارة التنفيذية — أكاديمية التعلّم (AoL)</w:t>
      </w:r>
    </w:p>
    <w:p>
      <w:pPr>
        <w:bidi/>
        <w:spacing w:after="30"/>
        <w:jc w:val="right"/>
      </w:pPr>
      <w:r>
        <w:rPr>
          <w:b/>
          <w:bCs/>
          <w:rtl/>
        </w:rPr>
        <w:t xml:space="preserve">إعداد: </w:t>
      </w:r>
      <w:r>
        <w:rPr>
          <w:rtl/>
        </w:rPr>
        <w:t xml:space="preserve">شركة لندن غلف نكسس (LGN)</w:t>
      </w:r>
    </w:p>
    <w:p>
      <w:pPr>
        <w:bidi/>
        <w:spacing w:after="160"/>
        <w:jc w:val="right"/>
      </w:pPr>
      <w:r>
        <w:rPr>
          <w:b/>
          <w:bCs/>
          <w:rtl/>
        </w:rPr>
        <w:t xml:space="preserve">التاريخ: </w:t>
      </w:r>
      <w:r>
        <w:rPr>
          <w:rtl/>
        </w:rPr>
        <w:t xml:space="preserve">يونيو 2026</w:t>
      </w:r>
    </w:p>
    <w:p>
      <w:pPr>
        <w:pStyle w:val="Heading1"/>
        <w:bidi/>
        <w:jc w:val="right"/>
      </w:pPr>
      <w:r>
        <w:rPr>
          <w:rtl/>
        </w:rPr>
        <w:t xml:space="preserve">1. الغرض</w:t>
      </w:r>
    </w:p>
    <w:p>
      <w:pPr>
        <w:bidi/>
        <w:spacing w:after="120" w:line="264"/>
        <w:jc w:val="right"/>
      </w:pPr>
      <w:r>
        <w:rPr>
          <w:rtl/>
        </w:rPr>
        <w:t xml:space="preserve">يستجيب هذا المقترح المُحدّث مباشرةً لملاحظات الأكاديمية. فهو يحافظ على نقاط القوة في الدبلوم الحالي، ويضيف مساراً عملياً وميسّراً في الذكاء الاصطناعي يناسب طلاب الدبلوم المموّلين حكومياً. وقد جرى تعديل المستوى الأكاديمي ليلائم الفئة المستهدفة، وتبسيط الهيكل، وتُرك تحديد التكلفة بالكامل للأكاديمية.</w:t>
      </w:r>
    </w:p>
    <w:p>
      <w:pPr>
        <w:pStyle w:val="Heading1"/>
        <w:bidi/>
        <w:jc w:val="right"/>
      </w:pPr>
      <w:r>
        <w:rPr>
          <w:rtl/>
        </w:rPr>
        <w:t xml:space="preserve">2. الفرصة</w:t>
      </w:r>
    </w:p>
    <w:p>
      <w:pPr>
        <w:bidi/>
        <w:spacing w:after="120" w:line="264"/>
        <w:jc w:val="right"/>
      </w:pPr>
      <w:r>
        <w:rPr>
          <w:rtl/>
        </w:rPr>
        <w:t xml:space="preserve">جعلت رؤية 2030 من مهارات الذكاء الاصطناعي والتحول الرقمي أولوية وطنية. ويتزايد الطلب على خريجين قادرين على استخدام أدوات الذكاء الاصطناعي بثقة في بيئة العمل — وليس المتخصصين فقط. ويُعدّ طلاب الدبلوم المموّلون حكومياً فئة مثالية لهذا البرنامج، إذ يحتاجون إلى مهارات عملية جاهزة لسوق العمل بمستوى ميسّر. والأكاديمية في موقع مثالي لتلبية هذا الطلب عبر تطوير دبلومها الحالي بدلاً من استبداله.</w:t>
      </w:r>
    </w:p>
    <w:p>
      <w:pPr>
        <w:pStyle w:val="Heading1"/>
        <w:bidi/>
        <w:jc w:val="right"/>
      </w:pPr>
      <w:r>
        <w:rPr>
          <w:rtl/>
        </w:rPr>
        <w:t xml:space="preserve">3. تصميم البرنامج — نموذج بمسارين</w:t>
      </w:r>
    </w:p>
    <w:p>
      <w:pPr>
        <w:bidi/>
        <w:spacing w:after="120" w:line="264"/>
        <w:jc w:val="right"/>
      </w:pPr>
      <w:r>
        <w:rPr>
          <w:rtl/>
        </w:rPr>
        <w:t xml:space="preserve">لمواءمة الفئة المستهدفة، يقوم دبلوم الذكاء الاصطناعي على مسارين. ويُبقي هذا النموذج البرنامج في متناول الأغلبية، مع إتاحة العمق للطلاب المتميزين.</w:t>
      </w:r>
    </w:p>
    <w:p>
      <w:pPr>
        <w:pStyle w:val="Heading2"/>
        <w:bidi/>
        <w:jc w:val="right"/>
      </w:pPr>
      <w:r>
        <w:rPr>
          <w:rtl/>
        </w:rPr>
        <w:t xml:space="preserve">المسار الأساسي — لجميع الطلاب</w:t>
      </w:r>
    </w:p>
    <w:p>
      <w:pPr>
        <w:bidi/>
        <w:spacing w:after="120" w:line="264"/>
        <w:jc w:val="right"/>
      </w:pPr>
      <w:r>
        <w:rPr>
          <w:rtl/>
        </w:rPr>
        <w:t xml:space="preserve">تأسيسي وتطبيقي، دون متطلبات سابقة متقدمة، ويركّز على الجاهزية العملية:</w:t>
      </w:r>
    </w:p>
    <w:p>
      <w:pPr>
        <w:pStyle w:val="ListParagraph"/>
        <w:numPr>
          <w:ilvl w:val="0"/>
          <w:numId w:val="2"/>
        </w:numPr>
        <w:bidi/>
        <w:spacing w:after="60" w:line="252"/>
        <w:jc w:val="right"/>
      </w:pPr>
      <w:r>
        <w:rPr>
          <w:b w:val="false"/>
          <w:bCs w:val="false"/>
          <w:rtl/>
        </w:rPr>
        <w:t xml:space="preserve">فهم الذكاء الاصطناعي وكيفية استخدامه في بيئة العمل</w:t>
      </w:r>
    </w:p>
    <w:p>
      <w:pPr>
        <w:pStyle w:val="ListParagraph"/>
        <w:numPr>
          <w:ilvl w:val="0"/>
          <w:numId w:val="2"/>
        </w:numPr>
        <w:bidi/>
        <w:spacing w:after="60" w:line="252"/>
        <w:jc w:val="right"/>
      </w:pPr>
      <w:r>
        <w:rPr>
          <w:b w:val="false"/>
          <w:bCs w:val="false"/>
          <w:rtl/>
        </w:rPr>
        <w:t xml:space="preserve">استخدام أدوات الذكاء الاصطناعي والأتمتة اليومية بفعالية</w:t>
      </w:r>
    </w:p>
    <w:p>
      <w:pPr>
        <w:pStyle w:val="ListParagraph"/>
        <w:numPr>
          <w:ilvl w:val="0"/>
          <w:numId w:val="2"/>
        </w:numPr>
        <w:bidi/>
        <w:spacing w:after="60" w:line="252"/>
        <w:jc w:val="right"/>
      </w:pPr>
      <w:r>
        <w:rPr>
          <w:b w:val="false"/>
          <w:bCs w:val="false"/>
          <w:rtl/>
        </w:rPr>
        <w:t xml:space="preserve">مهارات أساسية في البيانات وقراءة لوحات المعلومات البسيطة</w:t>
      </w:r>
    </w:p>
    <w:p>
      <w:pPr>
        <w:pStyle w:val="ListParagraph"/>
        <w:numPr>
          <w:ilvl w:val="0"/>
          <w:numId w:val="2"/>
        </w:numPr>
        <w:bidi/>
        <w:spacing w:after="60" w:line="252"/>
        <w:jc w:val="right"/>
      </w:pPr>
      <w:r>
        <w:rPr>
          <w:b w:val="false"/>
          <w:bCs w:val="false"/>
          <w:rtl/>
        </w:rPr>
        <w:t xml:space="preserve">الاستخدام المسؤول والأخلاقي للذكاء الاصطناعي</w:t>
      </w:r>
    </w:p>
    <w:p>
      <w:pPr>
        <w:pStyle w:val="ListParagraph"/>
        <w:numPr>
          <w:ilvl w:val="0"/>
          <w:numId w:val="2"/>
        </w:numPr>
        <w:bidi/>
        <w:spacing w:after="60" w:line="252"/>
        <w:jc w:val="right"/>
      </w:pPr>
      <w:r>
        <w:rPr>
          <w:b w:val="false"/>
          <w:bCs w:val="false"/>
          <w:rtl/>
        </w:rPr>
        <w:t xml:space="preserve">مشاريع تطبيقية صغيرة مرتبطة بمهام عمل واقعية</w:t>
      </w:r>
    </w:p>
    <w:p>
      <w:pPr>
        <w:pStyle w:val="Heading2"/>
        <w:bidi/>
        <w:jc w:val="right"/>
      </w:pPr>
      <w:r>
        <w:rPr>
          <w:rtl/>
        </w:rPr>
        <w:t xml:space="preserve">المسارات الاختيارية المتقدمة — اختيارية</w:t>
      </w:r>
    </w:p>
    <w:p>
      <w:pPr>
        <w:bidi/>
        <w:spacing w:after="120" w:line="264"/>
        <w:jc w:val="right"/>
      </w:pPr>
      <w:r>
        <w:rPr>
          <w:rtl/>
        </w:rPr>
        <w:t xml:space="preserve">للطلاب الأكثر تميزاً أو طموحاً الراغبين في التعمّق، دون رفع مستوى صعوبة المسار الأساسي:</w:t>
      </w:r>
    </w:p>
    <w:p>
      <w:pPr>
        <w:pStyle w:val="ListParagraph"/>
        <w:numPr>
          <w:ilvl w:val="0"/>
          <w:numId w:val="2"/>
        </w:numPr>
        <w:bidi/>
        <w:spacing w:after="60" w:line="252"/>
        <w:jc w:val="right"/>
      </w:pPr>
      <w:r>
        <w:rPr>
          <w:b w:val="false"/>
          <w:bCs w:val="false"/>
          <w:rtl/>
        </w:rPr>
        <w:t xml:space="preserve">مقدمة في تحليل البيانات</w:t>
      </w:r>
    </w:p>
    <w:p>
      <w:pPr>
        <w:pStyle w:val="ListParagraph"/>
        <w:numPr>
          <w:ilvl w:val="0"/>
          <w:numId w:val="2"/>
        </w:numPr>
        <w:bidi/>
        <w:spacing w:after="60" w:line="252"/>
        <w:jc w:val="right"/>
      </w:pPr>
      <w:r>
        <w:rPr>
          <w:b w:val="false"/>
          <w:bCs w:val="false"/>
          <w:rtl/>
        </w:rPr>
        <w:t xml:space="preserve">أساسيات تعلّم الآلة</w:t>
      </w:r>
    </w:p>
    <w:p>
      <w:pPr>
        <w:pStyle w:val="ListParagraph"/>
        <w:numPr>
          <w:ilvl w:val="0"/>
          <w:numId w:val="2"/>
        </w:numPr>
        <w:bidi/>
        <w:spacing w:after="60" w:line="252"/>
        <w:jc w:val="right"/>
      </w:pPr>
      <w:r>
        <w:rPr>
          <w:b w:val="false"/>
          <w:bCs w:val="false"/>
          <w:rtl/>
        </w:rPr>
        <w:t xml:space="preserve">التحضير لشهادات مهنية للمستوى التمهيدي</w:t>
      </w:r>
    </w:p>
    <w:p>
      <w:pPr>
        <w:pStyle w:val="Heading1"/>
        <w:bidi/>
        <w:jc w:val="right"/>
      </w:pPr>
      <w:r>
        <w:rPr>
          <w:rtl/>
        </w:rPr>
        <w:t xml:space="preserve">4. ما تقدّمه شركة LGN</w:t>
      </w:r>
    </w:p>
    <w:p>
      <w:pPr>
        <w:pStyle w:val="ListParagraph"/>
        <w:numPr>
          <w:ilvl w:val="0"/>
          <w:numId w:val="2"/>
        </w:numPr>
        <w:bidi/>
        <w:spacing w:after="60" w:line="252"/>
        <w:jc w:val="right"/>
      </w:pPr>
      <w:r>
        <w:rPr>
          <w:b/>
          <w:bCs/>
          <w:rtl/>
        </w:rPr>
        <w:t xml:space="preserve">تصميم المناهج </w:t>
      </w:r>
      <w:r>
        <w:rPr>
          <w:rtl/>
        </w:rPr>
        <w:t xml:space="preserve">بما يتلاءم مع دبلوم الأكاديمية الحالي ومستوى الفئة المستهدفة</w:t>
      </w:r>
    </w:p>
    <w:p>
      <w:pPr>
        <w:pStyle w:val="ListParagraph"/>
        <w:numPr>
          <w:ilvl w:val="0"/>
          <w:numId w:val="2"/>
        </w:numPr>
        <w:bidi/>
        <w:spacing w:after="60" w:line="252"/>
        <w:jc w:val="right"/>
      </w:pPr>
      <w:r>
        <w:rPr>
          <w:b/>
          <w:bCs/>
          <w:rtl/>
        </w:rPr>
        <w:t xml:space="preserve">تمكين أعضاء هيئة التدريس </w:t>
      </w:r>
      <w:r>
        <w:rPr>
          <w:rtl/>
        </w:rPr>
        <w:t xml:space="preserve">وتقديم الدعم التدريسي العملي</w:t>
      </w:r>
    </w:p>
    <w:p>
      <w:pPr>
        <w:pStyle w:val="ListParagraph"/>
        <w:numPr>
          <w:ilvl w:val="0"/>
          <w:numId w:val="2"/>
        </w:numPr>
        <w:bidi/>
        <w:spacing w:after="60" w:line="252"/>
        <w:jc w:val="right"/>
      </w:pPr>
      <w:r>
        <w:rPr>
          <w:b/>
          <w:bCs/>
          <w:rtl/>
        </w:rPr>
        <w:t xml:space="preserve">ضمان الجودة </w:t>
      </w:r>
      <w:r>
        <w:rPr>
          <w:rtl/>
        </w:rPr>
        <w:t xml:space="preserve">والإشراف الأكاديمي الميسّر</w:t>
      </w:r>
    </w:p>
    <w:p>
      <w:pPr>
        <w:pStyle w:val="ListParagraph"/>
        <w:numPr>
          <w:ilvl w:val="0"/>
          <w:numId w:val="2"/>
        </w:numPr>
        <w:bidi/>
        <w:spacing w:after="60" w:line="252"/>
        <w:jc w:val="right"/>
      </w:pPr>
      <w:r>
        <w:rPr>
          <w:b/>
          <w:bCs/>
          <w:rtl/>
        </w:rPr>
        <w:t xml:space="preserve">التحديث السنوي </w:t>
      </w:r>
      <w:r>
        <w:rPr>
          <w:rtl/>
        </w:rPr>
        <w:t xml:space="preserve">للحفاظ على حداثة المحتوى مع تطور الذكاء الاصطناعي</w:t>
      </w:r>
    </w:p>
    <w:p>
      <w:pPr>
        <w:pStyle w:val="ListParagraph"/>
        <w:numPr>
          <w:ilvl w:val="0"/>
          <w:numId w:val="2"/>
        </w:numPr>
        <w:bidi/>
        <w:spacing w:after="60" w:line="252"/>
        <w:jc w:val="right"/>
      </w:pPr>
      <w:r>
        <w:rPr>
          <w:b/>
          <w:bCs/>
          <w:rtl/>
        </w:rPr>
        <w:t xml:space="preserve">المواءمة الاختيارية للشهادات </w:t>
      </w:r>
      <w:r>
        <w:rPr>
          <w:rtl/>
        </w:rPr>
        <w:t xml:space="preserve">بمستوى ميسّر</w:t>
      </w:r>
    </w:p>
    <w:p>
      <w:pPr>
        <w:pStyle w:val="ListParagraph"/>
        <w:numPr>
          <w:ilvl w:val="0"/>
          <w:numId w:val="2"/>
        </w:numPr>
        <w:bidi/>
        <w:spacing w:after="60" w:line="252"/>
        <w:jc w:val="right"/>
      </w:pPr>
      <w:r>
        <w:rPr>
          <w:b/>
          <w:bCs/>
          <w:rtl/>
        </w:rPr>
        <w:t xml:space="preserve">دعم العلامة المشتركة </w:t>
      </w:r>
      <w:r>
        <w:rPr>
          <w:rtl/>
        </w:rPr>
        <w:t xml:space="preserve">والتموضع</w:t>
      </w:r>
    </w:p>
    <w:p>
      <w:pPr>
        <w:bidi/>
        <w:spacing w:after="120" w:line="264"/>
        <w:jc w:val="right"/>
      </w:pPr>
      <w:r>
        <w:rPr>
          <w:rtl/>
        </w:rPr>
        <w:t xml:space="preserve">يقتصر دور LGN على تمكين فريق الأكاديمية وحماية الجودة — لا على تولّي التنفيذ.</w:t>
      </w:r>
    </w:p>
    <w:p>
      <w:pPr>
        <w:pStyle w:val="Heading1"/>
        <w:bidi/>
        <w:jc w:val="right"/>
      </w:pPr>
      <w:r>
        <w:rPr>
          <w:rtl/>
        </w:rPr>
        <w:t xml:space="preserve">5. مسارات الشهادات المهنية (اختيارية)</w:t>
      </w:r>
    </w:p>
    <w:p>
      <w:pPr>
        <w:bidi/>
        <w:spacing w:after="120" w:line="264"/>
        <w:jc w:val="right"/>
      </w:pPr>
      <w:r>
        <w:rPr>
          <w:rtl/>
        </w:rPr>
        <w:t xml:space="preserve">عند الحاجة، يمكن لوحدات مختارة أن تُهيّئ الطلاب المهتمين لاجتياز شهادات معترف بها للمستوى التمهيدي، مثل شهادات أساسيات الحوسبة السحابية أو أساسيات الذكاء الاصطناعي. هذه المسارات اختيارية وتهدف إلى تعزيز قابلية التوظيف — والدبلوم ليس دورة تحضير لشهادات. وتبقى الشهادات الأكثر تقدماً متاحةً كمسارات اختيارية للطلاب الأكثر تميزاً فقط.</w:t>
      </w:r>
    </w:p>
    <w:p>
      <w:pPr>
        <w:pStyle w:val="Heading1"/>
        <w:bidi/>
        <w:jc w:val="right"/>
      </w:pPr>
      <w:r>
        <w:rPr>
          <w:rtl/>
        </w:rPr>
        <w:t xml:space="preserve">6. التنفيذ والتسليم</w:t>
      </w:r>
    </w:p>
    <w:p>
      <w:pPr>
        <w:pStyle w:val="ListParagraph"/>
        <w:numPr>
          <w:ilvl w:val="0"/>
          <w:numId w:val="2"/>
        </w:numPr>
        <w:bidi/>
        <w:spacing w:after="60" w:line="252"/>
        <w:jc w:val="right"/>
      </w:pPr>
      <w:r>
        <w:rPr>
          <w:b/>
          <w:bCs/>
          <w:rtl/>
        </w:rPr>
        <w:t xml:space="preserve">المرحلة 1 — التصميم: </w:t>
      </w:r>
      <w:r>
        <w:rPr>
          <w:rtl/>
        </w:rPr>
        <w:t xml:space="preserve">اعتماد ملف الخرّيج ومخرجات التعلّم وخريطة الوحدات بما يتوافق مع دبلوم الأكاديمية.</w:t>
      </w:r>
    </w:p>
    <w:p>
      <w:pPr>
        <w:pStyle w:val="ListParagraph"/>
        <w:numPr>
          <w:ilvl w:val="0"/>
          <w:numId w:val="2"/>
        </w:numPr>
        <w:bidi/>
        <w:spacing w:after="60" w:line="252"/>
        <w:jc w:val="right"/>
      </w:pPr>
      <w:r>
        <w:rPr>
          <w:b/>
          <w:bCs/>
          <w:rtl/>
        </w:rPr>
        <w:t xml:space="preserve">المرحلة 2 — البناء: </w:t>
      </w:r>
      <w:r>
        <w:rPr>
          <w:rtl/>
        </w:rPr>
        <w:t xml:space="preserve">تطوير الوحدات والتقييمات المتفق عليها بالمستوى المناسب.</w:t>
      </w:r>
    </w:p>
    <w:p>
      <w:pPr>
        <w:pStyle w:val="ListParagraph"/>
        <w:numPr>
          <w:ilvl w:val="0"/>
          <w:numId w:val="2"/>
        </w:numPr>
        <w:bidi/>
        <w:spacing w:after="60" w:line="252"/>
        <w:jc w:val="right"/>
      </w:pPr>
      <w:r>
        <w:rPr>
          <w:b/>
          <w:bCs/>
          <w:rtl/>
        </w:rPr>
        <w:t xml:space="preserve">المرحلة 3 — التمكين: </w:t>
      </w:r>
      <w:r>
        <w:rPr>
          <w:rtl/>
        </w:rPr>
        <w:t xml:space="preserve">تدريب هيئة التدريس والتحقق من الجودة والتسليم.</w:t>
      </w:r>
    </w:p>
    <w:p>
      <w:pPr>
        <w:bidi/>
        <w:spacing w:after="120" w:line="264"/>
        <w:jc w:val="right"/>
      </w:pPr>
      <w:r>
        <w:rPr>
          <w:rtl/>
        </w:rPr>
        <w:t xml:space="preserve">يخضع النطاق والجدول الزمني للمرونة وفق تفضيلات الأكاديمية وميزانيتها.</w:t>
      </w:r>
    </w:p>
    <w:p>
      <w:pPr>
        <w:pStyle w:val="Heading1"/>
        <w:bidi/>
        <w:jc w:val="right"/>
      </w:pPr>
      <w:r>
        <w:rPr>
          <w:rtl/>
        </w:rPr>
        <w:t xml:space="preserve">7. النهج التجاري</w:t>
      </w:r>
    </w:p>
    <w:p>
      <w:pPr>
        <w:bidi/>
        <w:spacing w:after="120" w:line="264"/>
        <w:jc w:val="right"/>
      </w:pPr>
      <w:r>
        <w:rPr>
          <w:rtl/>
        </w:rPr>
        <w:t xml:space="preserve">انسجاماً مع ملاحظات الأكاديمية، تُرك تحديد التكلفة للأكاديمية. والنموذج معياري بالكامل: تختار الأكاديمية عدد الوحدات والنطاق الذي تريده، وتحدّد الرسوم الدراسية وفق نموذج تمويلها وترتيباتها الحكومية. وستوفّر شركة LGN هيكل تكلفة مرناً ومرحلياً عند الطلب، بما يتناسب مع النطاق المتفق عليه. ولا يتضمّن هذا المقترح المُحدّث أي رسوم مسبقة ثابتة ولا أي حصة إلزامية من الإيرادات.</w:t>
      </w:r>
    </w:p>
    <w:p>
      <w:pPr>
        <w:pStyle w:val="Heading1"/>
        <w:bidi/>
        <w:jc w:val="right"/>
      </w:pPr>
      <w:r>
        <w:rPr>
          <w:rtl/>
        </w:rPr>
        <w:t xml:space="preserve">8. النتيجة بالنسبة للأكاديمية</w:t>
      </w:r>
    </w:p>
    <w:p>
      <w:pPr>
        <w:pStyle w:val="ListParagraph"/>
        <w:numPr>
          <w:ilvl w:val="0"/>
          <w:numId w:val="2"/>
        </w:numPr>
        <w:bidi/>
        <w:spacing w:after="60" w:line="252"/>
        <w:jc w:val="right"/>
      </w:pPr>
      <w:r>
        <w:rPr>
          <w:b w:val="false"/>
          <w:bCs w:val="false"/>
          <w:rtl/>
        </w:rPr>
        <w:t xml:space="preserve">يعزّز دبلوم الأكاديمية الحالي — ولا يستبدله</w:t>
      </w:r>
    </w:p>
    <w:p>
      <w:pPr>
        <w:pStyle w:val="ListParagraph"/>
        <w:numPr>
          <w:ilvl w:val="0"/>
          <w:numId w:val="2"/>
        </w:numPr>
        <w:bidi/>
        <w:spacing w:after="60" w:line="252"/>
        <w:jc w:val="right"/>
      </w:pPr>
      <w:r>
        <w:rPr>
          <w:b w:val="false"/>
          <w:bCs w:val="false"/>
          <w:rtl/>
        </w:rPr>
        <w:t xml:space="preserve">في متناول طلاب الدبلوم المموّلين حكومياً</w:t>
      </w:r>
    </w:p>
    <w:p>
      <w:pPr>
        <w:pStyle w:val="ListParagraph"/>
        <w:numPr>
          <w:ilvl w:val="0"/>
          <w:numId w:val="2"/>
        </w:numPr>
        <w:bidi/>
        <w:spacing w:after="60" w:line="252"/>
        <w:jc w:val="right"/>
      </w:pPr>
      <w:r>
        <w:rPr>
          <w:b w:val="false"/>
          <w:bCs w:val="false"/>
          <w:rtl/>
        </w:rPr>
        <w:t xml:space="preserve">يضيف عمقاً اختيارياً للطلاب المتميزين</w:t>
      </w:r>
    </w:p>
    <w:p>
      <w:pPr>
        <w:pStyle w:val="ListParagraph"/>
        <w:numPr>
          <w:ilvl w:val="0"/>
          <w:numId w:val="2"/>
        </w:numPr>
        <w:bidi/>
        <w:spacing w:after="60" w:line="252"/>
        <w:jc w:val="right"/>
      </w:pPr>
      <w:r>
        <w:rPr>
          <w:b w:val="false"/>
          <w:bCs w:val="false"/>
          <w:rtl/>
        </w:rPr>
        <w:t xml:space="preserve">متوائم مع أهداف القوى العاملة في رؤية 2030</w:t>
      </w:r>
    </w:p>
    <w:p>
      <w:pPr>
        <w:pStyle w:val="ListParagraph"/>
        <w:numPr>
          <w:ilvl w:val="0"/>
          <w:numId w:val="2"/>
        </w:numPr>
        <w:bidi/>
        <w:spacing w:after="60" w:line="252"/>
        <w:jc w:val="right"/>
      </w:pPr>
      <w:r>
        <w:rPr>
          <w:b w:val="false"/>
          <w:bCs w:val="false"/>
          <w:rtl/>
        </w:rPr>
        <w:t xml:space="preserve">قابل للتوسّع، بشروط تجارية تناسب ميزانية الأكاديمية</w:t>
      </w:r>
    </w:p>
    <w:p>
      <w:pPr>
        <w:bidi/>
        <w:spacing w:after="40" w:before="160"/>
        <w:jc w:val="right"/>
      </w:pPr>
      <w:r>
        <w:rPr>
          <w:i/>
          <w:iCs/>
          <w:color w:val="595959"/>
          <w:rtl/>
        </w:rPr>
        <w:t xml:space="preserve">نرحّب بملاحظات مجلس الإدارة، ونحن على استعداد لتعديل النطاق والمستوى والهيكل بما يلائم أولويات الأكاديمية.</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4"/>
      </w:pBdr>
      <w:jc w:val="center"/>
    </w:pPr>
    <w:r>
      <w:rPr>
        <w:color w:val="595959"/>
        <w:sz w:val="16"/>
        <w:szCs w:val="16"/>
        <w:rtl/>
      </w:rPr>
      <w:t xml:space="preserve">سري — لمجلس إدارة أكاديمية التعلّم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4"/>
      </w:pBdr>
      <w:bidi/>
      <w:jc w:val="right"/>
    </w:pPr>
    <w:r>
      <w:rPr>
        <w:color w:val="595959"/>
        <w:sz w:val="16"/>
        <w:szCs w:val="16"/>
        <w:rtl/>
      </w:rPr>
      <w:t xml:space="preserve">شركة لندن غلف نكسس  |  مقترح دبلوم الذكاء الاصطناعي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460" w:hanging="260"/>
      </w:pPr>
    </w:lvl>
  </w:abstractNum>
  <w:abstractNum w:abstractNumId="3" w15:restartNumberingAfterBreak="0">
    <w:multiLevelType w:val="hybridMultilevel"/>
    <w:lvl w:ilvl="0" w15:tentative="1">
      <w:start w:val="1"/>
      <w:numFmt w:val="decimal"/>
      <w:lvlText w:val="%1."/>
      <w:lvlJc w:val="righ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100" w:before="240"/>
      <w:jc w:val="right"/>
      <w:outlineLvl w:val="0"/>
    </w:pPr>
    <w:rPr>
      <w:rFonts w:ascii="Arial" w:cs="Arial" w:eastAsia="Arial" w:hAnsi="Arial"/>
      <w:b/>
      <w:bCs/>
      <w:color w:val="1F3864"/>
      <w:sz w:val="26"/>
      <w:szCs w:val="26"/>
    </w:rPr>
  </w:style>
  <w:style w:type="paragraph" w:styleId="Heading2">
    <w:name w:val="Heading 2"/>
    <w:basedOn w:val="Normal"/>
    <w:next w:val="Normal"/>
    <w:qFormat/>
    <w:pPr>
      <w:bidi/>
      <w:spacing w:after="60" w:before="140"/>
      <w:jc w:val="right"/>
      <w:outlineLvl w:val="1"/>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2026-06-15T23:40:03.533Z</dcterms:created>
  <dcterms:modified xsi:type="dcterms:W3CDTF">2026-06-15T23:40:03.533Z</dcterms:modified>
</cp:coreProperties>
</file>

<file path=docProps/custom.xml><?xml version="1.0" encoding="utf-8"?>
<Properties xmlns="http://schemas.openxmlformats.org/officeDocument/2006/custom-properties" xmlns:vt="http://schemas.openxmlformats.org/officeDocument/2006/docPropsVTypes"/>
</file>