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1F3864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bidi w:val="false"/>
              <w:spacing w:after="60"/>
              <w:jc w:val="left"/>
            </w:pPr>
            <w:r>
              <w:rPr>
                <w:b/>
                <w:bCs/>
                <w:color w:val="FFFFFF"/>
                <w:sz w:val="34"/>
                <w:szCs w:val="34"/>
                <w:rtl w:val="false"/>
              </w:rPr>
              <w:t xml:space="preserve">AI Diploma — Partnership Proposal</w:t>
            </w:r>
          </w:p>
          <w:p>
            <w:pPr>
              <w:bidi w:val="false"/>
              <w:spacing w:after="140"/>
              <w:jc w:val="left"/>
            </w:pPr>
            <w:r>
              <w:rPr>
                <w:b/>
                <w:bCs/>
                <w:color w:val="BFD4EC"/>
                <w:sz w:val="22"/>
                <w:szCs w:val="22"/>
                <w:rtl w:val="false"/>
              </w:rPr>
              <w:t xml:space="preserve">Revised Edition</w:t>
            </w:r>
          </w:p>
          <w:p>
            <w:pPr>
              <w:bidi w:val="false"/>
              <w:spacing w:after="40"/>
              <w:jc w:val="left"/>
            </w:pPr>
            <w:r>
              <w:rPr>
                <w:color w:val="EAF0F7"/>
                <w:sz w:val="19"/>
                <w:szCs w:val="19"/>
                <w:rtl w:val="false"/>
              </w:rPr>
              <w:t xml:space="preserve">Strengthening Academy of Learning’s Diploma Offering in Support of Vision 2030</w:t>
            </w:r>
          </w:p>
        </w:tc>
      </w:tr>
    </w:tbl>
    <w:p>
      <w:pPr>
        <w:spacing w:after="120"/>
      </w:pPr>
    </w:p>
    <w:p>
      <w:pPr>
        <w:spacing w:after="30"/>
      </w:pPr>
      <w:r>
        <w:rPr>
          <w:b/>
          <w:bCs/>
        </w:rPr>
        <w:t xml:space="preserve">Prepared for: </w:t>
      </w:r>
      <w:r>
        <w:t xml:space="preserve">Board of Directors &amp; Executive Management, Academy of Learning (AoL)</w:t>
      </w:r>
    </w:p>
    <w:p>
      <w:pPr>
        <w:spacing w:after="30"/>
      </w:pPr>
      <w:r>
        <w:rPr>
          <w:b/>
          <w:bCs/>
        </w:rPr>
        <w:t xml:space="preserve">Prepared by: </w:t>
      </w:r>
      <w:r>
        <w:t xml:space="preserve">London Gulf Nexus Ltd (LGN)</w:t>
      </w:r>
    </w:p>
    <w:p>
      <w:pPr>
        <w:spacing w:after="160"/>
      </w:pPr>
      <w:r>
        <w:rPr>
          <w:b/>
          <w:bCs/>
        </w:rPr>
        <w:t xml:space="preserve">Date: </w:t>
      </w:r>
      <w:r>
        <w:t xml:space="preserve">June 2026</w:t>
      </w:r>
    </w:p>
    <w:p>
      <w:pPr>
        <w:pStyle w:val="Heading1"/>
        <w:bidi w:val="false"/>
        <w:jc w:val="left"/>
      </w:pPr>
      <w:r>
        <w:rPr>
          <w:rtl w:val="false"/>
        </w:rPr>
        <w:t xml:space="preserve">1. Purpose</w:t>
      </w:r>
    </w:p>
    <w:p>
      <w:pPr>
        <w:bidi w:val="false"/>
        <w:spacing w:after="120" w:line="264"/>
        <w:jc w:val="left"/>
      </w:pPr>
      <w:r>
        <w:rPr>
          <w:rtl w:val="false"/>
        </w:rPr>
        <w:t xml:space="preserve">This revised proposal responds directly to AoL’s feedback. It keeps the strengths of AoL’s existing diploma while adding a practical, accessible AI track suited to government-funded diploma students. The academic level has been adjusted to fit the target market, the structure has been shortened, and the cost is left entirely for AoL to define.</w:t>
      </w:r>
    </w:p>
    <w:p>
      <w:pPr>
        <w:pStyle w:val="Heading1"/>
        <w:bidi w:val="false"/>
        <w:jc w:val="left"/>
      </w:pPr>
      <w:r>
        <w:rPr>
          <w:rtl w:val="false"/>
        </w:rPr>
        <w:t xml:space="preserve">2. The Opportunity</w:t>
      </w:r>
    </w:p>
    <w:p>
      <w:pPr>
        <w:bidi w:val="false"/>
        <w:spacing w:after="120" w:line="264"/>
        <w:jc w:val="left"/>
      </w:pPr>
      <w:r>
        <w:rPr>
          <w:rtl w:val="false"/>
        </w:rPr>
        <w:t xml:space="preserve">Vision 2030 has made AI and digital skills a national priority. Demand is growing for graduates who can use AI tools confidently in the workplace — not only specialists. Government-funded diploma students are an ideal audience: they need practical, job-ready skills delivered at an accessible level. AoL is well placed to meet this demand by enhancing its current diploma rather than replacing it.</w:t>
      </w:r>
    </w:p>
    <w:p>
      <w:pPr>
        <w:pStyle w:val="Heading1"/>
        <w:bidi w:val="false"/>
        <w:jc w:val="left"/>
      </w:pPr>
      <w:r>
        <w:rPr>
          <w:rtl w:val="false"/>
        </w:rPr>
        <w:t xml:space="preserve">3. Programme Design — A Two-Track Model</w:t>
      </w:r>
    </w:p>
    <w:p>
      <w:pPr>
        <w:bidi w:val="false"/>
        <w:spacing w:after="120" w:line="264"/>
        <w:jc w:val="left"/>
      </w:pPr>
      <w:r>
        <w:rPr>
          <w:rtl w:val="false"/>
        </w:rPr>
        <w:t xml:space="preserve">To match the target market, the AI Diploma is built on two tracks. This keeps the programme achievable for the majority while still offering depth for high performers.</w:t>
      </w:r>
    </w:p>
    <w:p>
      <w:pPr>
        <w:pStyle w:val="Heading2"/>
        <w:bidi w:val="false"/>
        <w:jc w:val="left"/>
      </w:pPr>
      <w:r>
        <w:rPr>
          <w:rtl w:val="false"/>
        </w:rPr>
        <w:t xml:space="preserve">Core Track — for all students</w:t>
      </w:r>
    </w:p>
    <w:p>
      <w:pPr>
        <w:bidi w:val="false"/>
        <w:spacing w:after="120" w:line="264"/>
        <w:jc w:val="left"/>
      </w:pPr>
      <w:r>
        <w:rPr>
          <w:rtl w:val="false"/>
        </w:rPr>
        <w:t xml:space="preserve">Foundational and applied, with no advanced prerequisites. Focused on practical readiness:</w:t>
      </w:r>
    </w:p>
    <w:p>
      <w:pPr>
        <w:pStyle w:val="ListParagraph"/>
        <w:numPr>
          <w:ilvl w:val="0"/>
          <w:numId w:val="2"/>
        </w:numPr>
        <w:bidi w:val="false"/>
        <w:spacing w:after="60" w:line="252"/>
        <w:jc w:val="left"/>
      </w:pPr>
      <w:r>
        <w:rPr>
          <w:b w:val="false"/>
          <w:bCs w:val="false"/>
          <w:rtl w:val="false"/>
        </w:rPr>
        <w:t xml:space="preserve">Understanding AI and how it is used at work</w:t>
      </w:r>
    </w:p>
    <w:p>
      <w:pPr>
        <w:pStyle w:val="ListParagraph"/>
        <w:numPr>
          <w:ilvl w:val="0"/>
          <w:numId w:val="2"/>
        </w:numPr>
        <w:bidi w:val="false"/>
        <w:spacing w:after="60" w:line="252"/>
        <w:jc w:val="left"/>
      </w:pPr>
      <w:r>
        <w:rPr>
          <w:b w:val="false"/>
          <w:bCs w:val="false"/>
          <w:rtl w:val="false"/>
        </w:rPr>
        <w:t xml:space="preserve">Using everyday AI and automation tools effectively</w:t>
      </w:r>
    </w:p>
    <w:p>
      <w:pPr>
        <w:pStyle w:val="ListParagraph"/>
        <w:numPr>
          <w:ilvl w:val="0"/>
          <w:numId w:val="2"/>
        </w:numPr>
        <w:bidi w:val="false"/>
        <w:spacing w:after="60" w:line="252"/>
        <w:jc w:val="left"/>
      </w:pPr>
      <w:r>
        <w:rPr>
          <w:b w:val="false"/>
          <w:bCs w:val="false"/>
          <w:rtl w:val="false"/>
        </w:rPr>
        <w:t xml:space="preserve">Basic data skills and reading simple dashboards</w:t>
      </w:r>
    </w:p>
    <w:p>
      <w:pPr>
        <w:pStyle w:val="ListParagraph"/>
        <w:numPr>
          <w:ilvl w:val="0"/>
          <w:numId w:val="2"/>
        </w:numPr>
        <w:bidi w:val="false"/>
        <w:spacing w:after="60" w:line="252"/>
        <w:jc w:val="left"/>
      </w:pPr>
      <w:r>
        <w:rPr>
          <w:b w:val="false"/>
          <w:bCs w:val="false"/>
          <w:rtl w:val="false"/>
        </w:rPr>
        <w:t xml:space="preserve">Responsible and ethical use of AI</w:t>
      </w:r>
    </w:p>
    <w:p>
      <w:pPr>
        <w:pStyle w:val="ListParagraph"/>
        <w:numPr>
          <w:ilvl w:val="0"/>
          <w:numId w:val="2"/>
        </w:numPr>
        <w:bidi w:val="false"/>
        <w:spacing w:after="60" w:line="252"/>
        <w:jc w:val="left"/>
      </w:pPr>
      <w:r>
        <w:rPr>
          <w:b w:val="false"/>
          <w:bCs w:val="false"/>
          <w:rtl w:val="false"/>
        </w:rPr>
        <w:t xml:space="preserve">Hands-on mini-projects tied to real workplace tasks</w:t>
      </w:r>
    </w:p>
    <w:p>
      <w:pPr>
        <w:pStyle w:val="Heading2"/>
        <w:bidi w:val="false"/>
        <w:jc w:val="left"/>
      </w:pPr>
      <w:r>
        <w:rPr>
          <w:rtl w:val="false"/>
        </w:rPr>
        <w:t xml:space="preserve">Advanced Electives — optional</w:t>
      </w:r>
    </w:p>
    <w:p>
      <w:pPr>
        <w:bidi w:val="false"/>
        <w:spacing w:after="120" w:line="264"/>
        <w:jc w:val="left"/>
      </w:pPr>
      <w:r>
        <w:rPr>
          <w:rtl w:val="false"/>
        </w:rPr>
        <w:t xml:space="preserve">For stronger or more ambitious students who want to go further, without raising the difficulty of the core programme:</w:t>
      </w:r>
    </w:p>
    <w:p>
      <w:pPr>
        <w:pStyle w:val="ListParagraph"/>
        <w:numPr>
          <w:ilvl w:val="0"/>
          <w:numId w:val="2"/>
        </w:numPr>
        <w:bidi w:val="false"/>
        <w:spacing w:after="60" w:line="252"/>
        <w:jc w:val="left"/>
      </w:pPr>
      <w:r>
        <w:rPr>
          <w:b w:val="false"/>
          <w:bCs w:val="false"/>
          <w:rtl w:val="false"/>
        </w:rPr>
        <w:t xml:space="preserve">Introductory data analysis</w:t>
      </w:r>
    </w:p>
    <w:p>
      <w:pPr>
        <w:pStyle w:val="ListParagraph"/>
        <w:numPr>
          <w:ilvl w:val="0"/>
          <w:numId w:val="2"/>
        </w:numPr>
        <w:bidi w:val="false"/>
        <w:spacing w:after="60" w:line="252"/>
        <w:jc w:val="left"/>
      </w:pPr>
      <w:r>
        <w:rPr>
          <w:b w:val="false"/>
          <w:bCs w:val="false"/>
          <w:rtl w:val="false"/>
        </w:rPr>
        <w:t xml:space="preserve">Machine-learning basics</w:t>
      </w:r>
    </w:p>
    <w:p>
      <w:pPr>
        <w:pStyle w:val="ListParagraph"/>
        <w:numPr>
          <w:ilvl w:val="0"/>
          <w:numId w:val="2"/>
        </w:numPr>
        <w:bidi w:val="false"/>
        <w:spacing w:after="60" w:line="252"/>
        <w:jc w:val="left"/>
      </w:pPr>
      <w:r>
        <w:rPr>
          <w:b w:val="false"/>
          <w:bCs w:val="false"/>
          <w:rtl w:val="false"/>
        </w:rPr>
        <w:t xml:space="preserve">Entry-level certification preparation</w:t>
      </w:r>
    </w:p>
    <w:p>
      <w:pPr>
        <w:pStyle w:val="Heading1"/>
        <w:bidi w:val="false"/>
        <w:jc w:val="left"/>
      </w:pPr>
      <w:r>
        <w:rPr>
          <w:rtl w:val="false"/>
        </w:rPr>
        <w:t xml:space="preserve">4. What LGN Provides</w:t>
      </w:r>
    </w:p>
    <w:p>
      <w:pPr>
        <w:pStyle w:val="ListParagraph"/>
        <w:numPr>
          <w:ilvl w:val="0"/>
          <w:numId w:val="2"/>
        </w:numPr>
        <w:bidi w:val="false"/>
        <w:spacing w:after="60" w:line="252"/>
        <w:jc w:val="left"/>
      </w:pPr>
      <w:r>
        <w:rPr>
          <w:b/>
          <w:bCs/>
          <w:rtl w:val="false"/>
        </w:rPr>
        <w:t xml:space="preserve">Curriculum design </w:t>
      </w:r>
      <w:r>
        <w:rPr>
          <w:rtl w:val="false"/>
        </w:rPr>
        <w:t xml:space="preserve">tailored to AoL’s existing diploma and the target student level</w:t>
      </w:r>
    </w:p>
    <w:p>
      <w:pPr>
        <w:pStyle w:val="ListParagraph"/>
        <w:numPr>
          <w:ilvl w:val="0"/>
          <w:numId w:val="2"/>
        </w:numPr>
        <w:bidi w:val="false"/>
        <w:spacing w:after="60" w:line="252"/>
        <w:jc w:val="left"/>
      </w:pPr>
      <w:r>
        <w:rPr>
          <w:b/>
          <w:bCs/>
          <w:rtl w:val="false"/>
        </w:rPr>
        <w:t xml:space="preserve">Faculty enablement </w:t>
      </w:r>
      <w:r>
        <w:rPr>
          <w:rtl w:val="false"/>
        </w:rPr>
        <w:t xml:space="preserve">and practical teaching support</w:t>
      </w:r>
    </w:p>
    <w:p>
      <w:pPr>
        <w:pStyle w:val="ListParagraph"/>
        <w:numPr>
          <w:ilvl w:val="0"/>
          <w:numId w:val="2"/>
        </w:numPr>
        <w:bidi w:val="false"/>
        <w:spacing w:after="60" w:line="252"/>
        <w:jc w:val="left"/>
      </w:pPr>
      <w:r>
        <w:rPr>
          <w:b/>
          <w:bCs/>
          <w:rtl w:val="false"/>
        </w:rPr>
        <w:t xml:space="preserve">Quality assurance </w:t>
      </w:r>
      <w:r>
        <w:rPr>
          <w:rtl w:val="false"/>
        </w:rPr>
        <w:t xml:space="preserve">and light academic governance</w:t>
      </w:r>
    </w:p>
    <w:p>
      <w:pPr>
        <w:pStyle w:val="ListParagraph"/>
        <w:numPr>
          <w:ilvl w:val="0"/>
          <w:numId w:val="2"/>
        </w:numPr>
        <w:bidi w:val="false"/>
        <w:spacing w:after="60" w:line="252"/>
        <w:jc w:val="left"/>
      </w:pPr>
      <w:r>
        <w:rPr>
          <w:b/>
          <w:bCs/>
          <w:rtl w:val="false"/>
        </w:rPr>
        <w:t xml:space="preserve">Annual refresh </w:t>
      </w:r>
      <w:r>
        <w:rPr>
          <w:rtl w:val="false"/>
        </w:rPr>
        <w:t xml:space="preserve">to keep content current as AI evolves</w:t>
      </w:r>
    </w:p>
    <w:p>
      <w:pPr>
        <w:pStyle w:val="ListParagraph"/>
        <w:numPr>
          <w:ilvl w:val="0"/>
          <w:numId w:val="2"/>
        </w:numPr>
        <w:bidi w:val="false"/>
        <w:spacing w:after="60" w:line="252"/>
        <w:jc w:val="left"/>
      </w:pPr>
      <w:r>
        <w:rPr>
          <w:b/>
          <w:bCs/>
          <w:rtl w:val="false"/>
        </w:rPr>
        <w:t xml:space="preserve">Optional certification alignment </w:t>
      </w:r>
      <w:r>
        <w:rPr>
          <w:rtl w:val="false"/>
        </w:rPr>
        <w:t xml:space="preserve">at an accessible level</w:t>
      </w:r>
    </w:p>
    <w:p>
      <w:pPr>
        <w:pStyle w:val="ListParagraph"/>
        <w:numPr>
          <w:ilvl w:val="0"/>
          <w:numId w:val="2"/>
        </w:numPr>
        <w:bidi w:val="false"/>
        <w:spacing w:after="60" w:line="252"/>
        <w:jc w:val="left"/>
      </w:pPr>
      <w:r>
        <w:rPr>
          <w:b/>
          <w:bCs/>
          <w:rtl w:val="false"/>
        </w:rPr>
        <w:t xml:space="preserve">Co-branding and positioning </w:t>
      </w:r>
      <w:r>
        <w:rPr>
          <w:rtl w:val="false"/>
        </w:rPr>
        <w:t xml:space="preserve">support</w:t>
      </w:r>
    </w:p>
    <w:p>
      <w:pPr>
        <w:bidi w:val="false"/>
        <w:spacing w:after="120" w:line="264"/>
        <w:jc w:val="left"/>
      </w:pPr>
      <w:r>
        <w:rPr>
          <w:rtl w:val="false"/>
        </w:rPr>
        <w:t xml:space="preserve">LGN’s role is to enable AoL’s team and protect quality — not to take over delivery.</w:t>
      </w:r>
    </w:p>
    <w:p>
      <w:pPr>
        <w:pStyle w:val="Heading1"/>
        <w:bidi w:val="false"/>
        <w:jc w:val="left"/>
      </w:pPr>
      <w:r>
        <w:rPr>
          <w:rtl w:val="false"/>
        </w:rPr>
        <w:t xml:space="preserve">5. Certification Pathways (Optional)</w:t>
      </w:r>
    </w:p>
    <w:p>
      <w:pPr>
        <w:bidi w:val="false"/>
        <w:spacing w:after="120" w:line="264"/>
        <w:jc w:val="left"/>
      </w:pPr>
      <w:r>
        <w:rPr>
          <w:rtl w:val="false"/>
        </w:rPr>
        <w:t xml:space="preserve">Where useful, selected modules can prepare interested students for entry-level, recognised certifications such as foundational cloud or AI-fundamentals certificates. These pathways are optional and aimed at employability — the diploma is not a certification prep course. More advanced certifications remain available only as electives for the strongest students.</w:t>
      </w:r>
    </w:p>
    <w:p>
      <w:pPr>
        <w:pStyle w:val="Heading1"/>
        <w:bidi w:val="false"/>
        <w:jc w:val="left"/>
      </w:pPr>
      <w:r>
        <w:rPr>
          <w:rtl w:val="false"/>
        </w:rPr>
        <w:t xml:space="preserve">6. Delivery &amp; Implementation</w:t>
      </w:r>
    </w:p>
    <w:p>
      <w:pPr>
        <w:pStyle w:val="ListParagraph"/>
        <w:numPr>
          <w:ilvl w:val="0"/>
          <w:numId w:val="2"/>
        </w:numPr>
        <w:bidi w:val="false"/>
        <w:spacing w:after="60" w:line="252"/>
        <w:jc w:val="left"/>
      </w:pPr>
      <w:r>
        <w:rPr>
          <w:b/>
          <w:bCs/>
          <w:rtl w:val="false"/>
        </w:rPr>
        <w:t xml:space="preserve">Phase 1 — Design: </w:t>
      </w:r>
      <w:r>
        <w:rPr>
          <w:rtl w:val="false"/>
        </w:rPr>
        <w:t xml:space="preserve">confirm the graduate profile, learning outcomes, and module map aligned to AoL’s diploma.</w:t>
      </w:r>
    </w:p>
    <w:p>
      <w:pPr>
        <w:pStyle w:val="ListParagraph"/>
        <w:numPr>
          <w:ilvl w:val="0"/>
          <w:numId w:val="2"/>
        </w:numPr>
        <w:bidi w:val="false"/>
        <w:spacing w:after="60" w:line="252"/>
        <w:jc w:val="left"/>
      </w:pPr>
      <w:r>
        <w:rPr>
          <w:b/>
          <w:bCs/>
          <w:rtl w:val="false"/>
        </w:rPr>
        <w:t xml:space="preserve">Phase 2 — Build: </w:t>
      </w:r>
      <w:r>
        <w:rPr>
          <w:rtl w:val="false"/>
        </w:rPr>
        <w:t xml:space="preserve">develop the agreed modules and assessments at the right level.</w:t>
      </w:r>
    </w:p>
    <w:p>
      <w:pPr>
        <w:pStyle w:val="ListParagraph"/>
        <w:numPr>
          <w:ilvl w:val="0"/>
          <w:numId w:val="2"/>
        </w:numPr>
        <w:bidi w:val="false"/>
        <w:spacing w:after="60" w:line="252"/>
        <w:jc w:val="left"/>
      </w:pPr>
      <w:r>
        <w:rPr>
          <w:b/>
          <w:bCs/>
          <w:rtl w:val="false"/>
        </w:rPr>
        <w:t xml:space="preserve">Phase 3 — Enable: </w:t>
      </w:r>
      <w:r>
        <w:rPr>
          <w:rtl w:val="false"/>
        </w:rPr>
        <w:t xml:space="preserve">train faculty, validate quality, and hand over.</w:t>
      </w:r>
    </w:p>
    <w:p>
      <w:pPr>
        <w:bidi w:val="false"/>
        <w:spacing w:after="120" w:line="264"/>
        <w:jc w:val="left"/>
      </w:pPr>
      <w:r>
        <w:rPr>
          <w:rtl w:val="false"/>
        </w:rPr>
        <w:t xml:space="preserve">Scope and timeline flex to AoL’s preferences and budget.</w:t>
      </w:r>
    </w:p>
    <w:p>
      <w:pPr>
        <w:pStyle w:val="Heading1"/>
        <w:bidi w:val="false"/>
        <w:jc w:val="left"/>
      </w:pPr>
      <w:r>
        <w:rPr>
          <w:rtl w:val="false"/>
        </w:rPr>
        <w:t xml:space="preserve">7. Commercial Approach</w:t>
      </w:r>
    </w:p>
    <w:p>
      <w:pPr>
        <w:bidi w:val="false"/>
        <w:spacing w:after="120" w:line="264"/>
        <w:jc w:val="left"/>
      </w:pPr>
      <w:r>
        <w:rPr>
          <w:rtl w:val="false"/>
        </w:rPr>
        <w:t xml:space="preserve">In line with AoL’s feedback, the cost is left for AoL to define. The model is fully modular: AoL selects the number of modules and the scope it wants, and sets tuition according to its own funding model and government arrangements. LGN will provide a flexible, phased cost structure on request, scaled to the agreed scope. There is no fixed upfront fee and no mandatory revenue share in this revised proposal.</w:t>
      </w:r>
    </w:p>
    <w:p>
      <w:pPr>
        <w:pStyle w:val="Heading1"/>
        <w:bidi w:val="false"/>
        <w:jc w:val="left"/>
      </w:pPr>
      <w:r>
        <w:rPr>
          <w:rtl w:val="false"/>
        </w:rPr>
        <w:t xml:space="preserve">8. Outcome for AoL</w:t>
      </w:r>
    </w:p>
    <w:p>
      <w:pPr>
        <w:pStyle w:val="ListParagraph"/>
        <w:numPr>
          <w:ilvl w:val="0"/>
          <w:numId w:val="2"/>
        </w:numPr>
        <w:bidi w:val="false"/>
        <w:spacing w:after="60" w:line="252"/>
        <w:jc w:val="left"/>
      </w:pPr>
      <w:r>
        <w:rPr>
          <w:b w:val="false"/>
          <w:bCs w:val="false"/>
          <w:rtl w:val="false"/>
        </w:rPr>
        <w:t xml:space="preserve">Strengthens — not replaces — AoL’s current diploma</w:t>
      </w:r>
    </w:p>
    <w:p>
      <w:pPr>
        <w:pStyle w:val="ListParagraph"/>
        <w:numPr>
          <w:ilvl w:val="0"/>
          <w:numId w:val="2"/>
        </w:numPr>
        <w:bidi w:val="false"/>
        <w:spacing w:after="60" w:line="252"/>
        <w:jc w:val="left"/>
      </w:pPr>
      <w:r>
        <w:rPr>
          <w:b w:val="false"/>
          <w:bCs w:val="false"/>
          <w:rtl w:val="false"/>
        </w:rPr>
        <w:t xml:space="preserve">Accessible to government-funded diploma students</w:t>
      </w:r>
    </w:p>
    <w:p>
      <w:pPr>
        <w:pStyle w:val="ListParagraph"/>
        <w:numPr>
          <w:ilvl w:val="0"/>
          <w:numId w:val="2"/>
        </w:numPr>
        <w:bidi w:val="false"/>
        <w:spacing w:after="60" w:line="252"/>
        <w:jc w:val="left"/>
      </w:pPr>
      <w:r>
        <w:rPr>
          <w:b w:val="false"/>
          <w:bCs w:val="false"/>
          <w:rtl w:val="false"/>
        </w:rPr>
        <w:t xml:space="preserve">Adds optional depth for high performers</w:t>
      </w:r>
    </w:p>
    <w:p>
      <w:pPr>
        <w:pStyle w:val="ListParagraph"/>
        <w:numPr>
          <w:ilvl w:val="0"/>
          <w:numId w:val="2"/>
        </w:numPr>
        <w:bidi w:val="false"/>
        <w:spacing w:after="60" w:line="252"/>
        <w:jc w:val="left"/>
      </w:pPr>
      <w:r>
        <w:rPr>
          <w:b w:val="false"/>
          <w:bCs w:val="false"/>
          <w:rtl w:val="false"/>
        </w:rPr>
        <w:t xml:space="preserve">Aligned with Vision 2030 workforce goals</w:t>
      </w:r>
    </w:p>
    <w:p>
      <w:pPr>
        <w:pStyle w:val="ListParagraph"/>
        <w:numPr>
          <w:ilvl w:val="0"/>
          <w:numId w:val="2"/>
        </w:numPr>
        <w:bidi w:val="false"/>
        <w:spacing w:after="60" w:line="252"/>
        <w:jc w:val="left"/>
      </w:pPr>
      <w:r>
        <w:rPr>
          <w:b w:val="false"/>
          <w:bCs w:val="false"/>
          <w:rtl w:val="false"/>
        </w:rPr>
        <w:t xml:space="preserve">Scalable, with commercial terms that fit AoL’s budget</w:t>
      </w:r>
    </w:p>
    <w:p>
      <w:pPr>
        <w:spacing w:after="40" w:before="160"/>
      </w:pPr>
      <w:r>
        <w:rPr>
          <w:i/>
          <w:iCs/>
          <w:color w:val="595959"/>
        </w:rPr>
        <w:t xml:space="preserve">We welcome the Board’s feedback and are ready to adjust the scope, level, and structure to fit AoL’s priorities.</w:t>
      </w:r>
    </w:p>
    <w:sectPr>
      <w:headerReference w:type="default" r:id="rId7"/>
      <w:footerReference w:type="default" r:id="rId8"/>
      <w:pgSz w:w="12240" w:h="15840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6" w:space="4"/>
      </w:pBdr>
      <w:jc w:val="center"/>
    </w:pPr>
    <w:r>
      <w:rPr>
        <w:color w:val="595959"/>
        <w:sz w:val="16"/>
        <w:szCs w:val="16"/>
        <w:rtl w:val="false"/>
      </w:rPr>
      <w:t xml:space="preserve">Confidential — Prepared for the AoL Board    •   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496" w:sz="6" w:space="4"/>
      </w:pBdr>
      <w:bidi w:val="false"/>
      <w:jc w:val="left"/>
    </w:pPr>
    <w:r>
      <w:rPr>
        <w:color w:val="595959"/>
        <w:sz w:val="16"/>
        <w:szCs w:val="16"/>
        <w:rtl w:val="false"/>
      </w:rPr>
      <w:t xml:space="preserve">London Gulf Nexus  |  AI Diploma Partnership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bidi w:val="false"/>
      <w:spacing w:after="100" w:before="240"/>
      <w:jc w:val="left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bidi w:val="false"/>
      <w:spacing w:after="60" w:before="140"/>
      <w:jc w:val="left"/>
      <w:outlineLvl w:val="1"/>
    </w:pPr>
    <w:rPr>
      <w:rFonts w:ascii="Arial" w:cs="Arial" w:eastAsia="Arial" w:hAnsi="Arial"/>
      <w:b/>
      <w:bCs/>
      <w:color w:val="2E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2026-06-15T23:40:03.360Z</dcterms:created>
  <dcterms:modified xsi:type="dcterms:W3CDTF">2026-06-15T23:40:03.368Z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