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>Rule-based (non-ML) access-control model: script-controlled ACLs on u_institution_details evaluate the user’s role (bb1–bb4), the data condition (Branch is EEE) and the ACL script (admin / bb1) to allow or deny access.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drawing>
                <wp:inline>
                  <wp:extent cx="1691640" cy="8381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8381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Training Accuracy - Not applicable (no trained model)</w:t>
              <w:br/>
              <w:br/>
              <w:t>Validation Accuracy - Access decisions validated by impersonation: bb1 user → only EEE records; Admin → all records; user without role → no records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drawing>
                <wp:inline>
                  <wp:extent cx="1691640" cy="82406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8240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Validation Accuracy - Not applicable (no fine-tuning). The Read ACL was refined with role bb1, data condition “Branch is EEE” and an ACL script.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drawing>
                <wp:inline>
                  <wp:extent cx="1691640" cy="84325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8432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