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Model 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9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400"/>
        <w:gridCol w:w="3360"/>
        <w:gridCol w:w="3210"/>
        <w:tblGridChange w:id="0">
          <w:tblGrid>
            <w:gridCol w:w="735"/>
            <w:gridCol w:w="2400"/>
            <w:gridCol w:w="3360"/>
            <w:gridCol w:w="321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Values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Model 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ServiceNow script-controlled ACL setup for record-level security on the custom table Institution Details (u_institution_details) using Users, Roles and Read, Create, Write and Delete ACLs.</w:t>
              <w:br/>
              <w:br/>
            </w: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Note :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Access is allowed only if the user’s role and the record’s Branch satisfy the ACL condition and script; otherwise it is denied.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76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  <w:r>
              <w:drawing>
                <wp:inline>
                  <wp:extent cx="1691640" cy="83811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8381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Accuracy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Training Accuracy - Not applicable (no trained model; rule-based ACL)</w:t>
              <w:br/>
              <w:br/>
              <w:t>Validation Accuracy - Verified by impersonation: bb1 user sees only EEE records; Admin sees all; no-role user sees none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line="276" w:lineRule="auto"/>
              <w:ind w:left="9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br w:type="textWrapping"/>
            </w:r>
            <w:r w:rsidDel="00000000" w:rsidR="00000000" w:rsidRPr="00000000">
              <w:rPr>
                <w:rtl w:val="0"/>
              </w:rPr>
            </w:r>
            <w:r>
              <w:drawing>
                <wp:inline>
                  <wp:extent cx="1691640" cy="82406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8240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color w:val="2222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 xml:space="preserve">Confidence Score (Only Yolo Projects)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Class Detected - Not applicable (not a YOLO project); rule-based: Role bb1 + Branch is EEE + Script.</w:t>
              <w:br/>
              <w:br/>
              <w:t>Confidence Score - Not applicable; decision is Allow (admin / bb1) or Deny (others).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>
              <w:drawing>
                <wp:inline>
                  <wp:extent cx="1691640" cy="8432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1640" cy="8432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2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>
        <w:u w:val="no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