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Model 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10 Marks</w:t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400"/>
        <w:gridCol w:w="3360"/>
        <w:gridCol w:w="2850"/>
        <w:tblGridChange w:id="0">
          <w:tblGrid>
            <w:gridCol w:w="735"/>
            <w:gridCol w:w="2400"/>
            <w:gridCol w:w="3360"/>
            <w:gridCol w:w="285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Values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Metrics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40" w:lineRule="auto"/>
              <w:ind w:left="0" w:firstLine="0"/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Regression Model: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br/>
              <w:t>Not applicable – no regression model is used in this project.</w:t>
              <w:br/>
              <w:br/>
            </w: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Classification Model: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Not applicable – no ML classification model. Access decisions are rule-based (Allow / Deny): Admin → all records; bb1 user → only EEE records; user without role → no records.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>
              <w:drawing>
                <wp:inline>
                  <wp:extent cx="1691640" cy="82406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8240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Tune the Model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Hyperparameter Tuning - Not applicable. Read ACL refined with role bb1, data condition “Branch is EEE” and script.</w:t>
              <w:br/>
              <w:t>Validation Method - Impersonation testing (EEE User, user without role, Admin).</w:t>
              <w:br/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>
              <w:drawing>
                <wp:inline>
                  <wp:extent cx="1691640" cy="8432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8432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1B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RQVwHAOFypvspkleSjI1673zg==">CgMxLjA4AHIhMUkzaHlvSGdhMUlJdjV6ajZFWm4zOTg3SENCT3VJUU9u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