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Project Development Phase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Performance Test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 February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PNT2022TMIDxxxxxx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Script-Controlled ACL – Restrict Record Access Based on Field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Model Performance Testing:</w:t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Project team shall fill the following information in model performance testing template.</w:t>
      </w:r>
    </w:p>
    <w:tbl>
      <w:tblPr>
        <w:tblStyle w:val="Table2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35"/>
        <w:gridCol w:w="2565"/>
        <w:gridCol w:w="5580"/>
        <w:tblGridChange w:id="0">
          <w:tblGrid>
            <w:gridCol w:w="735"/>
            <w:gridCol w:w="2565"/>
            <w:gridCol w:w="5580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Screenshot / Values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Data Rendered 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after="4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Institution Details list (u_institution_details) rendered in ServiceNow with records for Branch EEE, ECE and CSE (Admin view).</w:t>
            </w:r>
          </w:p>
          <w:p>
            <w:pPr>
              <w:spacing w:after="40"/>
            </w:pPr>
            <w:r>
              <w:drawing>
                <wp:inline>
                  <wp:extent cx="1554480" cy="7572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757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Data Preprocessing</w:t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after="4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Custom table Institution Details (u_institution_details) created with fields Student Roll Number, Student Name, Faculty Name, Branch (ECE, EEE, CSE), Email, Phone Number and Description; EEE User and roles bb1–bb4 created.</w:t>
            </w:r>
          </w:p>
          <w:p>
            <w:pPr>
              <w:spacing w:after="40"/>
            </w:pPr>
            <w:r>
              <w:drawing>
                <wp:inline>
                  <wp:extent cx="1554480" cy="7807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7807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Calibri" w:cs="Calibri" w:eastAsia="Calibri" w:hAnsi="Calibri"/>
                <w:color w:val="2222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rtl w:val="0"/>
              </w:rPr>
              <w:t xml:space="preserve">Utilization of Filters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40" w:lineRule="auto" w:after="4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Data condition “Branch is EEE” applied on the Read ACL, so users with the bb1 role see only EEE branch records; Admin sees all records.</w:t>
            </w:r>
          </w:p>
          <w:p>
            <w:pPr>
              <w:spacing w:after="40"/>
            </w:pPr>
            <w:r>
              <w:drawing>
                <wp:inline>
                  <wp:extent cx="1554480" cy="77488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774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4.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Calibri" w:cs="Calibri" w:eastAsia="Calibri" w:hAnsi="Calibri"/>
                <w:color w:val="2222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rtl w:val="0"/>
              </w:rPr>
              <w:t xml:space="preserve">Calculation fields Used</w:t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line="240" w:lineRule="auto" w:after="4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Not applicable – no Tableau calculation fields are used. Access logic is implemented in the ACL script: gs.hasRole('admin') → true; gs.hasRole('bb1') → true; all others → false.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5.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rtl w:val="0"/>
              </w:rPr>
              <w:t xml:space="preserve">Dashboard design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No of Visualizations / Graphs - 0 (Not applicable – records are presented through the ServiceNow list view of u_institution_details, not a dashboard)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rtl w:val="0"/>
              </w:rPr>
              <w:t xml:space="preserve">Story Design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No of Visualizations / Graphs - 0 (Not applicable – no Tableau story is used)</w:t>
            </w:r>
          </w:p>
        </w:tc>
      </w:tr>
    </w:tbl>
    <w:p w:rsidR="00000000" w:rsidDel="00000000" w:rsidP="00000000" w:rsidRDefault="00000000" w:rsidRPr="00000000" w14:paraId="00000024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7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YEQ7uNRiMyQbIStFpEAx6Y4IVg==">CgMxLjA4AHIhMXhXWDFxRkQwQ2NWWkJxWTI5RG0yMGFnN0cyQS1PNl9p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