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муаллимии химияи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Амир Узая, сокини Хуҷанд</w:t>
      </w:r>
    </w:p>
    <w:p>
      <w:pPr>
        <w:jc w:val="right"/>
      </w:pPr>
      <w:r>
        <w:rPr>
          <w:rFonts w:ascii="Times New Roman" w:hAnsi="Times New Roman"/>
          <w:sz w:val="24"/>
        </w:rPr>
        <w:t>кӯчаи р. Аюб, 44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ТАҚРИЗ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Бо арзи эҳтиром муроҷиат менамоям ва хоҳишмандам, ки ба дарси шумо дар соҳаи химия иштирок кунам.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мехоҳам фанни химияро омӯзам, зеро он яке аз фаннҳои асосии дар ҷаҳон мебошад ва дар соҳаи илм барои ман аҳамияти калон дорад.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Ҳадафи ман дарёфти дониши амиқ дар соҳаи химия ва такмили донишҳои илмии ман мебошад, то ки дар таҳсилоти минбаъда ва кори худ ба сатҳи баланди илмӣ расам.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Лутфан дархости манро ба назар гиред ва ба ман имконияти иштирок дар дарси шумо, ки дар мактаби мо баргузор мешавад, фароҳам оред.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Амир Узая</w:t>
      </w:r>
    </w:p>
    <w:p>
      <w:pPr>
        <w:jc w:val="right"/>
      </w:pPr>
      <w:r>
        <w:rPr>
          <w:rFonts w:ascii="Times New Roman" w:hAnsi="Times New Roman"/>
          <w:sz w:val="24"/>
        </w:rPr>
        <w:t>Москва, 18 августа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