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Analisis Etika Komputasi Islam — HTML</w:t>
      </w:r>
    </w:p>
    <w:p>
      <w:pPr>
        <w:jc w:val="center"/>
      </w:pPr>
      <w:r>
        <w:rPr>
          <w:i/>
          <w:sz w:val="20"/>
        </w:rPr>
        <w:t>Studi Kasus: berkas index.html pada aplikasi React-Wisata</w:t>
      </w:r>
    </w:p>
    <w:p>
      <w:pPr>
        <w:spacing w:after="40"/>
        <w:jc w:val="both"/>
      </w:pPr>
      <w:r>
        <w:rPr>
          <w:b w:val="0"/>
          <w:i w:val="0"/>
          <w:sz w:val="20"/>
        </w:rPr>
        <w:t>Berkas index.html merupakan titik masuk (entry point) aplikasi web React-Wisata. Walaupun sederhana, struktur ini memuat sejumlah keputusan teknis yang dapat ditinjau dari sudut pandang etika komputasi Islam, yaitu prinsip amanah (kepercayaan), kejujuran (sidq), kemaslahatan, dan itqan (kerapian dalam bekerja).</w:t>
      </w:r>
    </w:p>
    <w:p>
      <w:pPr>
        <w:jc w:val="left"/>
      </w:pPr>
      <w:r>
        <w:rPr>
          <w:b/>
          <w:sz w:val="24"/>
        </w:rPr>
        <w:t>Cuplikan Kode</w:t>
      </w:r>
    </w:p>
    <w:p>
      <w:pPr>
        <w:spacing w:before="40" w:after="80"/>
        <w:ind w:left="170"/>
        <w:pBdr>
          <w:top w:val="single" w:sz="6" w:color="BBBBBB" w:space="4"/>
          <w:left w:val="single" w:sz="6" w:color="BBBBBB" w:space="4"/>
          <w:bottom w:val="single" w:sz="6" w:color="BBBBBB" w:space="4"/>
          <w:right w:val="single" w:sz="6" w:color="BBBBBB" w:space="4"/>
        </w:pBdr>
        <w:shd w:val="clear" w:color="auto" w:fill="F4F4F4"/>
      </w:pPr>
      <w:r>
        <w:rPr>
          <w:rFonts w:ascii="Consolas" w:hAnsi="Consolas"/>
          <w:sz w:val="17"/>
          <w:rFonts w:ascii="Consolas" w:hAnsi="Consolas"/>
        </w:rPr>
        <w:t>&lt;!doctype html&gt;</w:t>
        <w:br/>
        <w:t>&lt;html lang="en"&gt;</w:t>
        <w:br/>
        <w:t xml:space="preserve">  &lt;head&gt;</w:t>
        <w:br/>
        <w:t xml:space="preserve">    &lt;meta charset="UTF-8" /&gt;</w:t>
        <w:br/>
        <w:t xml:space="preserve">    &lt;meta name="viewport" content="width=device-width, initial-scale=1.0" /&gt;</w:t>
        <w:br/>
        <w:t xml:space="preserve">    &lt;meta http-equiv="Cache-Control" content="no-cache, no-store, must-revalidate" /&gt;</w:t>
        <w:br/>
        <w:t xml:space="preserve">    &lt;meta http-equiv="Pragma" content="no-cache" /&gt;</w:t>
        <w:br/>
        <w:t xml:space="preserve">    &lt;meta http-equiv="Expires" content="0" /&gt;</w:t>
        <w:br/>
        <w:t xml:space="preserve">    &lt;title&gt;react-wisata&lt;/title&gt;</w:t>
        <w:br/>
        <w:t xml:space="preserve">  &lt;/head&gt;</w:t>
        <w:br/>
        <w:t xml:space="preserve">  &lt;body&gt;</w:t>
        <w:br/>
        <w:t xml:space="preserve">    &lt;div id="root"&gt;&lt;/div&gt;</w:t>
        <w:br/>
        <w:t xml:space="preserve">    &lt;script type="module" src="/src/main.jsx"&gt;&lt;/script&gt;</w:t>
        <w:br/>
        <w:t xml:space="preserve">  &lt;/body&gt;</w:t>
        <w:br/>
        <w:t>&lt;/html&gt;</w:t>
      </w:r>
    </w:p>
    <w:p>
      <w:pPr>
        <w:jc w:val="left"/>
      </w:pPr>
      <w:r>
        <w:rPr>
          <w:b/>
          <w:sz w:val="24"/>
        </w:rPr>
        <w:t>Analisis Etika</w:t>
      </w:r>
    </w:p>
    <w:p>
      <w:pPr>
        <w:pStyle w:val="ListBullet"/>
        <w:spacing w:after="20"/>
        <w:jc w:val="both"/>
      </w:pPr>
      <w:r>
        <w:rPr>
          <w:sz w:val="20"/>
        </w:rPr>
        <w:t>Kejujuran informasi (sidq): meta tag Cache-Control dan Pragma mencegah peramban menyajikan data lama. Pengguna selalu menerima informasi wisata yang mutakhir, selaras dengan QS. Al-Mutaffifin (83): 1-3 yang melarang pengurangan hak orang lain termasuk dalam bentuk informasi yang menyesatkan.</w:t>
      </w:r>
    </w:p>
    <w:p>
      <w:pPr>
        <w:pStyle w:val="ListBullet"/>
        <w:spacing w:after="20"/>
        <w:jc w:val="both"/>
      </w:pPr>
      <w:r>
        <w:rPr>
          <w:sz w:val="20"/>
        </w:rPr>
        <w:t>Inklusivitas dan kemaslahatan: meta viewport memastikan tampilan menyesuaikan perangkat pengguna sehingga aplikasi adil bagi pengguna dengan layar kecil maupun besar. Hal ini mencerminkan asas rahmatan lil 'alamin dalam pelayanan publik digital.</w:t>
      </w:r>
    </w:p>
    <w:p>
      <w:pPr>
        <w:pStyle w:val="ListBullet"/>
        <w:spacing w:after="20"/>
        <w:jc w:val="both"/>
      </w:pPr>
      <w:r>
        <w:rPr>
          <w:sz w:val="20"/>
        </w:rPr>
        <w:t>Itqan (profesionalisme): struktur HTML rapi, hanya memuat elemen yang diperlukan, tidak menyertakan skrip pihak ketiga yang berisiko mengumpulkan data tanpa izin. Sesuai hadis riwayat Imam Thabrani bahwa Allah mencintai pekerjaan yang dikerjakan dengan itqan (rapi dan profesional).</w:t>
      </w:r>
    </w:p>
    <w:p>
      <w:pPr>
        <w:pStyle w:val="ListBullet"/>
        <w:spacing w:after="20"/>
        <w:jc w:val="both"/>
      </w:pPr>
      <w:r>
        <w:rPr>
          <w:sz w:val="20"/>
        </w:rPr>
        <w:t>Catatan perbaikan: atribut lang="en" kurang akurat karena konten aplikasi berbahasa Indonesia. Untuk menjaga kejujuran metadata sebaiknya diubah menjadi lang="id" agar pembaca layar dan mesin pencari mengenali bahasa konten dengan benar.</w:t>
      </w:r>
    </w:p>
    <w:p>
      <w:pPr>
        <w:jc w:val="left"/>
      </w:pPr>
      <w:r>
        <w:rPr>
          <w:b/>
          <w:sz w:val="24"/>
        </w:rPr>
        <w:t>Kesimpulan</w:t>
      </w:r>
    </w:p>
    <w:p>
      <w:pPr>
        <w:spacing w:after="40"/>
        <w:jc w:val="both"/>
      </w:pPr>
      <w:r>
        <w:rPr>
          <w:b w:val="0"/>
          <w:i w:val="0"/>
          <w:sz w:val="20"/>
        </w:rPr>
        <w:t>Secara umum berkas index.html telah memenuhi prinsip etika komputasi Islam pada aspek kejujuran, kerapian, dan kemaslahatan, dengan satu catatan minor pada akurasi atribut bahasa yang perlu diselaraskan dengan konten sebenarnya.</w:t>
      </w:r>
    </w:p>
    <w:p>
      <w:pPr>
        <w:jc w:val="left"/>
      </w:pPr>
      <w:r>
        <w:rPr>
          <w:b/>
          <w:sz w:val="24"/>
        </w:rPr>
        <w:t>Referensi</w:t>
      </w:r>
    </w:p>
    <w:p>
      <w:pPr>
        <w:spacing w:after="40"/>
        <w:jc w:val="both"/>
      </w:pPr>
      <w:r>
        <w:rPr>
          <w:b w:val="0"/>
          <w:i w:val="0"/>
          <w:sz w:val="18"/>
        </w:rPr>
        <w:t>[1] Departemen Agama RI. Al-Qur'an dan Terjemahannya, QS. Al-Mutaffifin (83): 1-3.</w:t>
      </w:r>
    </w:p>
    <w:p>
      <w:pPr>
        <w:spacing w:after="40"/>
        <w:jc w:val="both"/>
      </w:pPr>
      <w:r>
        <w:rPr>
          <w:b w:val="0"/>
          <w:i w:val="0"/>
          <w:sz w:val="18"/>
        </w:rPr>
        <w:t>[2] Salleh, M. S. (2003). Pengenalan Pembangunan Berteraskan Islam. Kuala Lumpur: Utusan Publications.</w:t>
      </w:r>
    </w:p>
    <w:p>
      <w:pPr>
        <w:spacing w:after="40"/>
        <w:jc w:val="both"/>
      </w:pPr>
      <w:r>
        <w:rPr>
          <w:b w:val="0"/>
          <w:i w:val="0"/>
          <w:sz w:val="18"/>
        </w:rPr>
        <w:t>[3] World Wide Web Consortium. (2024). HTML Living Standard — The lang attribute. https://html.spec.whatwg.org/</w:t>
      </w:r>
    </w:p>
    <w:p>
      <w:pPr>
        <w:spacing w:after="40"/>
        <w:jc w:val="both"/>
      </w:pPr>
      <w:r>
        <w:rPr>
          <w:b w:val="0"/>
          <w:i w:val="0"/>
          <w:sz w:val="18"/>
        </w:rPr>
        <w:t>[4] Mubarrak, H. (2017). Etika Profesi dalam Perspektif Islam. Banda Aceh: Bandar Publishing.</w:t>
      </w:r>
    </w:p>
    <w:p>
      <w:r>
        <w:br w:type="page"/>
      </w:r>
    </w:p>
    <w:p>
      <w:pPr>
        <w:jc w:val="center"/>
      </w:pPr>
      <w:r>
        <w:rPr>
          <w:b/>
          <w:sz w:val="26"/>
        </w:rPr>
        <w:t>Analisis Etika Komputasi Islam — CSS</w:t>
      </w:r>
    </w:p>
    <w:p>
      <w:pPr>
        <w:jc w:val="center"/>
      </w:pPr>
      <w:r>
        <w:rPr>
          <w:i/>
          <w:sz w:val="20"/>
        </w:rPr>
        <w:t>Studi Kasus: berkas src/index.css pada aplikasi React-Wisata</w:t>
      </w:r>
    </w:p>
    <w:p>
      <w:pPr>
        <w:spacing w:after="40"/>
        <w:jc w:val="both"/>
      </w:pPr>
      <w:r>
        <w:rPr>
          <w:b w:val="0"/>
          <w:i w:val="0"/>
          <w:sz w:val="20"/>
        </w:rPr>
        <w:t>Berkas index.css memuat aturan gaya global aplikasi. Kode ini dipilih karena menunjukkan tiga keputusan etis yang relevan: pemilihan font sistem, normalisasi tata letak, dan adaptasi terhadap perangkat pengguna. Ketiganya dapat ditinjau melalui prinsip 'adl (keadilan), amanah (perlindungan data), serta menghindari israf (pemborosan).</w:t>
      </w:r>
    </w:p>
    <w:p>
      <w:pPr>
        <w:jc w:val="left"/>
      </w:pPr>
      <w:r>
        <w:rPr>
          <w:b/>
          <w:sz w:val="24"/>
        </w:rPr>
        <w:t>Cuplikan Kode</w:t>
      </w:r>
    </w:p>
    <w:p>
      <w:pPr>
        <w:spacing w:before="40" w:after="80"/>
        <w:ind w:left="170"/>
        <w:pBdr>
          <w:top w:val="single" w:sz="6" w:color="BBBBBB" w:space="4"/>
          <w:left w:val="single" w:sz="6" w:color="BBBBBB" w:space="4"/>
          <w:bottom w:val="single" w:sz="6" w:color="BBBBBB" w:space="4"/>
          <w:right w:val="single" w:sz="6" w:color="BBBBBB" w:space="4"/>
        </w:pBdr>
        <w:shd w:val="clear" w:color="auto" w:fill="F4F4F4"/>
      </w:pPr>
      <w:r>
        <w:rPr>
          <w:rFonts w:ascii="Consolas" w:hAnsi="Consolas"/>
          <w:sz w:val="17"/>
          <w:rFonts w:ascii="Consolas" w:hAnsi="Consolas"/>
        </w:rPr>
        <w:t>:root {</w:t>
        <w:br/>
        <w:t xml:space="preserve">  font-family: system-ui, Arial, sans-serif;</w:t>
        <w:br/>
        <w:t>}</w:t>
        <w:br/>
        <w:t>html, body, #root {</w:t>
        <w:br/>
        <w:t xml:space="preserve">  height: 100%;</w:t>
        <w:br/>
        <w:t xml:space="preserve">  margin: 0;</w:t>
        <w:br/>
        <w:t xml:space="preserve">  overflow-x: hidden;</w:t>
        <w:br/>
        <w:t>}</w:t>
        <w:br/>
        <w:t>* { box-sizing: border-box; }</w:t>
        <w:br/>
        <w:t>img { max-width: 100%; height: auto; }</w:t>
        <w:br/>
        <w:t>@media (max-width: 768px) {</w:t>
        <w:br/>
        <w:t xml:space="preserve">  html { font-size: 14px; }</w:t>
        <w:br/>
        <w:t>}</w:t>
        <w:br/>
        <w:t>@media (max-width: 480px) {</w:t>
        <w:br/>
        <w:t xml:space="preserve">  html { font-size: 13px; }</w:t>
        <w:br/>
        <w:t>}</w:t>
      </w:r>
    </w:p>
    <w:p>
      <w:pPr>
        <w:jc w:val="left"/>
      </w:pPr>
      <w:r>
        <w:rPr>
          <w:b/>
          <w:sz w:val="24"/>
        </w:rPr>
        <w:t>Analisis Etika</w:t>
      </w:r>
    </w:p>
    <w:p>
      <w:pPr>
        <w:pStyle w:val="ListBullet"/>
        <w:spacing w:after="20"/>
        <w:jc w:val="both"/>
      </w:pPr>
      <w:r>
        <w:rPr>
          <w:sz w:val="20"/>
        </w:rPr>
        <w:t>Amanah terhadap data pengguna: penggunaan system-ui sebagai font utama berarti peramban memakai font yang sudah terpasang di perangkat tanpa memuat font dari server pihak ketiga seperti Google Fonts. Dengan demikian alamat IP pengguna tidak terkirim ke layanan eksternal, sejalan dengan prinsip menjaga aurat data (privasi) yang merupakan amanah dalam QS. An-Nisa (4): 58.</w:t>
      </w:r>
    </w:p>
    <w:p>
      <w:pPr>
        <w:pStyle w:val="ListBullet"/>
        <w:spacing w:after="20"/>
        <w:jc w:val="both"/>
      </w:pPr>
      <w:r>
        <w:rPr>
          <w:sz w:val="20"/>
        </w:rPr>
        <w:t>Keadilan ('adl) lintas perangkat: aturan responsive (img max-width: 100% dan media query) memastikan pengguna dengan layar 480px atau lebih kecil tetap memperoleh tampilan yang nyaman. Tidak ada pengguna yang dipinggirkan karena keterbatasan perangkatnya, mencerminkan QS. Al-Maidah (5): 8 tentang berlaku adil.</w:t>
      </w:r>
    </w:p>
    <w:p>
      <w:pPr>
        <w:pStyle w:val="ListBullet"/>
        <w:spacing w:after="20"/>
        <w:jc w:val="both"/>
      </w:pPr>
      <w:r>
        <w:rPr>
          <w:sz w:val="20"/>
        </w:rPr>
        <w:t>Menghindari israf (pemborosan): kode CSS sangat ringkas, tidak memuat efek visual berlebihan, animasi yang boros baterai, atau aset besar. Sikap hemat sumber daya ini selaras dengan QS. Al-Isra (17): 26-27 yang mencela pemborosan.</w:t>
      </w:r>
    </w:p>
    <w:p>
      <w:pPr>
        <w:pStyle w:val="ListBullet"/>
        <w:spacing w:after="20"/>
        <w:jc w:val="both"/>
      </w:pPr>
      <w:r>
        <w:rPr>
          <w:sz w:val="20"/>
        </w:rPr>
        <w:t>Ihsan (kenyamanan): aturan overflow-x: hidden mencegah scroll horizontal yang mengganggu, sedangkan box-sizing: border-box menjadikan perhitungan ukuran lebih intuitif sehingga tampilan tidak mudah berantakan.</w:t>
      </w:r>
    </w:p>
    <w:p>
      <w:pPr>
        <w:pStyle w:val="ListBullet"/>
        <w:spacing w:after="20"/>
        <w:jc w:val="both"/>
      </w:pPr>
      <w:r>
        <w:rPr>
          <w:sz w:val="20"/>
        </w:rPr>
        <w:t>Catatan perbaikan: belum ada dukungan eksplisit terhadap prefers-color-scheme (mode gelap) maupun prefers-reduced-motion. Penambahan keduanya akan meningkatkan aspek ihsan dan inklusivitas bagi pengguna dengan sensitivitas cahaya atau gerakan.</w:t>
      </w:r>
    </w:p>
    <w:p>
      <w:pPr>
        <w:jc w:val="left"/>
      </w:pPr>
      <w:r>
        <w:rPr>
          <w:b/>
          <w:sz w:val="24"/>
        </w:rPr>
        <w:t>Kesimpulan</w:t>
      </w:r>
    </w:p>
    <w:p>
      <w:pPr>
        <w:spacing w:after="40"/>
        <w:jc w:val="both"/>
      </w:pPr>
      <w:r>
        <w:rPr>
          <w:b w:val="0"/>
          <w:i w:val="0"/>
          <w:sz w:val="20"/>
        </w:rPr>
        <w:t>Berkas index.css selaras dengan etika komputasi Islam pada aspek perlindungan privasi, keadilan tampilan, dan efisiensi sumber daya. Penambahan dukungan preferensi pengguna akan menyempurnakan aspek ihsan tanpa menambah kompleksitas berarti.</w:t>
      </w:r>
    </w:p>
    <w:p>
      <w:pPr>
        <w:jc w:val="left"/>
      </w:pPr>
      <w:r>
        <w:rPr>
          <w:b/>
          <w:sz w:val="24"/>
        </w:rPr>
        <w:t>Referensi</w:t>
      </w:r>
    </w:p>
    <w:p>
      <w:pPr>
        <w:spacing w:after="40"/>
        <w:jc w:val="both"/>
      </w:pPr>
      <w:r>
        <w:rPr>
          <w:b w:val="0"/>
          <w:i w:val="0"/>
          <w:sz w:val="18"/>
        </w:rPr>
        <w:t>[1] Departemen Agama RI. Al-Qur'an dan Terjemahannya, QS. An-Nisa (4): 58; QS. Al-Maidah (5): 8; QS. Al-Isra (17): 26-27.</w:t>
      </w:r>
    </w:p>
    <w:p>
      <w:pPr>
        <w:spacing w:after="40"/>
        <w:jc w:val="both"/>
      </w:pPr>
      <w:r>
        <w:rPr>
          <w:b w:val="0"/>
          <w:i w:val="0"/>
          <w:sz w:val="18"/>
        </w:rPr>
        <w:t>[2] Mozilla Developer Network. (2024). Using system fonts and Privacy considerations. https://developer.mozilla.org/</w:t>
      </w:r>
    </w:p>
    <w:p>
      <w:pPr>
        <w:spacing w:after="40"/>
        <w:jc w:val="both"/>
      </w:pPr>
      <w:r>
        <w:rPr>
          <w:b w:val="0"/>
          <w:i w:val="0"/>
          <w:sz w:val="18"/>
        </w:rPr>
        <w:t>[3] Hassan, M. K. (2016). Islamic Ethics in the Digital Age. Kuala Lumpur: IIUM Press.</w:t>
      </w:r>
    </w:p>
    <w:p>
      <w:pPr>
        <w:spacing w:after="40"/>
        <w:jc w:val="both"/>
      </w:pPr>
      <w:r>
        <w:rPr>
          <w:b w:val="0"/>
          <w:i w:val="0"/>
          <w:sz w:val="18"/>
        </w:rPr>
        <w:t>[4] W3C Web Accessibility Initiative. (2023). Making Content Usable for People with Cognitive and Learning Disabilities. https://www.w3.org/WAI/</w:t>
      </w:r>
    </w:p>
    <w:p>
      <w:r>
        <w:br w:type="page"/>
      </w:r>
    </w:p>
    <w:p>
      <w:pPr>
        <w:jc w:val="center"/>
      </w:pPr>
      <w:r>
        <w:rPr>
          <w:b/>
          <w:sz w:val="26"/>
        </w:rPr>
        <w:t>Analisis Etika Komputasi Islam — JavaScript</w:t>
      </w:r>
    </w:p>
    <w:p>
      <w:pPr>
        <w:jc w:val="center"/>
      </w:pPr>
      <w:r>
        <w:rPr>
          <w:i/>
          <w:sz w:val="20"/>
        </w:rPr>
        <w:t>Studi Kasus: berkas src/utils/formatTanggal.js pada aplikasi React-Wisata</w:t>
      </w:r>
    </w:p>
    <w:p>
      <w:pPr>
        <w:spacing w:after="40"/>
        <w:jc w:val="both"/>
      </w:pPr>
      <w:r>
        <w:rPr>
          <w:b w:val="0"/>
          <w:i w:val="0"/>
          <w:sz w:val="20"/>
        </w:rPr>
        <w:t>Berkas formatTanggal.js menyediakan fungsi utilitas untuk memformat tanggal ke dalam bahasa Indonesia. Walaupun pendek, fungsi ini menampilkan beberapa keputusan teknis yang dapat ditinjau dari prinsip itqan (profesionalisme), sidq (kejujuran perilaku program), serta kepekaan budaya yang dibingkai oleh nilai-nilai Islam.</w:t>
      </w:r>
    </w:p>
    <w:p>
      <w:pPr>
        <w:jc w:val="left"/>
      </w:pPr>
      <w:r>
        <w:rPr>
          <w:b/>
          <w:sz w:val="24"/>
        </w:rPr>
        <w:t>Cuplikan Kode</w:t>
      </w:r>
    </w:p>
    <w:p>
      <w:pPr>
        <w:spacing w:before="40" w:after="80"/>
        <w:ind w:left="170"/>
        <w:pBdr>
          <w:top w:val="single" w:sz="6" w:color="BBBBBB" w:space="4"/>
          <w:left w:val="single" w:sz="6" w:color="BBBBBB" w:space="4"/>
          <w:bottom w:val="single" w:sz="6" w:color="BBBBBB" w:space="4"/>
          <w:right w:val="single" w:sz="6" w:color="BBBBBB" w:space="4"/>
        </w:pBdr>
        <w:shd w:val="clear" w:color="auto" w:fill="F4F4F4"/>
      </w:pPr>
      <w:r>
        <w:rPr>
          <w:rFonts w:ascii="Consolas" w:hAnsi="Consolas"/>
          <w:sz w:val="17"/>
          <w:rFonts w:ascii="Consolas" w:hAnsi="Consolas"/>
        </w:rPr>
        <w:t>const HARI = ["Minggu","Senin","Selasa","Rabu","Kamis","Jumat","Sabtu"];</w:t>
        <w:br/>
        <w:t>const BULAN = [</w:t>
        <w:br/>
        <w:t xml:space="preserve">  "Januari","Februari","Maret","April","Mei","Juni",</w:t>
        <w:br/>
        <w:t xml:space="preserve">  "Juli","Agustus","September","Oktober","November","Desember",</w:t>
        <w:br/>
        <w:t>];</w:t>
        <w:br/>
        <w:t>export function formatTanggalIndonesia(date = new Date()) {</w:t>
        <w:br/>
        <w:t xml:space="preserve">  const hari    = HARI[date.getDay()];</w:t>
        <w:br/>
        <w:t xml:space="preserve">  const tanggal = date.getDate();</w:t>
        <w:br/>
        <w:t xml:space="preserve">  const bulan   = BULAN[date.getMonth()];</w:t>
        <w:br/>
        <w:t xml:space="preserve">  const tahun   = date.getFullYear();</w:t>
        <w:br/>
        <w:t xml:space="preserve">  return `${hari}, ${tanggal} ${bulan} ${tahun}`;</w:t>
        <w:br/>
        <w:t>}</w:t>
      </w:r>
    </w:p>
    <w:p>
      <w:pPr>
        <w:jc w:val="left"/>
      </w:pPr>
      <w:r>
        <w:rPr>
          <w:b/>
          <w:sz w:val="24"/>
        </w:rPr>
        <w:t>Analisis Etika</w:t>
      </w:r>
    </w:p>
    <w:p>
      <w:pPr>
        <w:pStyle w:val="ListBullet"/>
        <w:spacing w:after="20"/>
        <w:jc w:val="both"/>
      </w:pPr>
      <w:r>
        <w:rPr>
          <w:sz w:val="20"/>
        </w:rPr>
        <w:t>Itqan dan kesederhanaan: fungsi ini berupa pure function yang deterministik, yaitu masukan yang sama selalu menghasilkan keluaran yang sama tanpa efek samping. Karakter ini memudahkan pengujian dan pemeliharaan, sesuai hadis bahwa Allah mencintai amal yang dikerjakan dengan itqan (HR. Thabrani).</w:t>
      </w:r>
    </w:p>
    <w:p>
      <w:pPr>
        <w:pStyle w:val="ListBullet"/>
        <w:spacing w:after="20"/>
        <w:jc w:val="both"/>
      </w:pPr>
      <w:r>
        <w:rPr>
          <w:sz w:val="20"/>
        </w:rPr>
        <w:t>Sidq pada perilaku program: fungsi tidak menyembunyikan operasi tersembunyi seperti pengiriman data ke server eksternal, pencatatan log, atau pembacaan informasi pengguna. Transparansi semacam ini sejajar dengan kejujuran (QS. Al-Ahzab (33): 70-71) yang diperintahkan kepada setiap muslim.</w:t>
      </w:r>
    </w:p>
    <w:p>
      <w:pPr>
        <w:pStyle w:val="ListBullet"/>
        <w:spacing w:after="20"/>
        <w:jc w:val="both"/>
      </w:pPr>
      <w:r>
        <w:rPr>
          <w:sz w:val="20"/>
        </w:rPr>
        <w:t>Amanah keamanan: tidak ada dependensi eksternal yang dipanggil. Hal ini menekan risiko supply-chain attack dan menjaga amanah data pengguna karena seluruh logika dapat diaudit secara langsung.</w:t>
      </w:r>
    </w:p>
    <w:p>
      <w:pPr>
        <w:pStyle w:val="ListBullet"/>
        <w:spacing w:after="20"/>
        <w:jc w:val="both"/>
      </w:pPr>
      <w:r>
        <w:rPr>
          <w:sz w:val="20"/>
        </w:rPr>
        <w:t>Kepekaan budaya dan rahmah: pemilihan nama hari dan bulan dalam bahasa Indonesia menghormati pengguna lokal. Pendekatan ini menampilkan rahmah (kasih sayang) pada konteks budaya pemakai, bukan memaksa format asing.</w:t>
      </w:r>
    </w:p>
    <w:p>
      <w:pPr>
        <w:pStyle w:val="ListBullet"/>
        <w:spacing w:after="20"/>
        <w:jc w:val="both"/>
      </w:pPr>
      <w:r>
        <w:rPr>
          <w:sz w:val="20"/>
        </w:rPr>
        <w:t>Catatan perbaikan: aplikasi wisata yang banyak menyentuh pengguna muslim dapat diperkaya dengan opsi kalender Hijriyah, misalnya melalui Intl.DateTimeFormat dengan kalender islamic-umalqura. Penambahan ini akan memperluas inklusivitas tanpa mengorbankan kompatibilitas. Selain itu, parameter date sebaiknya divalidasi (misal isNaN(date.getTime())) agar tidak mengembalikan string undefined ketika menerima tanggal yang tidak valid — sebuah bentuk kejujuran teknis kepada pemanggil.</w:t>
      </w:r>
    </w:p>
    <w:p>
      <w:pPr>
        <w:jc w:val="left"/>
      </w:pPr>
      <w:r>
        <w:rPr>
          <w:b/>
          <w:sz w:val="24"/>
        </w:rPr>
        <w:t>Kesimpulan</w:t>
      </w:r>
    </w:p>
    <w:p>
      <w:pPr>
        <w:spacing w:after="40"/>
        <w:jc w:val="both"/>
      </w:pPr>
      <w:r>
        <w:rPr>
          <w:b w:val="0"/>
          <w:i w:val="0"/>
          <w:sz w:val="20"/>
        </w:rPr>
        <w:t>Fungsi formatTanggalIndonesia telah memenuhi prinsip itqan, sidq, dan amanah dalam etika komputasi Islam. Penambahan validasi input dan opsi kalender Hijriyah akan menjadikannya lebih sempurna dan inklusif bagi pengguna muslim.</w:t>
      </w:r>
    </w:p>
    <w:p>
      <w:pPr>
        <w:jc w:val="left"/>
      </w:pPr>
      <w:r>
        <w:rPr>
          <w:b/>
          <w:sz w:val="24"/>
        </w:rPr>
        <w:t>Referensi</w:t>
      </w:r>
    </w:p>
    <w:p>
      <w:pPr>
        <w:spacing w:after="40"/>
        <w:jc w:val="both"/>
      </w:pPr>
      <w:r>
        <w:rPr>
          <w:b w:val="0"/>
          <w:i w:val="0"/>
          <w:sz w:val="18"/>
        </w:rPr>
        <w:t>[1] Departemen Agama RI. Al-Qur'an dan Terjemahannya, QS. Al-Ahzab (33): 70-71.</w:t>
      </w:r>
    </w:p>
    <w:p>
      <w:pPr>
        <w:spacing w:after="40"/>
        <w:jc w:val="both"/>
      </w:pPr>
      <w:r>
        <w:rPr>
          <w:b w:val="0"/>
          <w:i w:val="0"/>
          <w:sz w:val="18"/>
        </w:rPr>
        <w:t>[2] At-Thabrani, Sulaiman bin Ahmad. Al-Mu'jam al-Awsath. Hadis tentang itqan dalam pekerjaan.</w:t>
      </w:r>
    </w:p>
    <w:p>
      <w:pPr>
        <w:spacing w:after="40"/>
        <w:jc w:val="both"/>
      </w:pPr>
      <w:r>
        <w:rPr>
          <w:b w:val="0"/>
          <w:i w:val="0"/>
          <w:sz w:val="18"/>
        </w:rPr>
        <w:t>[3] ECMA International. (2024). ECMAScript 2024 Language Specification. https://tc39.es/ecma262/</w:t>
      </w:r>
    </w:p>
    <w:p>
      <w:pPr>
        <w:spacing w:after="40"/>
        <w:jc w:val="both"/>
      </w:pPr>
      <w:r>
        <w:rPr>
          <w:b w:val="0"/>
          <w:i w:val="0"/>
          <w:sz w:val="18"/>
        </w:rPr>
        <w:t>[4] MDN Web Docs. (2024). Intl.DateTimeFormat — calendar option (islamic-umalqura). https://developer.mozilla.org/</w:t>
      </w:r>
    </w:p>
    <w:p>
      <w:pPr>
        <w:spacing w:after="40"/>
        <w:jc w:val="both"/>
      </w:pPr>
      <w:r>
        <w:rPr>
          <w:b w:val="0"/>
          <w:i w:val="0"/>
          <w:sz w:val="18"/>
        </w:rPr>
        <w:t>[5] Hashim, R. (2017). Islamic Perspectives on Information Technology Ethics. International Journal of Islamic Thought, 12(1).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