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480" w:lineRule="auto"/>
        <w:jc w:val="center"/>
      </w:pPr>
      <w:r>
        <w:rPr>
          <w:rFonts w:ascii="Times New Roman" w:cs="Times New Roman" w:eastAsia="Times New Roman" w:hAnsi="Times New Roman"/>
          <w:b w:val="false"/>
          <w:bCs w:val="false"/>
          <w:i w:val="false"/>
          <w:iCs w:val="false"/>
          <w:sz w:val="24"/>
          <w:szCs w:val="24"/>
        </w:rPr>
        <w:t xml:space="preserve">Trauma, Memory, and the Unspeakable in Toni Morrison's </w:t>
      </w:r>
      <w:r>
        <w:rPr>
          <w:rFonts w:ascii="Times New Roman" w:cs="Times New Roman" w:eastAsia="Times New Roman" w:hAnsi="Times New Roman"/>
          <w:b w:val="false"/>
          <w:bCs w:val="false"/>
          <w:i/>
          <w:iCs/>
          <w:sz w:val="24"/>
          <w:szCs w:val="24"/>
        </w:rPr>
        <w:t xml:space="preserve">Beloved</w:t>
      </w:r>
    </w:p>
    <w:p>
      <w:pPr>
        <w:spacing w:line="480" w:lineRule="auto"/>
      </w:pPr>
      <w:r>
        <w:rPr>
          <w:rFonts w:ascii="Times New Roman" w:cs="Times New Roman" w:eastAsia="Times New Roman" w:hAnsi="Times New Roman"/>
          <w:b/>
          <w:bCs/>
          <w:i w:val="false"/>
          <w:iCs w:val="false"/>
          <w:sz w:val="24"/>
          <w:szCs w:val="24"/>
        </w:rPr>
        <w:t xml:space="preserve">Author:</w:t>
      </w:r>
      <w:r>
        <w:rPr>
          <w:rFonts w:ascii="Times New Roman" w:cs="Times New Roman" w:eastAsia="Times New Roman" w:hAnsi="Times New Roman"/>
          <w:b w:val="false"/>
          <w:bCs w:val="false"/>
          <w:i w:val="false"/>
          <w:iCs w:val="false"/>
          <w:sz w:val="24"/>
          <w:szCs w:val="24"/>
        </w:rPr>
        <w:t xml:space="preserve"> [Author Name]</w:t>
      </w:r>
    </w:p>
    <w:p>
      <w:pPr>
        <w:spacing w:line="480" w:lineRule="auto"/>
      </w:pPr>
      <w:r>
        <w:rPr>
          <w:rFonts w:ascii="Times New Roman" w:cs="Times New Roman" w:eastAsia="Times New Roman" w:hAnsi="Times New Roman"/>
          <w:b/>
          <w:bCs/>
          <w:i w:val="false"/>
          <w:iCs w:val="false"/>
          <w:sz w:val="24"/>
          <w:szCs w:val="24"/>
        </w:rPr>
        <w:t xml:space="preserve">Affiliation:</w:t>
      </w:r>
      <w:r>
        <w:rPr>
          <w:rFonts w:ascii="Times New Roman" w:cs="Times New Roman" w:eastAsia="Times New Roman" w:hAnsi="Times New Roman"/>
          <w:b w:val="false"/>
          <w:bCs w:val="false"/>
          <w:i w:val="false"/>
          <w:iCs w:val="false"/>
          <w:sz w:val="24"/>
          <w:szCs w:val="24"/>
        </w:rPr>
        <w:t xml:space="preserve"> [Institution, if any]</w:t>
      </w:r>
    </w:p>
    <w:p>
      <w:pPr>
        <w:spacing w:line="480" w:lineRule="auto"/>
      </w:pPr>
      <w:r>
        <w:rPr>
          <w:rFonts w:ascii="Times New Roman" w:cs="Times New Roman" w:eastAsia="Times New Roman" w:hAnsi="Times New Roman"/>
          <w:b/>
          <w:bCs/>
          <w:i w:val="false"/>
          <w:iCs w:val="false"/>
          <w:sz w:val="24"/>
          <w:szCs w:val="24"/>
        </w:rPr>
        <w:t xml:space="preserve">Date:</w:t>
      </w:r>
      <w:r>
        <w:rPr>
          <w:rFonts w:ascii="Times New Roman" w:cs="Times New Roman" w:eastAsia="Times New Roman" w:hAnsi="Times New Roman"/>
          <w:b w:val="false"/>
          <w:bCs w:val="false"/>
          <w:i w:val="false"/>
          <w:iCs w:val="false"/>
          <w:sz w:val="24"/>
          <w:szCs w:val="24"/>
        </w:rPr>
        <w:t xml:space="preserve"> July 2026</w:t>
      </w:r>
    </w:p>
    <w:p>
      <w:pPr>
        <w:spacing w:before="240" w:line="480" w:lineRule="auto"/>
        <w:jc w:val="left"/>
      </w:pPr>
      <w:r>
        <w:rPr>
          <w:rFonts w:ascii="Times New Roman" w:cs="Times New Roman" w:eastAsia="Times New Roman" w:hAnsi="Times New Roman"/>
          <w:b/>
          <w:bCs/>
          <w:sz w:val="24"/>
          <w:szCs w:val="24"/>
        </w:rPr>
        <w:t xml:space="preserve">Abstract</w:t>
      </w:r>
    </w:p>
    <w:p>
      <w:pPr>
        <w:spacing w:line="480" w:lineRule="auto"/>
      </w:pPr>
      <w:r>
        <w:rPr>
          <w:rFonts w:ascii="Times New Roman" w:cs="Times New Roman" w:eastAsia="Times New Roman" w:hAnsi="Times New Roman"/>
          <w:b w:val="false"/>
          <w:bCs w:val="false"/>
          <w:i w:val="false"/>
          <w:iCs w:val="false"/>
          <w:sz w:val="24"/>
          <w:szCs w:val="24"/>
        </w:rPr>
        <w:t xml:space="preserve">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(1987) refuses to let the trauma of slavery stay in the past tense. Three of its parts open with the same three words about the same haunted house — "124 was spiteful," "124 was loud," "124 was quiet" — and that refrain alone tells you Morrison is not writing a novel that moves in one direction, toward resolution. This article reads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through three critical lenses that developed independently across more than three decades — Linda Krumholz's historicist account of "rememory" as a theory of history (1992), Lynda Koolish's psychological account of dissociation and "psychic wholeness" (2001), and a 2025 formal account of the novel's sonic and repetitive structure (Lakshmi K et al.) — and argues that a fourth, underread thread ties them together: the moral contrast Morrison stages between schoolteacher's ledger, which sorts Sethe's "human" and "animal" characteristics into two columns, and Baby Suggs's insistence that goodness is nothing more than "knowing when to stop." Where the historical and psychological readings explain </w:t>
      </w:r>
      <w:r>
        <w:rPr>
          <w:rFonts w:ascii="Times New Roman" w:cs="Times New Roman" w:eastAsia="Times New Roman" w:hAnsi="Times New Roman"/>
          <w:b w:val="false"/>
          <w:bCs w:val="false"/>
          <w:i/>
          <w:iCs/>
          <w:sz w:val="24"/>
          <w:szCs w:val="24"/>
        </w:rPr>
        <w:t xml:space="preserve">why</w:t>
      </w:r>
      <w:r>
        <w:rPr>
          <w:rFonts w:ascii="Times New Roman" w:cs="Times New Roman" w:eastAsia="Times New Roman" w:hAnsi="Times New Roman"/>
          <w:b w:val="false"/>
          <w:bCs w:val="false"/>
          <w:i w:val="false"/>
          <w:iCs w:val="false"/>
          <w:sz w:val="24"/>
          <w:szCs w:val="24"/>
        </w:rPr>
        <w:t xml:space="preserve"> Sethe's story resists being told, that ethical contrast explains what is actually at stake in the telling: two entirely different theories of what a person is. The article closes by connecting this to Morrison's own essay "Unspeakable Things Unspoken," and argues that the novel's famous closing refusal — "This is not a story to pass on" — is not a contradiction to be resolved but the mechanism by which the book keeps working on its readers.</w:t>
      </w:r>
    </w:p>
    <w:p>
      <w:pPr>
        <w:spacing w:line="480" w:lineRule="auto"/>
      </w:pPr>
      <w:r>
        <w:rPr>
          <w:rFonts w:ascii="Times New Roman" w:cs="Times New Roman" w:eastAsia="Times New Roman" w:hAnsi="Times New Roman"/>
          <w:b/>
          <w:bCs/>
          <w:i w:val="false"/>
          <w:iCs w:val="false"/>
          <w:sz w:val="24"/>
          <w:szCs w:val="24"/>
        </w:rPr>
        <w:t xml:space="preserve">Keywords:</w:t>
      </w:r>
      <w:r>
        <w:rPr>
          <w:rFonts w:ascii="Times New Roman" w:cs="Times New Roman" w:eastAsia="Times New Roman" w:hAnsi="Times New Roman"/>
          <w:b w:val="false"/>
          <w:bCs w:val="false"/>
          <w:i w:val="false"/>
          <w:iCs w:val="false"/>
          <w:sz w:val="24"/>
          <w:szCs w:val="24"/>
        </w:rPr>
        <w:t xml:space="preserve"> Toni Morrison,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trauma theory, rememory, African American literature, historical memory</w:t>
      </w:r>
    </w:p>
    <w:p>
      <w:pPr>
        <w:spacing w:before="240" w:line="480" w:lineRule="auto"/>
        <w:jc w:val="left"/>
      </w:pPr>
      <w:r>
        <w:rPr>
          <w:rFonts w:ascii="Times New Roman" w:cs="Times New Roman" w:eastAsia="Times New Roman" w:hAnsi="Times New Roman"/>
          <w:b/>
          <w:bCs/>
          <w:sz w:val="24"/>
          <w:szCs w:val="24"/>
        </w:rPr>
        <w:t xml:space="preserve">Introduction</w:t>
      </w:r>
    </w:p>
    <w:p>
      <w:pPr>
        <w:spacing w:line="480" w:lineRule="auto"/>
      </w:pPr>
      <w:r>
        <w:rPr>
          <w:rFonts w:ascii="Times New Roman" w:cs="Times New Roman" w:eastAsia="Times New Roman" w:hAnsi="Times New Roman"/>
          <w:b w:val="false"/>
          <w:bCs w:val="false"/>
          <w:i w:val="false"/>
          <w:iCs w:val="false"/>
          <w:sz w:val="24"/>
          <w:szCs w:val="24"/>
        </w:rPr>
        <w:t xml:space="preserve">Three times in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a section opens with the same sentence stripped down to its bare grammar and one word changed. "124 was spiteful" (qtd. in Lakshmi K et al. 3916, citing Morrison 13). "124 was loud" (134). "124 was quiet" (186). Lakshmi and her co-authors read this as "the recognisable rhythm that emphasises the growth of trauma inside Sethe's home" (3916), and once you notice it, you can't unsee it: Morrison isn't just describing a haunted house, she's using the house as a kind of seismograph, a device for registering the pressure of an unresolved past without ever describing that pressure directly. That's a strange thing for a novel to do, and it is the reason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has generated such a durable, oddly repetitive body of criticism. Ask a historicist critic what the novel is doing and you get an argument about how the past survives materially in the world. Ask a psychoanalytic critic and you get an argument about dissociation, denial, and what it costs a traumatized mind to remember. Ask a narratologist and you get an argument about form — fragmentation, repetition, sound. These are not the same argument dressed up in different vocabularies. They are three different explanations for the same textual fact: that this novel keeps circling back to things it has already, technically, told you.</w:t>
      </w:r>
    </w:p>
    <w:p>
      <w:pPr>
        <w:spacing w:line="480" w:lineRule="auto"/>
      </w:pPr>
      <w:r>
        <w:rPr>
          <w:rFonts w:ascii="Times New Roman" w:cs="Times New Roman" w:eastAsia="Times New Roman" w:hAnsi="Times New Roman"/>
          <w:b w:val="false"/>
          <w:bCs w:val="false"/>
          <w:i w:val="false"/>
          <w:iCs w:val="false"/>
          <w:sz w:val="24"/>
          <w:szCs w:val="24"/>
        </w:rPr>
        <w:t xml:space="preserve">This article works through that overlap and then pushes past it, toward a claim the existing scholarship gestures at but rarely puts at the center: that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's deepest argument is not about memory as a psychological faculty but about competing definitions of personhood, staged most starkly in the opposition between schoolteacher's pseudo-scientific ledger and Baby Suggs's improvised, ungoverned ethics. Sethe's trauma is not simply that terrible things happened to her. It is that she lived inside a system that had already decided, on paper, what kind of thing she was.</w:t>
      </w:r>
    </w:p>
    <w:p>
      <w:pPr>
        <w:spacing w:before="240" w:line="480" w:lineRule="auto"/>
        <w:jc w:val="left"/>
      </w:pPr>
      <w:r>
        <w:rPr>
          <w:rFonts w:ascii="Times New Roman" w:cs="Times New Roman" w:eastAsia="Times New Roman" w:hAnsi="Times New Roman"/>
          <w:b/>
          <w:bCs/>
          <w:sz w:val="24"/>
          <w:szCs w:val="24"/>
        </w:rPr>
        <w:t xml:space="preserve">Rememory as a Theory of History</w:t>
      </w:r>
    </w:p>
    <w:p>
      <w:pPr>
        <w:spacing w:line="480" w:lineRule="auto"/>
      </w:pPr>
      <w:r>
        <w:rPr>
          <w:rFonts w:ascii="Times New Roman" w:cs="Times New Roman" w:eastAsia="Times New Roman" w:hAnsi="Times New Roman"/>
          <w:b w:val="false"/>
          <w:bCs w:val="false"/>
          <w:i w:val="false"/>
          <w:iCs w:val="false"/>
          <w:sz w:val="24"/>
          <w:szCs w:val="24"/>
        </w:rPr>
        <w:t xml:space="preserve">Linda Krumholz's 1992 essay "The Ghosts of Slavery" reads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next to Du Bois's </w:t>
      </w:r>
      <w:r>
        <w:rPr>
          <w:rFonts w:ascii="Times New Roman" w:cs="Times New Roman" w:eastAsia="Times New Roman" w:hAnsi="Times New Roman"/>
          <w:b w:val="false"/>
          <w:bCs w:val="false"/>
          <w:i/>
          <w:iCs/>
          <w:sz w:val="24"/>
          <w:szCs w:val="24"/>
        </w:rPr>
        <w:t xml:space="preserve">The Souls of Black Folk</w:t>
      </w:r>
      <w:r>
        <w:rPr>
          <w:rFonts w:ascii="Times New Roman" w:cs="Times New Roman" w:eastAsia="Times New Roman" w:hAnsi="Times New Roman"/>
          <w:b w:val="false"/>
          <w:bCs w:val="false"/>
          <w:i w:val="false"/>
          <w:iCs w:val="false"/>
          <w:sz w:val="24"/>
          <w:szCs w:val="24"/>
        </w:rPr>
        <w:t xml:space="preserve"> and finds the same double movement in both: "In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Morrison, like Du Bois in </w:t>
      </w:r>
      <w:r>
        <w:rPr>
          <w:rFonts w:ascii="Times New Roman" w:cs="Times New Roman" w:eastAsia="Times New Roman" w:hAnsi="Times New Roman"/>
          <w:b w:val="false"/>
          <w:bCs w:val="false"/>
          <w:i/>
          <w:iCs/>
          <w:sz w:val="24"/>
          <w:szCs w:val="24"/>
        </w:rPr>
        <w:t xml:space="preserve">Souls</w:t>
      </w:r>
      <w:r>
        <w:rPr>
          <w:rFonts w:ascii="Times New Roman" w:cs="Times New Roman" w:eastAsia="Times New Roman" w:hAnsi="Times New Roman"/>
          <w:b w:val="false"/>
          <w:bCs w:val="false"/>
          <w:i w:val="false"/>
          <w:iCs w:val="false"/>
          <w:sz w:val="24"/>
          <w:szCs w:val="24"/>
        </w:rPr>
        <w:t xml:space="preserve">, negotiates the legacy of slavery as a national trauma, and as an intensely personal trauma as well" (395–96). What makes this pairing useful rather than merely decorative is that it forces a question most trauma criticism skips past: whose memory, exactly, are we talking about? Sethe's private recollection, or something that belongs to everyone who occupies the ground where the events happened?</w:t>
      </w:r>
    </w:p>
    <w:p>
      <w:pPr>
        <w:spacing w:line="480" w:lineRule="auto"/>
      </w:pPr>
      <w:r>
        <w:rPr>
          <w:rFonts w:ascii="Times New Roman" w:cs="Times New Roman" w:eastAsia="Times New Roman" w:hAnsi="Times New Roman"/>
          <w:b w:val="false"/>
          <w:bCs w:val="false"/>
          <w:i w:val="false"/>
          <w:iCs w:val="false"/>
          <w:sz w:val="24"/>
          <w:szCs w:val="24"/>
        </w:rPr>
        <w:t xml:space="preserve">Morrison answers that question through Sethe herself, in a passage Krumholz quotes at length. Sethe tries to explain her own theory of memory to Denver, and it is worth reading slowly, because it is not a metaphor — Sethe means it literally: "If a house burns down, it's gone, but the place — the picture of it — stays, and not just in my rememory, but out there, in the world. … Right in the place where it happened" (qtd. in Krumholz 395). Most discussions of "rememory" treat it as Morrison's word for trauma flashback, intrusive memory, PTSD by another name. That undersells what Sethe is actually claiming. She is saying the past does not live inside a single traumatized consciousness, available only to the person who suffered it. It lives in the place. Anyone who walks into that place can run into it, whether or not they were there when it happened, whether or not they even know what happened. That is a genuinely strange metaphysics, and Morrison builds an entire plot around taking it seriously: it is precisely how Beloved herself arrives, an embodiment of a memory that was never only Sethe's to carry alone.</w:t>
      </w:r>
    </w:p>
    <w:p>
      <w:pPr>
        <w:spacing w:before="240" w:line="480" w:lineRule="auto"/>
        <w:jc w:val="left"/>
      </w:pPr>
      <w:r>
        <w:rPr>
          <w:rFonts w:ascii="Times New Roman" w:cs="Times New Roman" w:eastAsia="Times New Roman" w:hAnsi="Times New Roman"/>
          <w:b/>
          <w:bCs/>
          <w:sz w:val="24"/>
          <w:szCs w:val="24"/>
        </w:rPr>
        <w:t xml:space="preserve">The Reader's Ritual, and the Refusal of a Clean Ending</w:t>
      </w:r>
    </w:p>
    <w:p>
      <w:pPr>
        <w:spacing w:line="480" w:lineRule="auto"/>
      </w:pPr>
      <w:r>
        <w:rPr>
          <w:rFonts w:ascii="Times New Roman" w:cs="Times New Roman" w:eastAsia="Times New Roman" w:hAnsi="Times New Roman"/>
          <w:b w:val="false"/>
          <w:bCs w:val="false"/>
          <w:i w:val="false"/>
          <w:iCs w:val="false"/>
          <w:sz w:val="24"/>
          <w:szCs w:val="24"/>
        </w:rPr>
        <w:t xml:space="preserve">Krumholz extends this into a claim about the novel's structure, arguing that "[t]he central ritual of healing — Sethe's 'rememory' of and confrontation with her past — and the reader's ritual of healing correspond to the three sections of the novel" (396). She breaks that ritual into three stages: "The healing ritual in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can be broken down into three stages. The first stage is the repression of memory that occurs from the traumas of slavery; the second stage entails a painful reconciliation with these memories; and the third is the 'clearing' process, a symbolic rebirth of the sufferer" (397). The claim is not that the reader passively watches Sethe go through this — it's that the novel's fragmented, achronological structure forces something like the same three-stage process onto whoever is reading it. You don't get Sethe's crime up front; you get it in pieces, out of order, the way a mind under duress would actually give it up.</w:t>
      </w:r>
    </w:p>
    <w:p>
      <w:pPr>
        <w:spacing w:line="480" w:lineRule="auto"/>
      </w:pPr>
      <w:r>
        <w:rPr>
          <w:rFonts w:ascii="Times New Roman" w:cs="Times New Roman" w:eastAsia="Times New Roman" w:hAnsi="Times New Roman"/>
          <w:b w:val="false"/>
          <w:bCs w:val="false"/>
          <w:i w:val="false"/>
          <w:iCs w:val="false"/>
          <w:sz w:val="24"/>
          <w:szCs w:val="24"/>
        </w:rPr>
        <w:t xml:space="preserve">But Krumholz refuses to let this resolve into anything as tidy as catharsis. Beloved herself, she argues, "acts as a trickster figure who defies narrative closure or categorization, foreclosing the possibility of a complete 'clearing' for the reader. Thus, as the reader leaves the book, we have taken on slavery's haunt as our own" (397). That's a sharper claim than it first appears. It means the "ritual of healing" the novel stages is not actually a healing ritual in the therapeutic sense — it doesn't conclude with relief. It ends with transmission. Whatever unresolved weight Sethe carries, the reader now carries some version of it too. This is, incidentally, the same mechanism the novel names explicitly in its own final pages, when it insists, "This is not a story to pass on" (qtd. in Krumholz 407) — a line Krumholz calls "intensely ironic," since the book that says this is the very thing doing the passing on (407). A novel cannot actually refuse to be read. The refusal is part of the design, not a flaw in it.</w:t>
      </w:r>
    </w:p>
    <w:p>
      <w:pPr>
        <w:spacing w:before="240" w:line="480" w:lineRule="auto"/>
        <w:jc w:val="left"/>
      </w:pPr>
      <w:r>
        <w:rPr>
          <w:rFonts w:ascii="Times New Roman" w:cs="Times New Roman" w:eastAsia="Times New Roman" w:hAnsi="Times New Roman"/>
          <w:b/>
          <w:bCs/>
          <w:sz w:val="24"/>
          <w:szCs w:val="24"/>
        </w:rPr>
        <w:t xml:space="preserve">Baby Suggs's Ledger Against Schoolteacher's</w:t>
      </w:r>
    </w:p>
    <w:p>
      <w:pPr>
        <w:spacing w:line="480" w:lineRule="auto"/>
      </w:pPr>
      <w:r>
        <w:rPr>
          <w:rFonts w:ascii="Times New Roman" w:cs="Times New Roman" w:eastAsia="Times New Roman" w:hAnsi="Times New Roman"/>
          <w:b w:val="false"/>
          <w:bCs w:val="false"/>
          <w:i w:val="false"/>
          <w:iCs w:val="false"/>
          <w:sz w:val="24"/>
          <w:szCs w:val="24"/>
        </w:rPr>
        <w:t xml:space="preserve">Here is where the criticism, in my view, undersells its own best material. Both the historical and psychological readings of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treat the past as something to be recovered or confronted — a quantity of pain to be processed. But the novel is just as insistently about a conflict between two systems for classifying human beings, and that conflict, not memory alone, is what makes Sethe's story genuinely unspeakable rather than merely painful.</w:t>
      </w:r>
    </w:p>
    <w:p>
      <w:pPr>
        <w:spacing w:line="480" w:lineRule="auto"/>
      </w:pPr>
      <w:r>
        <w:rPr>
          <w:rFonts w:ascii="Times New Roman" w:cs="Times New Roman" w:eastAsia="Times New Roman" w:hAnsi="Times New Roman"/>
          <w:b w:val="false"/>
          <w:bCs w:val="false"/>
          <w:i w:val="false"/>
          <w:iCs w:val="false"/>
          <w:sz w:val="24"/>
          <w:szCs w:val="24"/>
        </w:rPr>
        <w:t xml:space="preserve">Schoolteacher, who takes over Sweet Home after the death of its more "benevolent" owner, teaches by ledger. Krumholz records the scene in which Sethe overhears him instructing his nephew, and it is as chilling in miniature as anything in the novel: "I told you to put her human characteristics on the left; her animal ones on the right. And don't forget to line them up" (qtd. in Krumholz 399). Note what that sentence is actually doing. It isn't cruelty as impulse or rage — it's cruelty as method, dressed in the language of objectivity, columns and totals standing in for a verdict about what Sethe is. Krumholz is right that this is where Sethe's understanding of her own status as property becomes fully, unbearably concrete; it is one thing to be enslaved, another to watch someone take notes on which parts of you count as human.</w:t>
      </w:r>
    </w:p>
    <w:p>
      <w:pPr>
        <w:spacing w:line="480" w:lineRule="auto"/>
      </w:pPr>
      <w:r>
        <w:rPr>
          <w:rFonts w:ascii="Times New Roman" w:cs="Times New Roman" w:eastAsia="Times New Roman" w:hAnsi="Times New Roman"/>
          <w:b w:val="false"/>
          <w:bCs w:val="false"/>
          <w:i w:val="false"/>
          <w:iCs w:val="false"/>
          <w:sz w:val="24"/>
          <w:szCs w:val="24"/>
        </w:rPr>
        <w:t xml:space="preserve">Set that scene against Baby Suggs, who represents, in Sethe's world, the only sustained alternative to that kind of accounting. Baby Suggs preaches in the Clearing without doctrine, without a rulebook, and Krumholz quotes the substance of that preaching directly: "She did not tell them to clean up their lives or to go and sin no more. She did not tell them they were the blessed of the earth, its inheriting meek or its glory bound pure. She told them that the only grace they could have was the grace they could imagine. That if they could not see it, they would not have it" (qtd. in Krumholz 398). That is about as far from schoolteacher's ledger as a moral system can get: no fixed categories, no external judgment, nothing to line up in columns. Baby Suggs's own account of ethics is even more compressed and, I'd argue, more radical than the sermon suggests: "'Everything depends on knowing how much,' she said, and 'Good is knowing when to stop'" (qtd. in Krumholz 399). Goodness, on this account, isn't a fixed quality you either have or lack. It's a form of restraint you have to keep exercising, over and over, with judgment rather than a rule to fall back on — which is exactly the capacity schoolteacher's whole pedagogy is designed to eliminate.</w:t>
      </w:r>
    </w:p>
    <w:p>
      <w:pPr>
        <w:spacing w:line="480" w:lineRule="auto"/>
      </w:pPr>
      <w:r>
        <w:rPr>
          <w:rFonts w:ascii="Times New Roman" w:cs="Times New Roman" w:eastAsia="Times New Roman" w:hAnsi="Times New Roman"/>
          <w:b w:val="false"/>
          <w:bCs w:val="false"/>
          <w:i w:val="false"/>
          <w:iCs w:val="false"/>
          <w:sz w:val="24"/>
          <w:szCs w:val="24"/>
        </w:rPr>
        <w:t xml:space="preserve">Lakshmi and her co-authors extend this same opposition into the novel's use of sound, noting that "Baby Suggs encourages people to 'love your hands' and appreciate their bodies (Morrison, 1987, pp. 103–104)" as part of what they call "sonic resistance" — public "singing and testimonies" in the Clearing that give "formerly enslaved people a feeling of community and value" (qtd. in Lakshmi K et al. 3913). Read next to schoolteacher's ledger, "love your hands" stops sounding like generic uplift and starts sounding like a direct, targeted counter-claim: your hands are not items on someone else's inventory. Baby Suggs eventually gives up preaching and, as Krumholz notes, comes to a harsher conclusion about the people who built the ledger system in the first place — that "there was no bad luck in the world but white people. 'They don't know when to stop,' she said" (qtd. in Krumholz 399). It's the same moral vocabulary — knowing when to stop — turned from a personal ethic into an indictment. The tragedy of the novel, on this reading, is not only that Sethe was traumatized. It's that she was made to live inside schoolteacher's accounting system for long enough that killing her daughter looked, to her, like the only way to keep that daughter out of the ledger.</w:t>
      </w:r>
    </w:p>
    <w:p>
      <w:pPr>
        <w:spacing w:before="240" w:line="480" w:lineRule="auto"/>
        <w:jc w:val="left"/>
      </w:pPr>
      <w:r>
        <w:rPr>
          <w:rFonts w:ascii="Times New Roman" w:cs="Times New Roman" w:eastAsia="Times New Roman" w:hAnsi="Times New Roman"/>
          <w:b/>
          <w:bCs/>
          <w:sz w:val="24"/>
          <w:szCs w:val="24"/>
        </w:rPr>
        <w:t xml:space="preserve">Dissociation and the Weight of a Truncated Self</w:t>
      </w:r>
    </w:p>
    <w:p>
      <w:pPr>
        <w:spacing w:line="480" w:lineRule="auto"/>
      </w:pPr>
      <w:r>
        <w:rPr>
          <w:rFonts w:ascii="Times New Roman" w:cs="Times New Roman" w:eastAsia="Times New Roman" w:hAnsi="Times New Roman"/>
          <w:b w:val="false"/>
          <w:bCs w:val="false"/>
          <w:i w:val="false"/>
          <w:iCs w:val="false"/>
          <w:sz w:val="24"/>
          <w:szCs w:val="24"/>
        </w:rPr>
        <w:t xml:space="preserve">If Krumholz explains the historical mechanics of why this past won't stay past, Lynda Koolish's 2001 MELUS essay explains what it costs the people carrying it. Koolish opens with a claim that sounds almost clinical until you sit with it: "The struggle for psychic wholeness is a continuous one in 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a novel situated in slavery and its aftermath" (169). Continuous, not resolved — Koolish is careful about that word. Wholeness in this novel is never achieved and then kept; it has to be worked at, and characters can lose ground.</w:t>
      </w:r>
    </w:p>
    <w:p>
      <w:pPr>
        <w:spacing w:line="480" w:lineRule="auto"/>
      </w:pPr>
      <w:r>
        <w:rPr>
          <w:rFonts w:ascii="Times New Roman" w:cs="Times New Roman" w:eastAsia="Times New Roman" w:hAnsi="Times New Roman"/>
          <w:b w:val="false"/>
          <w:bCs w:val="false"/>
          <w:i w:val="false"/>
          <w:iCs w:val="false"/>
          <w:sz w:val="24"/>
          <w:szCs w:val="24"/>
        </w:rPr>
        <w:t xml:space="preserve">What's striking about Koolish's argument is how insistently she refuses to let this be a story about one traumatized woman. She reads the entire household — Sethe, Denver, Paul D, and Beloved herself — as caught in something closer to a shared disorder than an individual wound, arguing that their "consciousness … [is] suffused with a truncated, relentless, disrupted chronology common to persons so severely abused that they suffer from Multiple Personality Disorder (MPD) or dissociative states" (170). That reframes a lot of what looks, on a first read, like Gothic excess — the ghost, the ageless newcomer, the fractured chronology — as clinically legible instead. Baby Suggs, worn down by the deaths and disappearances of eight children, is left, in Morrison's phrase as Koolish quotes it, with "a 'sadness . . . at her center, the desolated center where the self that was no self made its home'" (qtd. in Koolish 169, citing Morrison 140). That's not simply grief. It's a description of a self that has been hollowed out from continuous loss until there's a vacancy where a person used to be.</w:t>
      </w:r>
    </w:p>
    <w:p>
      <w:pPr>
        <w:spacing w:line="480" w:lineRule="auto"/>
      </w:pPr>
      <w:r>
        <w:rPr>
          <w:rFonts w:ascii="Times New Roman" w:cs="Times New Roman" w:eastAsia="Times New Roman" w:hAnsi="Times New Roman"/>
          <w:b w:val="false"/>
          <w:bCs w:val="false"/>
          <w:i w:val="false"/>
          <w:iCs w:val="false"/>
          <w:sz w:val="24"/>
          <w:szCs w:val="24"/>
        </w:rPr>
        <w:t xml:space="preserve">Denver's version of the same damage is quieter and, in a way, sadder: once she learns the full truth of what happened to her sister, she goes functionally deaf, and explains it herself in a line Koolish singles out: "Made me have to read faces and learn how to figure out what people were thinking, so I didn't need to hear what they said" (qtd. in Koolish, pp. 169–70, citing Morrison 206). Koolish's essay insists that recovery from this state requires characters to stop protecting themselves through exactly this kind of self-imposed blindness and deafness — that healing "requires access to painful memories," and the novel's characters only "reintegrate, achieve 'the join' … when they no longer refuse the deepest knowledge of the meanings of their individual and historical pasts" (169). Put this next to Krumholz's account of rememory and a harder truth emerges: knowing where the past lives, as a fact about the world, is not the same as being able to survive going there. The historical claim and the psychological cost are two separate problems, and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insists on both.</w:t>
      </w:r>
    </w:p>
    <w:p>
      <w:pPr>
        <w:spacing w:before="240" w:line="480" w:lineRule="auto"/>
        <w:jc w:val="left"/>
      </w:pPr>
      <w:r>
        <w:rPr>
          <w:rFonts w:ascii="Times New Roman" w:cs="Times New Roman" w:eastAsia="Times New Roman" w:hAnsi="Times New Roman"/>
          <w:b/>
          <w:bCs/>
          <w:sz w:val="24"/>
          <w:szCs w:val="24"/>
        </w:rPr>
        <w:t xml:space="preserve">Sound, Repetition, and the Architecture of Return</w:t>
      </w:r>
    </w:p>
    <w:p>
      <w:pPr>
        <w:spacing w:line="480" w:lineRule="auto"/>
      </w:pPr>
      <w:r>
        <w:rPr>
          <w:rFonts w:ascii="Times New Roman" w:cs="Times New Roman" w:eastAsia="Times New Roman" w:hAnsi="Times New Roman"/>
          <w:b w:val="false"/>
          <w:bCs w:val="false"/>
          <w:i w:val="false"/>
          <w:iCs w:val="false"/>
          <w:sz w:val="24"/>
          <w:szCs w:val="24"/>
        </w:rPr>
        <w:t xml:space="preserve">The most recent essay considered here, Lakshmi K. and colleagues' 2025 study, relocates this same argument from what the novel says to how it's built. Their central observation is that Morrison's repetitions are not stylistic tics but a formal argument in their own right: "Morrison's concept of 'rememory' captures how painful experiences resurface repeatedly, affecting both individuals and communities" (3910), and the clearest evidence for that claim is structural — the "124 was spiteful / loud / quiet" sequence discussed above, which the authors read as the "recognisable rhythm that emphasises the growth of trauma inside Sethe's home" (3916). A reader doesn't just learn that trauma resurfaces; the reader experiences the resurfacing, because the novel makes you sit through the same doorway three times with the emotional temperature changed each time.</w:t>
      </w:r>
    </w:p>
    <w:p>
      <w:pPr>
        <w:spacing w:line="480" w:lineRule="auto"/>
      </w:pPr>
      <w:r>
        <w:rPr>
          <w:rFonts w:ascii="Times New Roman" w:cs="Times New Roman" w:eastAsia="Times New Roman" w:hAnsi="Times New Roman"/>
          <w:b w:val="false"/>
          <w:bCs w:val="false"/>
          <w:i w:val="false"/>
          <w:iCs w:val="false"/>
          <w:sz w:val="24"/>
          <w:szCs w:val="24"/>
        </w:rPr>
        <w:t xml:space="preserve">Lakshmi and her co-authors also make a case I find genuinely persuasive for reading the novel's basis in documented history — not as background trivia, but as part of its ethical claim on the reader: "Beloved draws from the historical case of Margaret Garner, an enslaved woman who killed her child to prevent re-enslavement. By weaving real history into fiction, Morrison reclaims erased narratives and affirms African American experiences" (3910). This matters for the same reason Krumholz's rememory argument matters: it insists that what happens in the novel is not a private, invented horror engineered for narrative shock, but one instance of something that actually happened to actual people, most of whom left no written record of what it cost them. The fictional frame doesn't soften that fact. It gives a documented atrocity the interior life the historical record never preserved.</w:t>
      </w:r>
    </w:p>
    <w:p>
      <w:pPr>
        <w:spacing w:before="240" w:line="480" w:lineRule="auto"/>
        <w:jc w:val="left"/>
      </w:pPr>
      <w:r>
        <w:rPr>
          <w:rFonts w:ascii="Times New Roman" w:cs="Times New Roman" w:eastAsia="Times New Roman" w:hAnsi="Times New Roman"/>
          <w:b/>
          <w:bCs/>
          <w:sz w:val="24"/>
          <w:szCs w:val="24"/>
        </w:rPr>
        <w:t xml:space="preserve">The Unspeakable, Named</w:t>
      </w:r>
    </w:p>
    <w:p>
      <w:pPr>
        <w:spacing w:line="480" w:lineRule="auto"/>
      </w:pPr>
      <w:r>
        <w:rPr>
          <w:rFonts w:ascii="Times New Roman" w:cs="Times New Roman" w:eastAsia="Times New Roman" w:hAnsi="Times New Roman"/>
          <w:b w:val="false"/>
          <w:bCs w:val="false"/>
          <w:i w:val="false"/>
          <w:iCs w:val="false"/>
          <w:sz w:val="24"/>
          <w:szCs w:val="24"/>
        </w:rPr>
        <w:t xml:space="preserve">Morrison gave later critics a name for all of this in her own critical voice, in the 1989 essay "Unspeakable Things Unspoken: The Afro-American Presence in American Literature," delivered as the University of Michigan's Tanner Lecture on Human Values (Morrison, "Unspeakable Things Unspoken"). Krumholz's own footnotes draw on that essay to gloss how haunting functions across Morrison's fiction (Krumholz 407), and the title alone does real work: it names a presence that is simultaneously constitutive and denied, load-bearing and officially unacknowledged. That is a precise description of what schoolteacher's ledger does to Sethe — it depends entirely on her humanity while refusing, on paper, to record it — and it is also a precise description of what the novel does to its own central atrocity, naming it everywhere in the book's language and structure while insisting, in its very last pages, that it is "not a story to pass on."</w:t>
      </w:r>
    </w:p>
    <w:p>
      <w:pPr>
        <w:spacing w:before="240" w:line="480" w:lineRule="auto"/>
        <w:jc w:val="left"/>
      </w:pPr>
      <w:r>
        <w:rPr>
          <w:rFonts w:ascii="Times New Roman" w:cs="Times New Roman" w:eastAsia="Times New Roman" w:hAnsi="Times New Roman"/>
          <w:b/>
          <w:bCs/>
          <w:sz w:val="24"/>
          <w:szCs w:val="24"/>
        </w:rPr>
        <w:t xml:space="preserve">Conclusion</w:t>
      </w:r>
    </w:p>
    <w:p>
      <w:pPr>
        <w:spacing w:line="480" w:lineRule="auto"/>
      </w:pPr>
      <w:r>
        <w:rPr>
          <w:rFonts w:ascii="Times New Roman" w:cs="Times New Roman" w:eastAsia="Times New Roman" w:hAnsi="Times New Roman"/>
          <w:b w:val="false"/>
          <w:bCs w:val="false"/>
          <w:i w:val="false"/>
          <w:iCs w:val="false"/>
          <w:sz w:val="24"/>
          <w:szCs w:val="24"/>
        </w:rPr>
        <w:t xml:space="preserve">None of the three critical accounts surveyed here — historical, psychological, formal — actually disagrees with the others; they keep landing on the same paradox because the paradox is real, not because criticism has run out of new things to say about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Sethe's rememory (qtd. in Krumholz 395) makes the past into a standing feature of the world rather than a closed event. Koolish's account of dissociation (169) explains why confronting that past nearly breaks the people who have to do it. Lakshmi and her co-authors show that the novel's formal repetitions are not decoration but the technical means by which readers are made to feel the resurfacing rather than merely learn about it. And underneath all three readings sits the conflict this article has tried to bring forward: schoolteacher's ledger against Baby Suggs's insistence that goodness is nothing more than restraint, practiced and re-practiced, with no rulebook to hide behind. That opposition is why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cannot end in the ordinary sense. A ledger can be closed. A practice — knowing when to stop, and choosing to stop again tomorrow — cannot. The novel's last refusal, "not a story to pass on" and yet passed on regardless (qtd. in Krumholz 407), is not a trick played on the reader. It's the only honest way to end a story about a kind of accounting that was never supposed to add up.</w:t>
      </w:r>
    </w:p>
    <w:p>
      <w:pPr>
        <w:spacing w:before="240" w:line="480" w:lineRule="auto"/>
        <w:jc w:val="center"/>
      </w:pPr>
      <w:r>
        <w:rPr>
          <w:rFonts w:ascii="Times New Roman" w:cs="Times New Roman" w:eastAsia="Times New Roman" w:hAnsi="Times New Roman"/>
          <w:sz w:val="24"/>
          <w:szCs w:val="24"/>
        </w:rPr>
        <w:t xml:space="preserve">Works Cited</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Koolish, Lynda. "'To Be Loved and Cry Shame': A Psychological Reading of 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MELUS</w:t>
      </w:r>
      <w:r>
        <w:rPr>
          <w:rFonts w:ascii="Times New Roman" w:cs="Times New Roman" w:eastAsia="Times New Roman" w:hAnsi="Times New Roman"/>
          <w:b w:val="false"/>
          <w:bCs w:val="false"/>
          <w:i w:val="false"/>
          <w:iCs w:val="false"/>
          <w:sz w:val="24"/>
          <w:szCs w:val="24"/>
        </w:rPr>
        <w:t xml:space="preserve">, vol. 26, no. 4, 2001, pp. 169–195.</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Krumholz, Linda. "The Ghosts of Slavery: Historical Recovery in 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African American Review</w:t>
      </w:r>
      <w:r>
        <w:rPr>
          <w:rFonts w:ascii="Times New Roman" w:cs="Times New Roman" w:eastAsia="Times New Roman" w:hAnsi="Times New Roman"/>
          <w:b w:val="false"/>
          <w:bCs w:val="false"/>
          <w:i w:val="false"/>
          <w:iCs w:val="false"/>
          <w:sz w:val="24"/>
          <w:szCs w:val="24"/>
        </w:rPr>
        <w:t xml:space="preserve">, vol. 26, no. 3, 1992, pp. 395–408.</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Lakshmi K, Srividya, et al. "Fragmented Voices and Sonic Resistance: Trauma, Memory, and the Politics of Healing in Toni Morrison's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Theory and Practice in Language Studies</w:t>
      </w:r>
      <w:r>
        <w:rPr>
          <w:rFonts w:ascii="Times New Roman" w:cs="Times New Roman" w:eastAsia="Times New Roman" w:hAnsi="Times New Roman"/>
          <w:b w:val="false"/>
          <w:bCs w:val="false"/>
          <w:i w:val="false"/>
          <w:iCs w:val="false"/>
          <w:sz w:val="24"/>
          <w:szCs w:val="24"/>
        </w:rPr>
        <w:t xml:space="preserve">, vol. 15, no. 12, 2025, pp. 3910–3919, doi:10.17507/tpls.1512.10.</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Morrison, Toni. </w:t>
      </w:r>
      <w:r>
        <w:rPr>
          <w:rFonts w:ascii="Times New Roman" w:cs="Times New Roman" w:eastAsia="Times New Roman" w:hAnsi="Times New Roman"/>
          <w:b w:val="false"/>
          <w:bCs w:val="false"/>
          <w:i/>
          <w:iCs/>
          <w:sz w:val="24"/>
          <w:szCs w:val="24"/>
        </w:rPr>
        <w:t xml:space="preserve">Beloved</w:t>
      </w:r>
      <w:r>
        <w:rPr>
          <w:rFonts w:ascii="Times New Roman" w:cs="Times New Roman" w:eastAsia="Times New Roman" w:hAnsi="Times New Roman"/>
          <w:b w:val="false"/>
          <w:bCs w:val="false"/>
          <w:i w:val="false"/>
          <w:iCs w:val="false"/>
          <w:sz w:val="24"/>
          <w:szCs w:val="24"/>
        </w:rPr>
        <w:t xml:space="preserve">. Knopf, 1987.</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 "Unspeakable Things Unspoken: The Afro-American Presence in American Literature." </w:t>
      </w:r>
      <w:r>
        <w:rPr>
          <w:rFonts w:ascii="Times New Roman" w:cs="Times New Roman" w:eastAsia="Times New Roman" w:hAnsi="Times New Roman"/>
          <w:b w:val="false"/>
          <w:bCs w:val="false"/>
          <w:i/>
          <w:iCs/>
          <w:sz w:val="24"/>
          <w:szCs w:val="24"/>
        </w:rPr>
        <w:t xml:space="preserve">Michigan Quarterly Review</w:t>
      </w:r>
      <w:r>
        <w:rPr>
          <w:rFonts w:ascii="Times New Roman" w:cs="Times New Roman" w:eastAsia="Times New Roman" w:hAnsi="Times New Roman"/>
          <w:b w:val="false"/>
          <w:bCs w:val="false"/>
          <w:i w:val="false"/>
          <w:iCs w:val="false"/>
          <w:sz w:val="24"/>
          <w:szCs w:val="24"/>
        </w:rPr>
        <w:t xml:space="preserve">, vol. 28, no. 1, 1989, pp. 1–34.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[Author Surname]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2026-07-16T08:58:43.176Z</dcterms:created>
  <dcterms:modified xsi:type="dcterms:W3CDTF">2026-07-16T08:58:43.188Z</dcterms:modified>
</cp:coreProperties>
</file>

<file path=docProps/custom.xml><?xml version="1.0" encoding="utf-8"?>
<Properties xmlns="http://schemas.openxmlformats.org/officeDocument/2006/custom-properties" xmlns:vt="http://schemas.openxmlformats.org/officeDocument/2006/docPropsVTypes"/>
</file>