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480" w:lineRule="auto"/>
        <w:jc w:val="center"/>
      </w:pPr>
      <w:r>
        <w:rPr>
          <w:rFonts w:ascii="Times New Roman" w:cs="Times New Roman" w:eastAsia="Times New Roman" w:hAnsi="Times New Roman"/>
          <w:b w:val="false"/>
          <w:bCs w:val="false"/>
          <w:i w:val="false"/>
          <w:iCs w:val="false"/>
          <w:sz w:val="24"/>
          <w:szCs w:val="24"/>
        </w:rPr>
        <w:t xml:space="preserve">Trauma, Memory, and the Unspeakable in Toni Morrison's </w:t>
      </w:r>
      <w:r>
        <w:rPr>
          <w:rFonts w:ascii="Times New Roman" w:cs="Times New Roman" w:eastAsia="Times New Roman" w:hAnsi="Times New Roman"/>
          <w:b w:val="false"/>
          <w:bCs w:val="false"/>
          <w:i/>
          <w:iCs/>
          <w:sz w:val="24"/>
          <w:szCs w:val="24"/>
        </w:rPr>
        <w:t xml:space="preserve">Beloved</w:t>
      </w:r>
    </w:p>
    <w:p>
      <w:pPr>
        <w:spacing w:before="240" w:line="480" w:lineRule="auto"/>
      </w:pPr>
      <w:r>
        <w:rPr>
          <w:rFonts w:ascii="Times New Roman" w:cs="Times New Roman" w:eastAsia="Times New Roman" w:hAnsi="Times New Roman"/>
          <w:b/>
          <w:bCs/>
          <w:sz w:val="24"/>
          <w:szCs w:val="24"/>
        </w:rPr>
        <w:t xml:space="preserve">Abstract</w:t>
      </w:r>
    </w:p>
    <w:p>
      <w:pPr>
        <w:spacing w:line="480" w:lineRule="auto"/>
      </w:pPr>
      <w:r>
        <w:rPr>
          <w:rFonts w:ascii="Times New Roman" w:cs="Times New Roman" w:eastAsia="Times New Roman" w:hAnsi="Times New Roman"/>
          <w:b w:val="false"/>
          <w:bCs w:val="false"/>
          <w:i w:val="false"/>
          <w:iCs w:val="false"/>
          <w:sz w:val="24"/>
          <w:szCs w:val="24"/>
        </w:rPr>
        <w:t xml:space="preserve">Toni Morrison's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(1987) refuses to let the trauma of slavery stay in the past tense. Three of its parts open with the same three words about the same haunted house — "124 was spiteful," "124 was loud," "124 was quiet" — and that refrain alone tells you Morrison is not writing a novel that moves in one direction, toward resolution. This article reads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through three critical lenses that developed independently across more than three decades — Linda Krumholz's historicist account of "rememory" as a theory of history (1992), Lynda Koolish's psychological account of dissociation and "psychic wholeness" (2001), and a 2025 formal account of the novel's sonic and repetitive structure (Lakshmi K et al.) — and argues that a fourth, underread thread ties them together: the moral contrast Morrison stages between schoolteacher's ledger, which sorts Sethe's "human" and "animal" characteristics into two columns, and Baby Suggs's insistence that goodness is nothing more than "knowing when to stop." Where the historical and psychological readings explain </w:t>
      </w:r>
      <w:r>
        <w:rPr>
          <w:rFonts w:ascii="Times New Roman" w:cs="Times New Roman" w:eastAsia="Times New Roman" w:hAnsi="Times New Roman"/>
          <w:b w:val="false"/>
          <w:bCs w:val="false"/>
          <w:i/>
          <w:iCs/>
          <w:sz w:val="24"/>
          <w:szCs w:val="24"/>
        </w:rPr>
        <w:t xml:space="preserve">why</w:t>
      </w:r>
      <w:r>
        <w:rPr>
          <w:rFonts w:ascii="Times New Roman" w:cs="Times New Roman" w:eastAsia="Times New Roman" w:hAnsi="Times New Roman"/>
          <w:b w:val="false"/>
          <w:bCs w:val="false"/>
          <w:i w:val="false"/>
          <w:iCs w:val="false"/>
          <w:sz w:val="24"/>
          <w:szCs w:val="24"/>
        </w:rPr>
        <w:t xml:space="preserve"> Sethe's story resists being told, that ethical contrast explains what is actually at stake in the telling: two entirely different theories of what a person is. The article closes by connecting this to Morrison's own essay "Unspeakable Things Unspoken," and argues that the novel's famous closing refusal — "This is not a story to pass on" — is not a contradiction to be resolved but the mechanism by which the book keeps working on its readers.</w:t>
      </w:r>
    </w:p>
    <w:p>
      <w:pPr>
        <w:spacing w:line="480" w:lineRule="auto"/>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Toni Morrison,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trauma theory, rememory, African American literature, historical memory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[Author Surname]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2026-07-18T03:20:00.224Z</dcterms:created>
  <dcterms:modified xsi:type="dcterms:W3CDTF">2026-07-18T03:20:00.236Z</dcterms:modified>
</cp:coreProperties>
</file>

<file path=docProps/custom.xml><?xml version="1.0" encoding="utf-8"?>
<Properties xmlns="http://schemas.openxmlformats.org/officeDocument/2006/custom-properties" xmlns:vt="http://schemas.openxmlformats.org/officeDocument/2006/docPropsVTypes"/>
</file>