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 w:line="480" w:lineRule="auto"/>
        <w:jc w:val="center"/>
      </w:pPr>
      <w:r>
        <w:rPr>
          <w:rFonts w:ascii="Times New Roman" w:cs="Times New Roman" w:eastAsia="Times New Roman" w:hAnsi="Times New Roman"/>
          <w:b w:val="false"/>
          <w:bCs w:val="false"/>
          <w:i w:val="false"/>
          <w:iCs w:val="false"/>
          <w:sz w:val="24"/>
          <w:szCs w:val="24"/>
        </w:rPr>
        <w:t xml:space="preserve">The Ring on the Platter: Oral Frame and Textual Authority in the Ramkatha Tradition</w:t>
      </w:r>
    </w:p>
    <w:p>
      <w:pPr>
        <w:spacing w:line="480" w:lineRule="auto"/>
      </w:pPr>
      <w:r>
        <w:rPr>
          <w:rFonts w:ascii="Times New Roman" w:cs="Times New Roman" w:eastAsia="Times New Roman" w:hAnsi="Times New Roman"/>
          <w:b/>
          <w:bCs/>
          <w:i w:val="false"/>
          <w:iCs w:val="false"/>
          <w:sz w:val="24"/>
          <w:szCs w:val="24"/>
        </w:rPr>
        <w:t xml:space="preserve">Author:</w:t>
      </w:r>
      <w:r>
        <w:rPr>
          <w:rFonts w:ascii="Times New Roman" w:cs="Times New Roman" w:eastAsia="Times New Roman" w:hAnsi="Times New Roman"/>
          <w:b w:val="false"/>
          <w:bCs w:val="false"/>
          <w:i w:val="false"/>
          <w:iCs w:val="false"/>
          <w:sz w:val="24"/>
          <w:szCs w:val="24"/>
        </w:rPr>
        <w:t xml:space="preserve"> [Author Name]</w:t>
      </w:r>
    </w:p>
    <w:p>
      <w:pPr>
        <w:spacing w:line="480" w:lineRule="auto"/>
      </w:pPr>
      <w:r>
        <w:rPr>
          <w:rFonts w:ascii="Times New Roman" w:cs="Times New Roman" w:eastAsia="Times New Roman" w:hAnsi="Times New Roman"/>
          <w:b/>
          <w:bCs/>
          <w:i w:val="false"/>
          <w:iCs w:val="false"/>
          <w:sz w:val="24"/>
          <w:szCs w:val="24"/>
        </w:rPr>
        <w:t xml:space="preserve">Affiliation:</w:t>
      </w:r>
      <w:r>
        <w:rPr>
          <w:rFonts w:ascii="Times New Roman" w:cs="Times New Roman" w:eastAsia="Times New Roman" w:hAnsi="Times New Roman"/>
          <w:b w:val="false"/>
          <w:bCs w:val="false"/>
          <w:i w:val="false"/>
          <w:iCs w:val="false"/>
          <w:sz w:val="24"/>
          <w:szCs w:val="24"/>
        </w:rPr>
        <w:t xml:space="preserve"> [Institution, if any]</w:t>
      </w:r>
    </w:p>
    <w:p>
      <w:pPr>
        <w:spacing w:line="480" w:lineRule="auto"/>
      </w:pPr>
      <w:r>
        <w:rPr>
          <w:rFonts w:ascii="Times New Roman" w:cs="Times New Roman" w:eastAsia="Times New Roman" w:hAnsi="Times New Roman"/>
          <w:b/>
          <w:bCs/>
          <w:i w:val="false"/>
          <w:iCs w:val="false"/>
          <w:sz w:val="24"/>
          <w:szCs w:val="24"/>
        </w:rPr>
        <w:t xml:space="preserve">Date:</w:t>
      </w:r>
      <w:r>
        <w:rPr>
          <w:rFonts w:ascii="Times New Roman" w:cs="Times New Roman" w:eastAsia="Times New Roman" w:hAnsi="Times New Roman"/>
          <w:b w:val="false"/>
          <w:bCs w:val="false"/>
          <w:i w:val="false"/>
          <w:iCs w:val="false"/>
          <w:sz w:val="24"/>
          <w:szCs w:val="24"/>
        </w:rPr>
        <w:t xml:space="preserve"> July 2026</w:t>
      </w:r>
    </w:p>
    <w:p>
      <w:pPr>
        <w:spacing w:before="240" w:line="480" w:lineRule="auto"/>
        <w:jc w:val="left"/>
      </w:pPr>
      <w:r>
        <w:rPr>
          <w:rFonts w:ascii="Times New Roman" w:cs="Times New Roman" w:eastAsia="Times New Roman" w:hAnsi="Times New Roman"/>
          <w:b/>
          <w:bCs/>
          <w:sz w:val="24"/>
          <w:szCs w:val="24"/>
        </w:rPr>
        <w:t xml:space="preserve">Abstract</w:t>
      </w:r>
    </w:p>
    <w:p>
      <w:pPr>
        <w:spacing w:line="480" w:lineRule="auto"/>
      </w:pPr>
      <w:r>
        <w:rPr>
          <w:rFonts w:ascii="Times New Roman" w:cs="Times New Roman" w:eastAsia="Times New Roman" w:hAnsi="Times New Roman"/>
          <w:b w:val="false"/>
          <w:bCs w:val="false"/>
          <w:i w:val="false"/>
          <w:iCs w:val="false"/>
          <w:sz w:val="24"/>
          <w:szCs w:val="24"/>
        </w:rPr>
        <w:t xml:space="preserve">A. K. Ramanujan's landmark essay "Three Hundred Ramayanas" opens and closes with the same device: a folktale about Hanuman diving into the netherworld to retrieve Rama's ring, only to discover a platter piled with identical rings — one for every Rama there has ever been. Scholars have quoted this frame story for decades as a parable about narrative plurality, but less attention has gone to a simpler fact about the essay's own architecture: its argument against a single authoritative </w:t>
      </w:r>
      <w:r>
        <w:rPr>
          <w:rFonts w:ascii="Times New Roman" w:cs="Times New Roman" w:eastAsia="Times New Roman" w:hAnsi="Times New Roman"/>
          <w:b w:val="false"/>
          <w:bCs w:val="false"/>
          <w:i/>
          <w:iCs/>
          <w:sz w:val="24"/>
          <w:szCs w:val="24"/>
        </w:rPr>
        <w:t xml:space="preserve">Rāmāyaṇa</w:t>
      </w:r>
      <w:r>
        <w:rPr>
          <w:rFonts w:ascii="Times New Roman" w:cs="Times New Roman" w:eastAsia="Times New Roman" w:hAnsi="Times New Roman"/>
          <w:b w:val="false"/>
          <w:bCs w:val="false"/>
          <w:i w:val="false"/>
          <w:iCs w:val="false"/>
          <w:sz w:val="24"/>
          <w:szCs w:val="24"/>
        </w:rPr>
        <w:t xml:space="preserve"> text is bracketed, on both ends, by oral storytelling rather than by textual evidence. This article argues that this structural choice is not incidental. Reading Ramanujan's essay alongside Indira Parthasarathy's account of Kamban's Tamil "transcreation" of Valmiki, it traces how the Ramkatha tradition treats orality not as a lesser, imprecise cousin of the written text but as the very ground that authorizes textual variation in the first place. The tradition's own vocabulary — distinguishing </w:t>
      </w:r>
      <w:r>
        <w:rPr>
          <w:rFonts w:ascii="Times New Roman" w:cs="Times New Roman" w:eastAsia="Times New Roman" w:hAnsi="Times New Roman"/>
          <w:b w:val="false"/>
          <w:bCs w:val="false"/>
          <w:i/>
          <w:iCs/>
          <w:sz w:val="24"/>
          <w:szCs w:val="24"/>
        </w:rPr>
        <w:t xml:space="preserve">rāmakathā</w:t>
      </w:r>
      <w:r>
        <w:rPr>
          <w:rFonts w:ascii="Times New Roman" w:cs="Times New Roman" w:eastAsia="Times New Roman" w:hAnsi="Times New Roman"/>
          <w:b w:val="false"/>
          <w:bCs w:val="false"/>
          <w:i w:val="false"/>
          <w:iCs w:val="false"/>
          <w:sz w:val="24"/>
          <w:szCs w:val="24"/>
        </w:rPr>
        <w:t xml:space="preserve">, the story, from the </w:t>
      </w:r>
      <w:r>
        <w:rPr>
          <w:rFonts w:ascii="Times New Roman" w:cs="Times New Roman" w:eastAsia="Times New Roman" w:hAnsi="Times New Roman"/>
          <w:b w:val="false"/>
          <w:bCs w:val="false"/>
          <w:i/>
          <w:iCs/>
          <w:sz w:val="24"/>
          <w:szCs w:val="24"/>
        </w:rPr>
        <w:t xml:space="preserve">kāvya</w:t>
      </w:r>
      <w:r>
        <w:rPr>
          <w:rFonts w:ascii="Times New Roman" w:cs="Times New Roman" w:eastAsia="Times New Roman" w:hAnsi="Times New Roman"/>
          <w:b w:val="false"/>
          <w:bCs w:val="false"/>
          <w:i w:val="false"/>
          <w:iCs w:val="false"/>
          <w:sz w:val="24"/>
          <w:szCs w:val="24"/>
        </w:rPr>
        <w:t xml:space="preserve">, the authored poem — already refuses to let any single text, however prestigious, stand in for the whole. What emerges is a picture of authority that moves in both directions at once: oral tellings feed the great authored texts, and those texts, once composed, return to circulate orally again.</w:t>
      </w:r>
    </w:p>
    <w:p>
      <w:pPr>
        <w:spacing w:line="480" w:lineRule="auto"/>
      </w:pPr>
      <w:r>
        <w:rPr>
          <w:rFonts w:ascii="Times New Roman" w:cs="Times New Roman" w:eastAsia="Times New Roman" w:hAnsi="Times New Roman"/>
          <w:b/>
          <w:bCs/>
          <w:i w:val="false"/>
          <w:iCs w:val="false"/>
          <w:sz w:val="24"/>
          <w:szCs w:val="24"/>
        </w:rPr>
        <w:t xml:space="preserve">Keywords:</w:t>
      </w:r>
      <w:r>
        <w:rPr>
          <w:rFonts w:ascii="Times New Roman" w:cs="Times New Roman" w:eastAsia="Times New Roman" w:hAnsi="Times New Roman"/>
          <w:b w:val="false"/>
          <w:bCs w:val="false"/>
          <w:i w:val="false"/>
          <w:iCs w:val="false"/>
          <w:sz w:val="24"/>
          <w:szCs w:val="24"/>
        </w:rPr>
        <w:t xml:space="preserve"> Ramkatha, Ramayana, oral tradition, textual authority, Kamban, A. K. Ramanujan, comparative literature</w:t>
      </w:r>
    </w:p>
    <w:p>
      <w:pPr>
        <w:spacing w:before="240" w:line="480" w:lineRule="auto"/>
        <w:jc w:val="left"/>
      </w:pPr>
      <w:r>
        <w:rPr>
          <w:rFonts w:ascii="Times New Roman" w:cs="Times New Roman" w:eastAsia="Times New Roman" w:hAnsi="Times New Roman"/>
          <w:b/>
          <w:bCs/>
          <w:sz w:val="24"/>
          <w:szCs w:val="24"/>
        </w:rPr>
        <w:t xml:space="preserve">Introduction</w:t>
      </w:r>
    </w:p>
    <w:p>
      <w:pPr>
        <w:spacing w:line="480" w:lineRule="auto"/>
      </w:pPr>
      <w:r>
        <w:rPr>
          <w:rFonts w:ascii="Times New Roman" w:cs="Times New Roman" w:eastAsia="Times New Roman" w:hAnsi="Times New Roman"/>
          <w:b w:val="false"/>
          <w:bCs w:val="false"/>
          <w:i w:val="false"/>
          <w:iCs w:val="false"/>
          <w:sz w:val="24"/>
          <w:szCs w:val="24"/>
        </w:rPr>
        <w:t xml:space="preserve">Here is how A. K. Ramanujan begins his most cited essay: not with a manuscript, not with a translation problem, but with a folktale. Rama's ring falls into a hole in the ground. Hanuman, who can shrink to the size of an atom, chases it into the netherworld and is brought before the King of Spirits, who shows him a platter heaped with identical rings and explains: "There have been as many Rāmas as there are rings on this platter. When you return to earth, you will not find Rāma. This incarnation of Rāma is now over" (Ramanujan 132). Ramanujan is about to spend thirty pages arguing that there is no single, authoritative </w:t>
      </w:r>
      <w:r>
        <w:rPr>
          <w:rFonts w:ascii="Times New Roman" w:cs="Times New Roman" w:eastAsia="Times New Roman" w:hAnsi="Times New Roman"/>
          <w:b w:val="false"/>
          <w:bCs w:val="false"/>
          <w:i/>
          <w:iCs/>
          <w:sz w:val="24"/>
          <w:szCs w:val="24"/>
        </w:rPr>
        <w:t xml:space="preserve">Rāmāyaṇa</w:t>
      </w:r>
      <w:r>
        <w:rPr>
          <w:rFonts w:ascii="Times New Roman" w:cs="Times New Roman" w:eastAsia="Times New Roman" w:hAnsi="Times New Roman"/>
          <w:b w:val="false"/>
          <w:bCs w:val="false"/>
          <w:i w:val="false"/>
          <w:iCs w:val="false"/>
          <w:sz w:val="24"/>
          <w:szCs w:val="24"/>
        </w:rPr>
        <w:t xml:space="preserve"> — that Valmiki's Sanskrit version, however early and however prestigious, is one telling among hundreds, not an original from which the others deviate. He could have opened that argument with textual philology, with a list of manuscript variants, with the apparatus of a critical edition. Instead he opens it with a story someone told him, or that he heard told, about a ring that turns out not to be singular at all.</w:t>
      </w:r>
    </w:p>
    <w:p>
      <w:pPr>
        <w:spacing w:line="480" w:lineRule="auto"/>
      </w:pPr>
      <w:r>
        <w:rPr>
          <w:rFonts w:ascii="Times New Roman" w:cs="Times New Roman" w:eastAsia="Times New Roman" w:hAnsi="Times New Roman"/>
          <w:b w:val="false"/>
          <w:bCs w:val="false"/>
          <w:i w:val="false"/>
          <w:iCs w:val="false"/>
          <w:sz w:val="24"/>
          <w:szCs w:val="24"/>
        </w:rPr>
        <w:t xml:space="preserve">That choice is the subject of this article. The Ramkatha — the Rama story, considered as a whole rather than as any one poet's rendering of it — has generated an enormous scholarly literature on its textual variety: how Kamban's twelfth-century Tamil telling differs from Valmiki's Sanskrit, how Jain tellings invert the moral status of Ravana, how regional and folk versions do things no "canonical" text would permit. Less has been said about where the authority to make those variations comes from in the first place. This article argues that it comes, structurally and repeatedly, from orality — not as raw material later disciplined into a finished text, but as a standing source of legitimacy that the written tradition keeps returning to, even at its most literary and self-consciously authored.</w:t>
      </w:r>
    </w:p>
    <w:p>
      <w:pPr>
        <w:spacing w:before="240" w:line="480" w:lineRule="auto"/>
        <w:jc w:val="left"/>
      </w:pPr>
      <w:r>
        <w:rPr>
          <w:rFonts w:ascii="Times New Roman" w:cs="Times New Roman" w:eastAsia="Times New Roman" w:hAnsi="Times New Roman"/>
          <w:b/>
          <w:bCs/>
          <w:sz w:val="24"/>
          <w:szCs w:val="24"/>
        </w:rPr>
        <w:t xml:space="preserve">Tellings, Not Versions</w:t>
      </w:r>
    </w:p>
    <w:p>
      <w:pPr>
        <w:spacing w:line="480" w:lineRule="auto"/>
      </w:pPr>
      <w:r>
        <w:rPr>
          <w:rFonts w:ascii="Times New Roman" w:cs="Times New Roman" w:eastAsia="Times New Roman" w:hAnsi="Times New Roman"/>
          <w:b w:val="false"/>
          <w:bCs w:val="false"/>
          <w:i w:val="false"/>
          <w:iCs w:val="false"/>
          <w:sz w:val="24"/>
          <w:szCs w:val="24"/>
        </w:rPr>
        <w:t xml:space="preserve">Ramanujan's most consequential move is a small one, almost a footnote in tone: he refuses the word "version." "I have come to prefer the word </w:t>
      </w:r>
      <w:r>
        <w:rPr>
          <w:rFonts w:ascii="Times New Roman" w:cs="Times New Roman" w:eastAsia="Times New Roman" w:hAnsi="Times New Roman"/>
          <w:b w:val="false"/>
          <w:bCs w:val="false"/>
          <w:i/>
          <w:iCs/>
          <w:sz w:val="24"/>
          <w:szCs w:val="24"/>
        </w:rPr>
        <w:t xml:space="preserve">tellings</w:t>
      </w:r>
      <w:r>
        <w:rPr>
          <w:rFonts w:ascii="Times New Roman" w:cs="Times New Roman" w:eastAsia="Times New Roman" w:hAnsi="Times New Roman"/>
          <w:b w:val="false"/>
          <w:bCs w:val="false"/>
          <w:i w:val="false"/>
          <w:iCs w:val="false"/>
          <w:sz w:val="24"/>
          <w:szCs w:val="24"/>
        </w:rPr>
        <w:t xml:space="preserve"> to the usual terms </w:t>
      </w:r>
      <w:r>
        <w:rPr>
          <w:rFonts w:ascii="Times New Roman" w:cs="Times New Roman" w:eastAsia="Times New Roman" w:hAnsi="Times New Roman"/>
          <w:b w:val="false"/>
          <w:bCs w:val="false"/>
          <w:i/>
          <w:iCs/>
          <w:sz w:val="24"/>
          <w:szCs w:val="24"/>
        </w:rPr>
        <w:t xml:space="preserve">versions</w:t>
      </w:r>
      <w:r>
        <w:rPr>
          <w:rFonts w:ascii="Times New Roman" w:cs="Times New Roman" w:eastAsia="Times New Roman" w:hAnsi="Times New Roman"/>
          <w:b w:val="false"/>
          <w:bCs w:val="false"/>
          <w:i w:val="false"/>
          <w:iCs w:val="false"/>
          <w:sz w:val="24"/>
          <w:szCs w:val="24"/>
        </w:rPr>
        <w:t xml:space="preserve"> or </w:t>
      </w:r>
      <w:r>
        <w:rPr>
          <w:rFonts w:ascii="Times New Roman" w:cs="Times New Roman" w:eastAsia="Times New Roman" w:hAnsi="Times New Roman"/>
          <w:b w:val="false"/>
          <w:bCs w:val="false"/>
          <w:i/>
          <w:iCs/>
          <w:sz w:val="24"/>
          <w:szCs w:val="24"/>
        </w:rPr>
        <w:t xml:space="preserve">variants</w:t>
      </w:r>
      <w:r>
        <w:rPr>
          <w:rFonts w:ascii="Times New Roman" w:cs="Times New Roman" w:eastAsia="Times New Roman" w:hAnsi="Times New Roman"/>
          <w:b w:val="false"/>
          <w:bCs w:val="false"/>
          <w:i w:val="false"/>
          <w:iCs w:val="false"/>
          <w:sz w:val="24"/>
          <w:szCs w:val="24"/>
        </w:rPr>
        <w:t xml:space="preserve">," he writes, "because the latter terms can and typically do imply that there is an invariant, an original or Ur-text — usually Vālmīki's Sanskrit </w:t>
      </w:r>
      <w:r>
        <w:rPr>
          <w:rFonts w:ascii="Times New Roman" w:cs="Times New Roman" w:eastAsia="Times New Roman" w:hAnsi="Times New Roman"/>
          <w:b w:val="false"/>
          <w:bCs w:val="false"/>
          <w:i/>
          <w:iCs/>
          <w:sz w:val="24"/>
          <w:szCs w:val="24"/>
        </w:rPr>
        <w:t xml:space="preserve">Rāmāyaṇa</w:t>
      </w:r>
      <w:r>
        <w:rPr>
          <w:rFonts w:ascii="Times New Roman" w:cs="Times New Roman" w:eastAsia="Times New Roman" w:hAnsi="Times New Roman"/>
          <w:b w:val="false"/>
          <w:bCs w:val="false"/>
          <w:i w:val="false"/>
          <w:iCs w:val="false"/>
          <w:sz w:val="24"/>
          <w:szCs w:val="24"/>
        </w:rPr>
        <w:t xml:space="preserve">, the earliest and most prestigious of them all. But as we shall see, it is not always Valmiki's narrative that is carried from one language to another" (134). It is worth sitting with how much work "telling" is doing here. A version presupposes a source it deviates from; a telling presupposes only an occasion, a teller, and an audience. Swap one word for the other and the whole hierarchy — original at the top, adaptations trailing below — collapses into something flatter and, frankly, more accurate to how the tradition has actually behaved for two thousand years.</w:t>
      </w:r>
    </w:p>
    <w:p>
      <w:pPr>
        <w:spacing w:line="480" w:lineRule="auto"/>
      </w:pPr>
      <w:r>
        <w:rPr>
          <w:rFonts w:ascii="Times New Roman" w:cs="Times New Roman" w:eastAsia="Times New Roman" w:hAnsi="Times New Roman"/>
          <w:b w:val="false"/>
          <w:bCs w:val="false"/>
          <w:i w:val="false"/>
          <w:iCs w:val="false"/>
          <w:sz w:val="24"/>
          <w:szCs w:val="24"/>
        </w:rPr>
        <w:t xml:space="preserve">Ramanujan does not invent this flattening out of thin air; he finds it already embedded in the tradition's own terminology. "The tradition itself distinguishes between the Rāma story (</w:t>
      </w:r>
      <w:r>
        <w:rPr>
          <w:rFonts w:ascii="Times New Roman" w:cs="Times New Roman" w:eastAsia="Times New Roman" w:hAnsi="Times New Roman"/>
          <w:b w:val="false"/>
          <w:bCs w:val="false"/>
          <w:i/>
          <w:iCs/>
          <w:sz w:val="24"/>
          <w:szCs w:val="24"/>
        </w:rPr>
        <w:t xml:space="preserve">rāmakathā</w:t>
      </w:r>
      <w:r>
        <w:rPr>
          <w:rFonts w:ascii="Times New Roman" w:cs="Times New Roman" w:eastAsia="Times New Roman" w:hAnsi="Times New Roman"/>
          <w:b w:val="false"/>
          <w:bCs w:val="false"/>
          <w:i w:val="false"/>
          <w:iCs w:val="false"/>
          <w:sz w:val="24"/>
          <w:szCs w:val="24"/>
        </w:rPr>
        <w:t xml:space="preserve">) and texts composed by a specific person — Vālmīki, Kampan, or Kṛttivāsa, for example" (134). This is the detail a purely textual approach to the Ramkatha would have no reason to notice, because it is not a fact about any individual poem — it is a fact about how the culture that produced these poems talks about the difference between a story and a book. </w:t>
      </w:r>
      <w:r>
        <w:rPr>
          <w:rFonts w:ascii="Times New Roman" w:cs="Times New Roman" w:eastAsia="Times New Roman" w:hAnsi="Times New Roman"/>
          <w:b w:val="false"/>
          <w:bCs w:val="false"/>
          <w:i/>
          <w:iCs/>
          <w:sz w:val="24"/>
          <w:szCs w:val="24"/>
        </w:rPr>
        <w:t xml:space="preserve">Rāmakathā</w:t>
      </w:r>
      <w:r>
        <w:rPr>
          <w:rFonts w:ascii="Times New Roman" w:cs="Times New Roman" w:eastAsia="Times New Roman" w:hAnsi="Times New Roman"/>
          <w:b w:val="false"/>
          <w:bCs w:val="false"/>
          <w:i w:val="false"/>
          <w:iCs w:val="false"/>
          <w:sz w:val="24"/>
          <w:szCs w:val="24"/>
        </w:rPr>
        <w:t xml:space="preserve"> names something that exceeds and predates any single </w:t>
      </w:r>
      <w:r>
        <w:rPr>
          <w:rFonts w:ascii="Times New Roman" w:cs="Times New Roman" w:eastAsia="Times New Roman" w:hAnsi="Times New Roman"/>
          <w:b w:val="false"/>
          <w:bCs w:val="false"/>
          <w:i/>
          <w:iCs/>
          <w:sz w:val="24"/>
          <w:szCs w:val="24"/>
        </w:rPr>
        <w:t xml:space="preserve">kāvya</w:t>
      </w:r>
      <w:r>
        <w:rPr>
          <w:rFonts w:ascii="Times New Roman" w:cs="Times New Roman" w:eastAsia="Times New Roman" w:hAnsi="Times New Roman"/>
          <w:b w:val="false"/>
          <w:bCs w:val="false"/>
          <w:i w:val="false"/>
          <w:iCs w:val="false"/>
          <w:sz w:val="24"/>
          <w:szCs w:val="24"/>
        </w:rPr>
        <w:t xml:space="preserve">, any single authored composition. The word "Ramkatha" itself, in other words, already encodes the argument this article is making: it names the story as a shared, ongoing, essentially oral possession, distinct from — if source to — whatever any particular Valmiki or Kamban or Kṛttivāsa happens to write down.</w:t>
      </w:r>
    </w:p>
    <w:p>
      <w:pPr>
        <w:spacing w:line="480" w:lineRule="auto"/>
      </w:pPr>
      <w:r>
        <w:rPr>
          <w:rFonts w:ascii="Times New Roman" w:cs="Times New Roman" w:eastAsia="Times New Roman" w:hAnsi="Times New Roman"/>
          <w:b w:val="false"/>
          <w:bCs w:val="false"/>
          <w:i w:val="false"/>
          <w:iCs w:val="false"/>
          <w:sz w:val="24"/>
          <w:szCs w:val="24"/>
        </w:rPr>
        <w:t xml:space="preserve">Part of why no single text could plausibly claim to be the Ur-text is that the story did not travel as a text at all for most of its history — it traveled as people traveled, along trade and pilgrimage routes, picking up local color as it went. Ramanujan reports the geographer Santosh Desai's reconstruction of these routes in some detail: "By land, the northern route took the story from the Punjab and Kashmir into China, Tibet, and East Turkestan; by sea, the southern route carried the story from Gujarat and South India into Java, Sumatra, and Malaya; and again by land, the eastern route delivered the story from Bengal into Burma, Thailand, and Laos. Vietnam and Cambodia obtained their stories partly from Java and partly from India via the eastern route" (qtd. in Ramanujan 144). None of this is a translation history in the ordinary sense — nobody was carrying a manuscript of Valmiki's Sanskrit across the Bay of Bengal and rendering it, line by line, into Khmer or Thai. What moved was the </w:t>
      </w:r>
      <w:r>
        <w:rPr>
          <w:rFonts w:ascii="Times New Roman" w:cs="Times New Roman" w:eastAsia="Times New Roman" w:hAnsi="Times New Roman"/>
          <w:b w:val="false"/>
          <w:bCs w:val="false"/>
          <w:i/>
          <w:iCs/>
          <w:sz w:val="24"/>
          <w:szCs w:val="24"/>
        </w:rPr>
        <w:t xml:space="preserve">kathā</w:t>
      </w:r>
      <w:r>
        <w:rPr>
          <w:rFonts w:ascii="Times New Roman" w:cs="Times New Roman" w:eastAsia="Times New Roman" w:hAnsi="Times New Roman"/>
          <w:b w:val="false"/>
          <w:bCs w:val="false"/>
          <w:i w:val="false"/>
          <w:iCs w:val="false"/>
          <w:sz w:val="24"/>
          <w:szCs w:val="24"/>
        </w:rPr>
        <w:t xml:space="preserve">, carried by merchants, pilgrims, and performers who told it from memory and adjusted it to whatever audience they found on arrival. By the time a version of the story surfaces in a written Southeast Asian </w:t>
      </w:r>
      <w:r>
        <w:rPr>
          <w:rFonts w:ascii="Times New Roman" w:cs="Times New Roman" w:eastAsia="Times New Roman" w:hAnsi="Times New Roman"/>
          <w:b w:val="false"/>
          <w:bCs w:val="false"/>
          <w:i/>
          <w:iCs/>
          <w:sz w:val="24"/>
          <w:szCs w:val="24"/>
        </w:rPr>
        <w:t xml:space="preserve">Ramakien</w:t>
      </w:r>
      <w:r>
        <w:rPr>
          <w:rFonts w:ascii="Times New Roman" w:cs="Times New Roman" w:eastAsia="Times New Roman" w:hAnsi="Times New Roman"/>
          <w:b w:val="false"/>
          <w:bCs w:val="false"/>
          <w:i w:val="false"/>
          <w:iCs w:val="false"/>
          <w:sz w:val="24"/>
          <w:szCs w:val="24"/>
        </w:rPr>
        <w:t xml:space="preserve"> or </w:t>
      </w:r>
      <w:r>
        <w:rPr>
          <w:rFonts w:ascii="Times New Roman" w:cs="Times New Roman" w:eastAsia="Times New Roman" w:hAnsi="Times New Roman"/>
          <w:b w:val="false"/>
          <w:bCs w:val="false"/>
          <w:i/>
          <w:iCs/>
          <w:sz w:val="24"/>
          <w:szCs w:val="24"/>
        </w:rPr>
        <w:t xml:space="preserve">Reamker</w:t>
      </w:r>
      <w:r>
        <w:rPr>
          <w:rFonts w:ascii="Times New Roman" w:cs="Times New Roman" w:eastAsia="Times New Roman" w:hAnsi="Times New Roman"/>
          <w:b w:val="false"/>
          <w:bCs w:val="false"/>
          <w:i w:val="false"/>
          <w:iCs w:val="false"/>
          <w:sz w:val="24"/>
          <w:szCs w:val="24"/>
        </w:rPr>
        <w:t xml:space="preserve">, it has already been oral for generations, in languages Valmiki never wrote in, among audiences who may never have heard of him. Any theory of the Ramkatha's authority that starts from a single Sanskrit source text has to explain this transmission history away; a theory that starts from oral </w:t>
      </w:r>
      <w:r>
        <w:rPr>
          <w:rFonts w:ascii="Times New Roman" w:cs="Times New Roman" w:eastAsia="Times New Roman" w:hAnsi="Times New Roman"/>
          <w:b w:val="false"/>
          <w:bCs w:val="false"/>
          <w:i/>
          <w:iCs/>
          <w:sz w:val="24"/>
          <w:szCs w:val="24"/>
        </w:rPr>
        <w:t xml:space="preserve">kathā</w:t>
      </w:r>
      <w:r>
        <w:rPr>
          <w:rFonts w:ascii="Times New Roman" w:cs="Times New Roman" w:eastAsia="Times New Roman" w:hAnsi="Times New Roman"/>
          <w:b w:val="false"/>
          <w:bCs w:val="false"/>
          <w:i w:val="false"/>
          <w:iCs w:val="false"/>
          <w:sz w:val="24"/>
          <w:szCs w:val="24"/>
        </w:rPr>
        <w:t xml:space="preserve"> does not need to.</w:t>
      </w:r>
    </w:p>
    <w:p>
      <w:pPr>
        <w:spacing w:before="240" w:line="480" w:lineRule="auto"/>
        <w:jc w:val="left"/>
      </w:pPr>
      <w:r>
        <w:rPr>
          <w:rFonts w:ascii="Times New Roman" w:cs="Times New Roman" w:eastAsia="Times New Roman" w:hAnsi="Times New Roman"/>
          <w:b/>
          <w:bCs/>
          <w:sz w:val="24"/>
          <w:szCs w:val="24"/>
        </w:rPr>
        <w:t xml:space="preserve">Two Authors, One Ahalya</w:t>
      </w:r>
    </w:p>
    <w:p>
      <w:pPr>
        <w:spacing w:line="480" w:lineRule="auto"/>
      </w:pPr>
      <w:r>
        <w:rPr>
          <w:rFonts w:ascii="Times New Roman" w:cs="Times New Roman" w:eastAsia="Times New Roman" w:hAnsi="Times New Roman"/>
          <w:b w:val="false"/>
          <w:bCs w:val="false"/>
          <w:i w:val="false"/>
          <w:iCs w:val="false"/>
          <w:sz w:val="24"/>
          <w:szCs w:val="24"/>
        </w:rPr>
        <w:t xml:space="preserve">The clearest place to watch this distinction do real interpretive work is the episode of Ahalya, the woman turned to stone after being seduced by Indra in the guise of her husband, and revived by the touch of Rama's foot. Both Valmiki and Kamban tell this story; neither is retelling the other's poem so much as retelling the </w:t>
      </w:r>
      <w:r>
        <w:rPr>
          <w:rFonts w:ascii="Times New Roman" w:cs="Times New Roman" w:eastAsia="Times New Roman" w:hAnsi="Times New Roman"/>
          <w:b w:val="false"/>
          <w:bCs w:val="false"/>
          <w:i/>
          <w:iCs/>
          <w:sz w:val="24"/>
          <w:szCs w:val="24"/>
        </w:rPr>
        <w:t xml:space="preserve">kathā</w:t>
      </w:r>
      <w:r>
        <w:rPr>
          <w:rFonts w:ascii="Times New Roman" w:cs="Times New Roman" w:eastAsia="Times New Roman" w:hAnsi="Times New Roman"/>
          <w:b w:val="false"/>
          <w:bCs w:val="false"/>
          <w:i w:val="false"/>
          <w:iCs w:val="false"/>
          <w:sz w:val="24"/>
          <w:szCs w:val="24"/>
        </w:rPr>
        <w:t xml:space="preserve"> through their own poem. Ramanujan's comparison is precise about what actually changes: "In Vālmīki, Rāma's character is not that of a god but of a god-man who has to live within the limits of a human form with all its vicissitudes... Be that as it may, in Kampan he is clearly a god" (142). The plot beat — stone woman, divine foot, restored flesh — survives intact across both tellings. What does not survive intact is the ontological status of the man doing the reviving. Valmiki's Rama is constrained, fallible, working within human limits even at his most exemplary; Kamban's Rama, shaped by Tamil bhakti devotionalism and the influence of the Vaishnava poet-saint Nammalvar, is unambiguously divine from the outset, and the Ahalya episode becomes, in Ramanujan's phrase, an occasion for "a moving bhakti meditation on the soul waking to its form in god" rather than a story about a hero's restraint.</w:t>
      </w:r>
    </w:p>
    <w:p>
      <w:pPr>
        <w:spacing w:line="480" w:lineRule="auto"/>
      </w:pPr>
      <w:r>
        <w:rPr>
          <w:rFonts w:ascii="Times New Roman" w:cs="Times New Roman" w:eastAsia="Times New Roman" w:hAnsi="Times New Roman"/>
          <w:b w:val="false"/>
          <w:bCs w:val="false"/>
          <w:i w:val="false"/>
          <w:iCs w:val="false"/>
          <w:sz w:val="24"/>
          <w:szCs w:val="24"/>
        </w:rPr>
        <w:t xml:space="preserve">Ramanujan's own conclusion about this comparison refuses to rank the two tellings against each other: "Thus the Ahalyā episode is essentially the same, but the weave, the texture, the colours are very different. Part of the aesthetic pleasure in the later poet's telling derives from its artistic use of its predecessor's work, from ringing changes on it" (142). Notice what this does to the question of authority. Kamban is not correcting Valmiki, and he is not simply borrowing from him either — he is composing in a register where the audience's prior knowledge of Valmiki's version is itself part of the aesthetic material, something to be played against, "ringing changes" the way a musician varies a known melody rather than performing a cover of someone else's fixed recording.</w:t>
      </w:r>
    </w:p>
    <w:p>
      <w:pPr>
        <w:spacing w:line="480" w:lineRule="auto"/>
      </w:pPr>
      <w:r>
        <w:rPr>
          <w:rFonts w:ascii="Times New Roman" w:cs="Times New Roman" w:eastAsia="Times New Roman" w:hAnsi="Times New Roman"/>
          <w:b w:val="false"/>
          <w:bCs w:val="false"/>
          <w:i w:val="false"/>
          <w:iCs w:val="false"/>
          <w:sz w:val="24"/>
          <w:szCs w:val="24"/>
        </w:rPr>
        <w:t xml:space="preserve">Indira Parthasarathy's account of Kamban converges with this reading from an entirely different angle — she is a Tamil literary scholar writing about Kamban's craft, not a comparativist theorizing plurality, and she still arrives at the same structural point. Kamban, she writes, "did not translate the Valmiki </w:t>
      </w:r>
      <w:r>
        <w:rPr>
          <w:rFonts w:ascii="Times New Roman" w:cs="Times New Roman" w:eastAsia="Times New Roman" w:hAnsi="Times New Roman"/>
          <w:b w:val="false"/>
          <w:bCs w:val="false"/>
          <w:i/>
          <w:iCs/>
          <w:sz w:val="24"/>
          <w:szCs w:val="24"/>
        </w:rPr>
        <w:t xml:space="preserve">Ramayana</w:t>
      </w:r>
      <w:r>
        <w:rPr>
          <w:rFonts w:ascii="Times New Roman" w:cs="Times New Roman" w:eastAsia="Times New Roman" w:hAnsi="Times New Roman"/>
          <w:b w:val="false"/>
          <w:bCs w:val="false"/>
          <w:i w:val="false"/>
          <w:iCs w:val="false"/>
          <w:sz w:val="24"/>
          <w:szCs w:val="24"/>
        </w:rPr>
        <w:t xml:space="preserve"> but transcreated it with masterly and subtle structural changes to suit his own literary views and concepts, without offending the sequential order of narration in the original" (Parthasarathy). "Transcreate" is doing exactly the work "telling" does in Ramanujan's vocabulary: it names an act that is neither slavish translation nor free invention, but something with its own kind of fidelity — fidelity to the </w:t>
      </w:r>
      <w:r>
        <w:rPr>
          <w:rFonts w:ascii="Times New Roman" w:cs="Times New Roman" w:eastAsia="Times New Roman" w:hAnsi="Times New Roman"/>
          <w:b w:val="false"/>
          <w:bCs w:val="false"/>
          <w:i/>
          <w:iCs/>
          <w:sz w:val="24"/>
          <w:szCs w:val="24"/>
        </w:rPr>
        <w:t xml:space="preserve">kathā</w:t>
      </w:r>
      <w:r>
        <w:rPr>
          <w:rFonts w:ascii="Times New Roman" w:cs="Times New Roman" w:eastAsia="Times New Roman" w:hAnsi="Times New Roman"/>
          <w:b w:val="false"/>
          <w:bCs w:val="false"/>
          <w:i w:val="false"/>
          <w:iCs w:val="false"/>
          <w:sz w:val="24"/>
          <w:szCs w:val="24"/>
        </w:rPr>
        <w:t xml:space="preserve">, the shared story, rather than to any one predecessor's exact wording.</w:t>
      </w:r>
    </w:p>
    <w:p>
      <w:pPr>
        <w:spacing w:before="240" w:line="480" w:lineRule="auto"/>
        <w:jc w:val="left"/>
      </w:pPr>
      <w:r>
        <w:rPr>
          <w:rFonts w:ascii="Times New Roman" w:cs="Times New Roman" w:eastAsia="Times New Roman" w:hAnsi="Times New Roman"/>
          <w:b/>
          <w:bCs/>
          <w:sz w:val="24"/>
          <w:szCs w:val="24"/>
        </w:rPr>
        <w:t xml:space="preserve">Transcreation and the Weight of Precedent</w:t>
      </w:r>
    </w:p>
    <w:p>
      <w:pPr>
        <w:spacing w:line="480" w:lineRule="auto"/>
      </w:pPr>
      <w:r>
        <w:rPr>
          <w:rFonts w:ascii="Times New Roman" w:cs="Times New Roman" w:eastAsia="Times New Roman" w:hAnsi="Times New Roman"/>
          <w:b w:val="false"/>
          <w:bCs w:val="false"/>
          <w:i w:val="false"/>
          <w:iCs w:val="false"/>
          <w:sz w:val="24"/>
          <w:szCs w:val="24"/>
        </w:rPr>
        <w:t xml:space="preserve">Parthasarathy's essay gives this idea a second, sharper edge through her account of Kumbhakarna, Ravana's giant, slumbering brother. In Valmiki, she notes, "Kumbhakarna was an uncouth figure, a man-mountain, a glutton, and a demon" (Parthasarathy). Kamban does not delete this figure or replace him with someone unrecognizable; he keeps the plot function — the sleeping giant who wakes to fight and dies for a cause he privately doubts — and rebuilds the character's interior life around it, giving him the kind of tragic, conflicted loyalty Parthasarathy compares to Bhishma in the Mahabharata. This is the same operation Ramanujan describes in the Ahalya episode, run on a secondary character instead of the protagonist: the </w:t>
      </w:r>
      <w:r>
        <w:rPr>
          <w:rFonts w:ascii="Times New Roman" w:cs="Times New Roman" w:eastAsia="Times New Roman" w:hAnsi="Times New Roman"/>
          <w:b w:val="false"/>
          <w:bCs w:val="false"/>
          <w:i/>
          <w:iCs/>
          <w:sz w:val="24"/>
          <w:szCs w:val="24"/>
        </w:rPr>
        <w:t xml:space="preserve">kathā</w:t>
      </w:r>
      <w:r>
        <w:rPr>
          <w:rFonts w:ascii="Times New Roman" w:cs="Times New Roman" w:eastAsia="Times New Roman" w:hAnsi="Times New Roman"/>
          <w:b w:val="false"/>
          <w:bCs w:val="false"/>
          <w:i w:val="false"/>
          <w:iCs w:val="false"/>
          <w:sz w:val="24"/>
          <w:szCs w:val="24"/>
        </w:rPr>
        <w:t xml:space="preserve">'s bare narrative architecture survives, while the specific </w:t>
      </w:r>
      <w:r>
        <w:rPr>
          <w:rFonts w:ascii="Times New Roman" w:cs="Times New Roman" w:eastAsia="Times New Roman" w:hAnsi="Times New Roman"/>
          <w:b w:val="false"/>
          <w:bCs w:val="false"/>
          <w:i/>
          <w:iCs/>
          <w:sz w:val="24"/>
          <w:szCs w:val="24"/>
        </w:rPr>
        <w:t xml:space="preserve">kāvya</w:t>
      </w:r>
      <w:r>
        <w:rPr>
          <w:rFonts w:ascii="Times New Roman" w:cs="Times New Roman" w:eastAsia="Times New Roman" w:hAnsi="Times New Roman"/>
          <w:b w:val="false"/>
          <w:bCs w:val="false"/>
          <w:i w:val="false"/>
          <w:iCs w:val="false"/>
          <w:sz w:val="24"/>
          <w:szCs w:val="24"/>
        </w:rPr>
        <w:t xml:space="preserve">'s treatment of what that architecture means is rebuilt from the ground up.</w:t>
      </w:r>
    </w:p>
    <w:p>
      <w:pPr>
        <w:spacing w:line="480" w:lineRule="auto"/>
      </w:pPr>
      <w:r>
        <w:rPr>
          <w:rFonts w:ascii="Times New Roman" w:cs="Times New Roman" w:eastAsia="Times New Roman" w:hAnsi="Times New Roman"/>
          <w:b w:val="false"/>
          <w:bCs w:val="false"/>
          <w:i w:val="false"/>
          <w:iCs w:val="false"/>
          <w:sz w:val="24"/>
          <w:szCs w:val="24"/>
        </w:rPr>
        <w:t xml:space="preserve">What licenses Kamban to do this? Not scholarly permission, and not a claim to have found a more accurate manuscript. Parthasarathy is direct about the alternative source of authority: "Kamban was a conscious literary artist, who had it clear in his mind that what he proposed to write was a literary piece and not a religious work" (Parthasarathy). Kamban's authority to reshape Kumbhakarna, or to make Rama unambiguously divine where Valmiki had made him constrained, is the authority of a poet working within a living, still-circulating story — not the authority of a scribe correcting a text. Ramanujan names the general version of this phenomenon directly: "To some extent all later Rāmāyaṇas play on the knowledge of previous tellings: they are meta-Rāmāyaṇas" (142). A meta-</w:t>
      </w:r>
      <w:r>
        <w:rPr>
          <w:rFonts w:ascii="Times New Roman" w:cs="Times New Roman" w:eastAsia="Times New Roman" w:hAnsi="Times New Roman"/>
          <w:b w:val="false"/>
          <w:bCs w:val="false"/>
          <w:i/>
          <w:iCs/>
          <w:sz w:val="24"/>
          <w:szCs w:val="24"/>
        </w:rPr>
        <w:t xml:space="preserve">Rāmāyaṇa</w:t>
      </w:r>
      <w:r>
        <w:rPr>
          <w:rFonts w:ascii="Times New Roman" w:cs="Times New Roman" w:eastAsia="Times New Roman" w:hAnsi="Times New Roman"/>
          <w:b w:val="false"/>
          <w:bCs w:val="false"/>
          <w:i w:val="false"/>
          <w:iCs w:val="false"/>
          <w:sz w:val="24"/>
          <w:szCs w:val="24"/>
        </w:rPr>
        <w:t xml:space="preserve"> is not parasitic on some prior, truer </w:t>
      </w:r>
      <w:r>
        <w:rPr>
          <w:rFonts w:ascii="Times New Roman" w:cs="Times New Roman" w:eastAsia="Times New Roman" w:hAnsi="Times New Roman"/>
          <w:b w:val="false"/>
          <w:bCs w:val="false"/>
          <w:i/>
          <w:iCs/>
          <w:sz w:val="24"/>
          <w:szCs w:val="24"/>
        </w:rPr>
        <w:t xml:space="preserve">Rāmāyaṇa</w:t>
      </w:r>
      <w:r>
        <w:rPr>
          <w:rFonts w:ascii="Times New Roman" w:cs="Times New Roman" w:eastAsia="Times New Roman" w:hAnsi="Times New Roman"/>
          <w:b w:val="false"/>
          <w:bCs w:val="false"/>
          <w:i w:val="false"/>
          <w:iCs w:val="false"/>
          <w:sz w:val="24"/>
          <w:szCs w:val="24"/>
        </w:rPr>
        <w:t xml:space="preserve"> — it is doing something the word "adaptation" does not quite capture, composing in full knowledge that its audience already knows other tellings, and drawing its meaning from the gap between what they expect and what this particular poet gives them.</w:t>
      </w:r>
    </w:p>
    <w:p>
      <w:pPr>
        <w:spacing w:line="480" w:lineRule="auto"/>
      </w:pPr>
      <w:r>
        <w:rPr>
          <w:rFonts w:ascii="Times New Roman" w:cs="Times New Roman" w:eastAsia="Times New Roman" w:hAnsi="Times New Roman"/>
          <w:b w:val="false"/>
          <w:bCs w:val="false"/>
          <w:i w:val="false"/>
          <w:iCs w:val="false"/>
          <w:sz w:val="24"/>
          <w:szCs w:val="24"/>
        </w:rPr>
        <w:t xml:space="preserve">It is worth pausing on how far this is from how a Western reader trained on the idea of a canonical, author-owned text might expect a tradition to work. Nobody accuses Kamban of infidelity to Valmiki the way a translator might be accused of infidelity to a source text, because that is simply not the relationship between the two poems. And the tradition's tolerance for this kind of divergence goes further than character or theology. Ramanujan reports that in the Jain tellings, the moral universe of the story is not merely adjusted but substantially reversed: "When we enter the world of Jain tellings, the Rāma story no longer carries Hindu values" (144). Ravana is rewritten almost beyond recognition: in one Jain telling Ramanujan summarizes, he is a warrior who will not touch an unwilling woman and is finally undone by a fate he has spent his whole life trying to avoid — "a great man undone by a passion that he has vowed against but that he cannot resist" — so that "to our modern eyes, this Rāvana is a tragic figure; we are moved to admiration and pity for Ravana when the Jains tell the story" (145). Some Jain tellings go further still: "In another tradition of the Jain Ramayanas, Sita is his daughter, although he does not know it: the dice of tragedy are loaded against him further by this oedipal situation" (145). This is not a minor regional footnote to the "real" story — it is a wholesale reversal of who counts as villain and who as tragic hero, produced within a tradition that still calls the result a </w:t>
      </w:r>
      <w:r>
        <w:rPr>
          <w:rFonts w:ascii="Times New Roman" w:cs="Times New Roman" w:eastAsia="Times New Roman" w:hAnsi="Times New Roman"/>
          <w:b w:val="false"/>
          <w:bCs w:val="false"/>
          <w:i/>
          <w:iCs/>
          <w:sz w:val="24"/>
          <w:szCs w:val="24"/>
        </w:rPr>
        <w:t xml:space="preserve">rāmakathā</w:t>
      </w:r>
      <w:r>
        <w:rPr>
          <w:rFonts w:ascii="Times New Roman" w:cs="Times New Roman" w:eastAsia="Times New Roman" w:hAnsi="Times New Roman"/>
          <w:b w:val="false"/>
          <w:bCs w:val="false"/>
          <w:i w:val="false"/>
          <w:iCs w:val="false"/>
          <w:sz w:val="24"/>
          <w:szCs w:val="24"/>
        </w:rPr>
        <w:t xml:space="preserve">. If the Ramkatha tolerates a variation this large and still recognizes the result as belonging to itself, then whatever holds the tradition together cannot be textual fidelity to Valmiki. It has to be something closer to what Ramanujan calls a shared pool of plots, characters, names, and geography — a pool every teller draws on, and none of them owns outright.</w:t>
      </w:r>
    </w:p>
    <w:p>
      <w:pPr>
        <w:spacing w:before="240" w:line="480" w:lineRule="auto"/>
        <w:jc w:val="left"/>
      </w:pPr>
      <w:r>
        <w:rPr>
          <w:rFonts w:ascii="Times New Roman" w:cs="Times New Roman" w:eastAsia="Times New Roman" w:hAnsi="Times New Roman"/>
          <w:b/>
          <w:bCs/>
          <w:sz w:val="24"/>
          <w:szCs w:val="24"/>
        </w:rPr>
        <w:t xml:space="preserve">The Ring Comes Back</w:t>
      </w:r>
    </w:p>
    <w:p>
      <w:pPr>
        <w:spacing w:line="480" w:lineRule="auto"/>
      </w:pPr>
      <w:r>
        <w:rPr>
          <w:rFonts w:ascii="Times New Roman" w:cs="Times New Roman" w:eastAsia="Times New Roman" w:hAnsi="Times New Roman"/>
          <w:b w:val="false"/>
          <w:bCs w:val="false"/>
          <w:i w:val="false"/>
          <w:iCs w:val="false"/>
          <w:sz w:val="24"/>
          <w:szCs w:val="24"/>
        </w:rPr>
        <w:t xml:space="preserve">This brings the argument back to where Ramanujan's essay itself ends, which is where it began: with another folktale about Hanuman's ring, not a scholarly summary. "This essay opened with a folktale about the many Rāmāyaṇas. Before we close, it may be appropriate to tell another tale about Hanumān and Rāma's ring. But this story is about the power of the </w:t>
      </w:r>
      <w:r>
        <w:rPr>
          <w:rFonts w:ascii="Times New Roman" w:cs="Times New Roman" w:eastAsia="Times New Roman" w:hAnsi="Times New Roman"/>
          <w:b w:val="false"/>
          <w:bCs w:val="false"/>
          <w:i/>
          <w:iCs/>
          <w:sz w:val="24"/>
          <w:szCs w:val="24"/>
        </w:rPr>
        <w:t xml:space="preserve">Rāmāyaṇa</w:t>
      </w:r>
      <w:r>
        <w:rPr>
          <w:rFonts w:ascii="Times New Roman" w:cs="Times New Roman" w:eastAsia="Times New Roman" w:hAnsi="Times New Roman"/>
          <w:b w:val="false"/>
          <w:bCs w:val="false"/>
          <w:i w:val="false"/>
          <w:iCs w:val="false"/>
          <w:sz w:val="24"/>
          <w:szCs w:val="24"/>
        </w:rPr>
        <w:t xml:space="preserve">, about what happens when you really listen to this potent story" (160). What follows is a story about a bored, culturally indifferent villager who falls asleep every night during a reciter's performance of the epic, until his wife forces him to sit in the front row and pay attention — at which point he becomes so absorbed in a scene of Hanuman searching for the ring at the bottom of the ocean that he leaps up, dives in himself, and (within the frame of the story) actually retrieves it. The tale is not an argument. It is a demonstration, staged as a story rather than asserted as a thesis, of what oral performance can do that a manuscript sitting on a shelf cannot: collapse the distance between listener and story until the two are no longer separable.</w:t>
      </w:r>
    </w:p>
    <w:p>
      <w:pPr>
        <w:spacing w:line="480" w:lineRule="auto"/>
      </w:pPr>
      <w:r>
        <w:rPr>
          <w:rFonts w:ascii="Times New Roman" w:cs="Times New Roman" w:eastAsia="Times New Roman" w:hAnsi="Times New Roman"/>
          <w:b w:val="false"/>
          <w:bCs w:val="false"/>
          <w:i w:val="false"/>
          <w:iCs w:val="false"/>
          <w:sz w:val="24"/>
          <w:szCs w:val="24"/>
        </w:rPr>
        <w:t xml:space="preserve">This is, I think, the real payoff of reading the essay's structure rather than only its explicit claims. Ramanujan's scholarly argument is that there is no authoritative written </w:t>
      </w:r>
      <w:r>
        <w:rPr>
          <w:rFonts w:ascii="Times New Roman" w:cs="Times New Roman" w:eastAsia="Times New Roman" w:hAnsi="Times New Roman"/>
          <w:b w:val="false"/>
          <w:bCs w:val="false"/>
          <w:i/>
          <w:iCs/>
          <w:sz w:val="24"/>
          <w:szCs w:val="24"/>
        </w:rPr>
        <w:t xml:space="preserve">Rāmāyaṇa</w:t>
      </w:r>
      <w:r>
        <w:rPr>
          <w:rFonts w:ascii="Times New Roman" w:cs="Times New Roman" w:eastAsia="Times New Roman" w:hAnsi="Times New Roman"/>
          <w:b w:val="false"/>
          <w:bCs w:val="false"/>
          <w:i w:val="false"/>
          <w:iCs w:val="false"/>
          <w:sz w:val="24"/>
          <w:szCs w:val="24"/>
        </w:rPr>
        <w:t xml:space="preserve"> — many tellings, no Ur-text. But he does not make that argument stand entirely on textual comparison, the way a philologist might. He frames it, at both ends, with evidence that the </w:t>
      </w:r>
      <w:r>
        <w:rPr>
          <w:rFonts w:ascii="Times New Roman" w:cs="Times New Roman" w:eastAsia="Times New Roman" w:hAnsi="Times New Roman"/>
          <w:b w:val="false"/>
          <w:bCs w:val="false"/>
          <w:i/>
          <w:iCs/>
          <w:sz w:val="24"/>
          <w:szCs w:val="24"/>
        </w:rPr>
        <w:t xml:space="preserve">kathā</w:t>
      </w:r>
      <w:r>
        <w:rPr>
          <w:rFonts w:ascii="Times New Roman" w:cs="Times New Roman" w:eastAsia="Times New Roman" w:hAnsi="Times New Roman"/>
          <w:b w:val="false"/>
          <w:bCs w:val="false"/>
          <w:i w:val="false"/>
          <w:iCs w:val="false"/>
          <w:sz w:val="24"/>
          <w:szCs w:val="24"/>
        </w:rPr>
        <w:t xml:space="preserve"> survives and renews itself most powerfully in performance and listening, not in the manuscript tradition at all. That framing choice matters for how we should understand the relationship between oral and textual authority in the Ramkatha more broadly. UNESCO's 2005 recognition of Ramlila — the north Indian dramatic performance of the Rama story, staged annually and drawing on Tulsidas's written </w:t>
      </w:r>
      <w:r>
        <w:rPr>
          <w:rFonts w:ascii="Times New Roman" w:cs="Times New Roman" w:eastAsia="Times New Roman" w:hAnsi="Times New Roman"/>
          <w:b w:val="false"/>
          <w:bCs w:val="false"/>
          <w:i/>
          <w:iCs/>
          <w:sz w:val="24"/>
          <w:szCs w:val="24"/>
        </w:rPr>
        <w:t xml:space="preserve">Ramcharitmanas</w:t>
      </w:r>
      <w:r>
        <w:rPr>
          <w:rFonts w:ascii="Times New Roman" w:cs="Times New Roman" w:eastAsia="Times New Roman" w:hAnsi="Times New Roman"/>
          <w:b w:val="false"/>
          <w:bCs w:val="false"/>
          <w:i w:val="false"/>
          <w:iCs w:val="false"/>
          <w:sz w:val="24"/>
          <w:szCs w:val="24"/>
        </w:rPr>
        <w:t xml:space="preserve"> — inscribed the tradition as a "Masterpiece of the Oral and Intangible Heritage of Humanity," not as a performance of a fixed script ("Ramlila"). That designation captures something true about how the tradition actually works: a written text (Tulsidas's) becomes the basis for a living oral-performative tradition, which in turn is recognized, institutionally, precisely for its oral and performed character rather than for fidelity to any page. This three-way relationship — a story that is simultaneously oral, written, and performed, with none of the three positions holding permanent priority over the others — is exactly the framework a recent collection of Ramayana scholarship has organized itself around (Stasik). Textual and oral authority are not, in the Ramkatha, opposed forces competing for the same territory. They are stages in a single, continuous exchange — the </w:t>
      </w:r>
      <w:r>
        <w:rPr>
          <w:rFonts w:ascii="Times New Roman" w:cs="Times New Roman" w:eastAsia="Times New Roman" w:hAnsi="Times New Roman"/>
          <w:b w:val="false"/>
          <w:bCs w:val="false"/>
          <w:i/>
          <w:iCs/>
          <w:sz w:val="24"/>
          <w:szCs w:val="24"/>
        </w:rPr>
        <w:t xml:space="preserve">kathā</w:t>
      </w:r>
      <w:r>
        <w:rPr>
          <w:rFonts w:ascii="Times New Roman" w:cs="Times New Roman" w:eastAsia="Times New Roman" w:hAnsi="Times New Roman"/>
          <w:b w:val="false"/>
          <w:bCs w:val="false"/>
          <w:i w:val="false"/>
          <w:iCs w:val="false"/>
          <w:sz w:val="24"/>
          <w:szCs w:val="24"/>
        </w:rPr>
        <w:t xml:space="preserve"> moves from telling to text to performance and back again, and no single station in that circuit gets to call itself the origin.</w:t>
      </w:r>
    </w:p>
    <w:p>
      <w:pPr>
        <w:spacing w:before="240" w:line="480" w:lineRule="auto"/>
        <w:jc w:val="left"/>
      </w:pPr>
      <w:r>
        <w:rPr>
          <w:rFonts w:ascii="Times New Roman" w:cs="Times New Roman" w:eastAsia="Times New Roman" w:hAnsi="Times New Roman"/>
          <w:b/>
          <w:bCs/>
          <w:sz w:val="24"/>
          <w:szCs w:val="24"/>
        </w:rPr>
        <w:t xml:space="preserve">Conclusion</w:t>
      </w:r>
    </w:p>
    <w:p>
      <w:pPr>
        <w:spacing w:line="480" w:lineRule="auto"/>
      </w:pPr>
      <w:r>
        <w:rPr>
          <w:rFonts w:ascii="Times New Roman" w:cs="Times New Roman" w:eastAsia="Times New Roman" w:hAnsi="Times New Roman"/>
          <w:b w:val="false"/>
          <w:bCs w:val="false"/>
          <w:i w:val="false"/>
          <w:iCs w:val="false"/>
          <w:sz w:val="24"/>
          <w:szCs w:val="24"/>
        </w:rPr>
        <w:t xml:space="preserve">The word "Ramkatha" resists translation into a single English term for a reason: "story" undersells its scope, and "epic" overstates its fixity. What Ramanujan's essay demonstrates, and what Parthasarathy's account of Kamban's transcreation confirms from within a specific literary tradition, is that the Ramkatha's authority was never lodged in one authoritative text waiting to be more or less faithfully copied. It was lodged in the </w:t>
      </w:r>
      <w:r>
        <w:rPr>
          <w:rFonts w:ascii="Times New Roman" w:cs="Times New Roman" w:eastAsia="Times New Roman" w:hAnsi="Times New Roman"/>
          <w:b w:val="false"/>
          <w:bCs w:val="false"/>
          <w:i/>
          <w:iCs/>
          <w:sz w:val="24"/>
          <w:szCs w:val="24"/>
        </w:rPr>
        <w:t xml:space="preserve">kathā</w:t>
      </w:r>
      <w:r>
        <w:rPr>
          <w:rFonts w:ascii="Times New Roman" w:cs="Times New Roman" w:eastAsia="Times New Roman" w:hAnsi="Times New Roman"/>
          <w:b w:val="false"/>
          <w:bCs w:val="false"/>
          <w:i w:val="false"/>
          <w:iCs w:val="false"/>
          <w:sz w:val="24"/>
          <w:szCs w:val="24"/>
        </w:rPr>
        <w:t xml:space="preserve"> itself — the shared narrative material that Valmiki, Kamban, Jain redactors, Telugu women's oral singers, and Ramlila performers alike have drawn on, each treating the others' tellings not as rivals to be corrected but as prior tellings to be played against, "ringing changes" on a story that belongs to all of them and to none of them alone. Ramanujan frames his entire case for this with a story about a ring that turns out to belong to no single incarnation of Rama in particular. That framing is not decoration. It is the argument, told the way the tradition itself would tell it: not as a philological proof, but as a story about how many rings can sit on one platter and still, each of them, be genuinely Rama's.</w:t>
      </w:r>
    </w:p>
    <w:p>
      <w:pPr>
        <w:spacing w:before="240" w:line="480" w:lineRule="auto"/>
        <w:jc w:val="center"/>
      </w:pPr>
      <w:r>
        <w:rPr>
          <w:rFonts w:ascii="Times New Roman" w:cs="Times New Roman" w:eastAsia="Times New Roman" w:hAnsi="Times New Roman"/>
          <w:sz w:val="24"/>
          <w:szCs w:val="24"/>
        </w:rPr>
        <w:t xml:space="preserve">Works Cited</w:t>
      </w:r>
    </w:p>
    <w:p>
      <w:pPr>
        <w:spacing w:line="480" w:lineRule="auto"/>
        <w:ind w:left="720" w:hanging="720"/>
      </w:pPr>
      <w:r>
        <w:rPr>
          <w:rFonts w:ascii="Times New Roman" w:cs="Times New Roman" w:eastAsia="Times New Roman" w:hAnsi="Times New Roman"/>
          <w:b w:val="false"/>
          <w:bCs w:val="false"/>
          <w:i w:val="false"/>
          <w:iCs w:val="false"/>
          <w:sz w:val="24"/>
          <w:szCs w:val="24"/>
        </w:rPr>
        <w:t xml:space="preserve">Parthasarathy, Indira. "The Rama Story as Embellished by Kamban." </w:t>
      </w:r>
      <w:r>
        <w:rPr>
          <w:rFonts w:ascii="Times New Roman" w:cs="Times New Roman" w:eastAsia="Times New Roman" w:hAnsi="Times New Roman"/>
          <w:b w:val="false"/>
          <w:bCs w:val="false"/>
          <w:i/>
          <w:iCs/>
          <w:sz w:val="24"/>
          <w:szCs w:val="24"/>
        </w:rPr>
        <w:t xml:space="preserve">Delhi Journal of Comparative Studies</w:t>
      </w:r>
      <w:r>
        <w:rPr>
          <w:rFonts w:ascii="Times New Roman" w:cs="Times New Roman" w:eastAsia="Times New Roman" w:hAnsi="Times New Roman"/>
          <w:b w:val="false"/>
          <w:bCs w:val="false"/>
          <w:i w:val="false"/>
          <w:iCs w:val="false"/>
          <w:sz w:val="24"/>
          <w:szCs w:val="24"/>
        </w:rPr>
        <w:t xml:space="preserve">, vol. 1, 2021–22, delhicomparatists.org/2021/08/the-rama-story-as-embellished-by-kamban/.</w:t>
      </w:r>
    </w:p>
    <w:p>
      <w:pPr>
        <w:spacing w:line="480" w:lineRule="auto"/>
        <w:ind w:left="720" w:hanging="720"/>
      </w:pPr>
      <w:r>
        <w:rPr>
          <w:rFonts w:ascii="Times New Roman" w:cs="Times New Roman" w:eastAsia="Times New Roman" w:hAnsi="Times New Roman"/>
          <w:b w:val="false"/>
          <w:bCs w:val="false"/>
          <w:i w:val="false"/>
          <w:iCs w:val="false"/>
          <w:sz w:val="24"/>
          <w:szCs w:val="24"/>
        </w:rPr>
        <w:t xml:space="preserve">Ramanujan, A. K. "Three Hundred Ramayanas: Five Examples and Three Thoughts on Translation." </w:t>
      </w:r>
      <w:r>
        <w:rPr>
          <w:rFonts w:ascii="Times New Roman" w:cs="Times New Roman" w:eastAsia="Times New Roman" w:hAnsi="Times New Roman"/>
          <w:b w:val="false"/>
          <w:bCs w:val="false"/>
          <w:i/>
          <w:iCs/>
          <w:sz w:val="24"/>
          <w:szCs w:val="24"/>
        </w:rPr>
        <w:t xml:space="preserve">The Collected Essays of A. K. Ramanujan</w:t>
      </w:r>
      <w:r>
        <w:rPr>
          <w:rFonts w:ascii="Times New Roman" w:cs="Times New Roman" w:eastAsia="Times New Roman" w:hAnsi="Times New Roman"/>
          <w:b w:val="false"/>
          <w:bCs w:val="false"/>
          <w:i w:val="false"/>
          <w:iCs w:val="false"/>
          <w:sz w:val="24"/>
          <w:szCs w:val="24"/>
        </w:rPr>
        <w:t xml:space="preserve">, edited by Vinay Dharwadker, Oxford University Press, 1999, pp. 131–160.</w:t>
      </w:r>
    </w:p>
    <w:p>
      <w:pPr>
        <w:spacing w:line="480" w:lineRule="auto"/>
        <w:ind w:left="720" w:hanging="720"/>
      </w:pPr>
      <w:r>
        <w:rPr>
          <w:rFonts w:ascii="Times New Roman" w:cs="Times New Roman" w:eastAsia="Times New Roman" w:hAnsi="Times New Roman"/>
          <w:b w:val="false"/>
          <w:bCs w:val="false"/>
          <w:i w:val="false"/>
          <w:iCs w:val="false"/>
          <w:sz w:val="24"/>
          <w:szCs w:val="24"/>
        </w:rPr>
        <w:t xml:space="preserve">"Ramlila, the Traditional Performance of the </w:t>
      </w:r>
      <w:r>
        <w:rPr>
          <w:rFonts w:ascii="Times New Roman" w:cs="Times New Roman" w:eastAsia="Times New Roman" w:hAnsi="Times New Roman"/>
          <w:b w:val="false"/>
          <w:bCs w:val="false"/>
          <w:i/>
          <w:iCs/>
          <w:sz w:val="24"/>
          <w:szCs w:val="24"/>
        </w:rPr>
        <w:t xml:space="preserve">Ramayana</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UNESCO Intangible Cultural Heritage</w:t>
      </w:r>
      <w:r>
        <w:rPr>
          <w:rFonts w:ascii="Times New Roman" w:cs="Times New Roman" w:eastAsia="Times New Roman" w:hAnsi="Times New Roman"/>
          <w:b w:val="false"/>
          <w:bCs w:val="false"/>
          <w:i w:val="false"/>
          <w:iCs w:val="false"/>
          <w:sz w:val="24"/>
          <w:szCs w:val="24"/>
        </w:rPr>
        <w:t xml:space="preserve">, United Nations Educational, Scientific and Cultural Organization, 2005, ich.unesco.org/en/RL/ramlila-the-traditional-performance-of-the-ramayana-00110.</w:t>
      </w:r>
    </w:p>
    <w:p>
      <w:pPr>
        <w:spacing w:line="480" w:lineRule="auto"/>
        <w:ind w:left="720" w:hanging="720"/>
      </w:pPr>
      <w:r>
        <w:rPr>
          <w:rFonts w:ascii="Times New Roman" w:cs="Times New Roman" w:eastAsia="Times New Roman" w:hAnsi="Times New Roman"/>
          <w:b w:val="false"/>
          <w:bCs w:val="false"/>
          <w:i w:val="false"/>
          <w:iCs w:val="false"/>
          <w:sz w:val="24"/>
          <w:szCs w:val="24"/>
        </w:rPr>
        <w:t xml:space="preserve">Stasik, Danuta, editor. </w:t>
      </w:r>
      <w:r>
        <w:rPr>
          <w:rFonts w:ascii="Times New Roman" w:cs="Times New Roman" w:eastAsia="Times New Roman" w:hAnsi="Times New Roman"/>
          <w:b w:val="false"/>
          <w:bCs w:val="false"/>
          <w:i/>
          <w:iCs/>
          <w:sz w:val="24"/>
          <w:szCs w:val="24"/>
        </w:rPr>
        <w:t xml:space="preserve">Oral-Written-Performed: The Rāmāyaṇa Narratives in Indian Literature and Arts</w:t>
      </w:r>
      <w:r>
        <w:rPr>
          <w:rFonts w:ascii="Times New Roman" w:cs="Times New Roman" w:eastAsia="Times New Roman" w:hAnsi="Times New Roman"/>
          <w:b w:val="false"/>
          <w:bCs w:val="false"/>
          <w:i w:val="false"/>
          <w:iCs w:val="false"/>
          <w:sz w:val="24"/>
          <w:szCs w:val="24"/>
        </w:rPr>
        <w:t xml:space="preserve">. Heidelberg Asian Studies Publishing, 2020.</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t xml:space="preserve">[Author Surname]  </w:t>
    </w: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2026-07-16T09:28:01.981Z</dcterms:created>
  <dcterms:modified xsi:type="dcterms:W3CDTF">2026-07-16T09:28:01.982Z</dcterms:modified>
</cp:coreProperties>
</file>

<file path=docProps/custom.xml><?xml version="1.0" encoding="utf-8"?>
<Properties xmlns="http://schemas.openxmlformats.org/officeDocument/2006/custom-properties" xmlns:vt="http://schemas.openxmlformats.org/officeDocument/2006/docPropsVTypes"/>
</file>