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5C95A3" w14:textId="092E0B48" w:rsidR="003C1725" w:rsidRDefault="000A2934" w:rsidP="008B7742">
      <w:pPr>
        <w:pStyle w:val="Title"/>
        <w:suppressLineNumbers/>
      </w:pPr>
      <w:r>
        <w:t xml:space="preserve">Identifying gene regulatory signature in </w:t>
      </w:r>
      <w:r w:rsidR="00197357">
        <w:t xml:space="preserve">individuals susceptible to tuberculosis </w:t>
      </w:r>
    </w:p>
    <w:p w14:paraId="6BE55E16" w14:textId="77777777" w:rsidR="00244BF2" w:rsidRDefault="00244BF2" w:rsidP="008B7742">
      <w:pPr>
        <w:pStyle w:val="Author"/>
        <w:suppressLineNumbers/>
      </w:pPr>
    </w:p>
    <w:p w14:paraId="595763F5" w14:textId="77777777"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14:paraId="08A2927D" w14:textId="77777777" w:rsidR="00244BF2" w:rsidRDefault="00244BF2" w:rsidP="008B7742">
      <w:pPr>
        <w:pStyle w:val="Author"/>
        <w:suppressLineNumbers/>
      </w:pPr>
    </w:p>
    <w:p w14:paraId="5FDA68C6" w14:textId="77777777" w:rsidR="00FA548C" w:rsidRPr="00FA548C" w:rsidRDefault="00FA548C" w:rsidP="00FA548C">
      <w:pPr>
        <w:pStyle w:val="Author"/>
      </w:pPr>
    </w:p>
    <w:p w14:paraId="58F269F1" w14:textId="77777777" w:rsidR="00197357" w:rsidRPr="00BF580B" w:rsidRDefault="00197357" w:rsidP="00FA548C">
      <w:pPr>
        <w:pStyle w:val="Author"/>
      </w:pPr>
      <w:r w:rsidRPr="00BF580B">
        <w:rPr>
          <w:vertAlign w:val="superscript"/>
        </w:rPr>
        <w:t>1</w:t>
      </w:r>
      <w:r w:rsidRPr="00BF580B">
        <w:t>Department of Human Genetics, University of Chicago, Chicago, Illinois, USA</w:t>
      </w:r>
    </w:p>
    <w:p w14:paraId="66D71F9C" w14:textId="77777777"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14:paraId="65E49470" w14:textId="77777777" w:rsidR="00197357" w:rsidRPr="00BF580B" w:rsidRDefault="00197357" w:rsidP="004F60F7">
      <w:pPr>
        <w:pStyle w:val="Author"/>
      </w:pPr>
      <w:r w:rsidRPr="00BF580B">
        <w:rPr>
          <w:vertAlign w:val="superscript"/>
        </w:rPr>
        <w:t>3</w:t>
      </w:r>
      <w:r w:rsidRPr="00BF580B">
        <w:t>Mycobacterial Genetics Unit, Institut Pasteur, Paris, France</w:t>
      </w:r>
    </w:p>
    <w:p w14:paraId="0D1F74B1" w14:textId="77777777"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14:paraId="0ACC6247" w14:textId="77777777" w:rsidR="00197357" w:rsidRDefault="00197357" w:rsidP="004F60F7">
      <w:pPr>
        <w:pStyle w:val="Author"/>
      </w:pPr>
      <w:r w:rsidRPr="00BF580B">
        <w:rPr>
          <w:vertAlign w:val="superscript"/>
        </w:rPr>
        <w:t>5</w:t>
      </w:r>
      <w:r w:rsidRPr="00BF580B">
        <w:t>Department of Pediatrics, University of Montreal, Montreal, Québec, Canada</w:t>
      </w:r>
    </w:p>
    <w:p w14:paraId="5DE2E534" w14:textId="77777777" w:rsidR="008E0F36" w:rsidRPr="008E0F36" w:rsidRDefault="00E86C86" w:rsidP="002F6C23">
      <w:pPr>
        <w:pStyle w:val="Author"/>
      </w:pPr>
      <w:r>
        <w:rPr>
          <w:vertAlign w:val="superscript"/>
        </w:rPr>
        <w:t>6</w:t>
      </w:r>
      <w:r w:rsidR="008E0F36" w:rsidRPr="008E0F36">
        <w:t>Department of Medicine, University of Chicago, Chicago, Illinois, USA</w:t>
      </w:r>
    </w:p>
    <w:p w14:paraId="647FEA8F" w14:textId="77777777" w:rsidR="00244BF2" w:rsidRDefault="00244BF2" w:rsidP="004F60F7">
      <w:pPr>
        <w:pStyle w:val="Author"/>
      </w:pPr>
    </w:p>
    <w:p w14:paraId="1A5654A8" w14:textId="77777777" w:rsidR="00FA548C" w:rsidRPr="00FA548C" w:rsidRDefault="00FA548C" w:rsidP="004F60F7">
      <w:pPr>
        <w:pStyle w:val="Author"/>
      </w:pPr>
    </w:p>
    <w:p w14:paraId="7CFA694D" w14:textId="77777777" w:rsidR="00244BF2" w:rsidRDefault="00244BF2" w:rsidP="004F60F7">
      <w:pPr>
        <w:pStyle w:val="Author"/>
      </w:pPr>
    </w:p>
    <w:p w14:paraId="2DA6989F" w14:textId="77777777"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14:paraId="6B39EA18" w14:textId="77777777"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14:paraId="27D68EDC" w14:textId="252A4842" w:rsidR="00A33994" w:rsidRPr="005772EF" w:rsidRDefault="00A33994" w:rsidP="00D77898">
      <w:pPr>
        <w:pStyle w:val="Abstract"/>
        <w:rPr>
          <w:b/>
        </w:rPr>
      </w:pPr>
      <w:bookmarkStart w:id="1" w:name="introduction"/>
      <w:bookmarkEnd w:id="0"/>
      <w:r w:rsidRPr="005772EF">
        <w:rPr>
          <w:b/>
        </w:rPr>
        <w:lastRenderedPageBreak/>
        <w:t>Tuberculosis is a deadly infectious disease</w:t>
      </w:r>
      <w:r w:rsidR="005772EF">
        <w:rPr>
          <w:b/>
        </w:rPr>
        <w:t>,</w:t>
      </w:r>
      <w:r w:rsidRPr="005772EF">
        <w:rPr>
          <w:b/>
        </w:rPr>
        <w:t xml:space="preserve"> which kills millions of people every year. The causative pathogen, </w:t>
      </w:r>
      <w:r w:rsidRPr="005772EF">
        <w:rPr>
          <w:b/>
          <w:i/>
        </w:rPr>
        <w:t>Mycobacterium tuberculosis</w:t>
      </w:r>
      <w:r w:rsidRPr="005772EF">
        <w:rPr>
          <w:b/>
        </w:rPr>
        <w:t xml:space="preserve"> (MTB), is estimated to have infected up to a third of the world’s population; however, only approximately 10% of healthy individuals progress to active TB disease. Despite evidence for heritability, </w:t>
      </w:r>
      <w:r w:rsidR="009C06F1" w:rsidRPr="005772EF">
        <w:rPr>
          <w:b/>
        </w:rPr>
        <w:t>it is not</w:t>
      </w:r>
      <w:r w:rsidRPr="005772EF">
        <w:rPr>
          <w:b/>
        </w:rPr>
        <w:t xml:space="preserve"> currently </w:t>
      </w:r>
      <w:r w:rsidR="009C06F1" w:rsidRPr="005772EF">
        <w:rPr>
          <w:b/>
        </w:rPr>
        <w:t>possible</w:t>
      </w:r>
      <w:r w:rsidRPr="005772EF">
        <w:rPr>
          <w:b/>
        </w:rPr>
        <w:t xml:space="preserve"> to predict whether a healthy person is susceptible to TB. </w:t>
      </w:r>
      <w:r w:rsidR="005772EF">
        <w:rPr>
          <w:b/>
        </w:rPr>
        <w:t>To explore approaches to classify susceptibility</w:t>
      </w:r>
      <w:r w:rsidR="005772EF" w:rsidRPr="00C310F8">
        <w:rPr>
          <w:b/>
        </w:rPr>
        <w:t xml:space="preserve"> to TB</w:t>
      </w:r>
      <w:r w:rsidR="005772EF">
        <w:rPr>
          <w:b/>
        </w:rPr>
        <w:t>, w</w:t>
      </w:r>
      <w:r w:rsidRPr="005772EF">
        <w:rPr>
          <w:b/>
        </w:rPr>
        <w:t xml:space="preserve">e </w:t>
      </w:r>
      <w:r w:rsidR="005772EF">
        <w:rPr>
          <w:b/>
        </w:rPr>
        <w:t xml:space="preserve">infected </w:t>
      </w:r>
      <w:r w:rsidRPr="005772EF">
        <w:rPr>
          <w:b/>
        </w:rPr>
        <w:t>dendritic cells (DCs) from individuals known to be susceptible or resistant to TB with MTB, and measured genome-wide gene expression levels</w:t>
      </w:r>
      <w:r w:rsidR="005772EF">
        <w:rPr>
          <w:b/>
        </w:rPr>
        <w:t xml:space="preserve"> in infected and uninfected cells</w:t>
      </w:r>
      <w:r w:rsidRPr="005772EF">
        <w:rPr>
          <w:b/>
        </w:rPr>
        <w:t xml:space="preserve">. </w:t>
      </w:r>
      <w:r w:rsidR="005772EF">
        <w:rPr>
          <w:b/>
        </w:rPr>
        <w:t>W</w:t>
      </w:r>
      <w:r w:rsidR="005A7C2F" w:rsidRPr="005772EF">
        <w:rPr>
          <w:b/>
        </w:rPr>
        <w:t xml:space="preserve">e </w:t>
      </w:r>
      <w:r w:rsidR="005772EF">
        <w:rPr>
          <w:b/>
        </w:rPr>
        <w:t>found</w:t>
      </w:r>
      <w:r w:rsidR="005772EF" w:rsidRPr="005772EF">
        <w:rPr>
          <w:b/>
        </w:rPr>
        <w:t xml:space="preserve"> </w:t>
      </w:r>
      <w:r w:rsidRPr="005772EF">
        <w:rPr>
          <w:b/>
        </w:rPr>
        <w:t xml:space="preserve">that gene expression </w:t>
      </w:r>
      <w:r w:rsidR="005772EF">
        <w:rPr>
          <w:b/>
        </w:rPr>
        <w:t>differences</w:t>
      </w:r>
      <w:r w:rsidRPr="005772EF">
        <w:rPr>
          <w:b/>
        </w:rPr>
        <w:t xml:space="preserve"> between susceptible and resistant individuals </w:t>
      </w:r>
      <w:r w:rsidR="00530582" w:rsidRPr="005772EF">
        <w:rPr>
          <w:b/>
        </w:rPr>
        <w:t>were</w:t>
      </w:r>
      <w:r w:rsidRPr="005772EF">
        <w:rPr>
          <w:b/>
        </w:rPr>
        <w:t xml:space="preserve"> primarily present in the non</w:t>
      </w:r>
      <w:r w:rsidR="005772EF">
        <w:rPr>
          <w:b/>
        </w:rPr>
        <w:t>-</w:t>
      </w:r>
      <w:r w:rsidRPr="005772EF">
        <w:rPr>
          <w:b/>
        </w:rPr>
        <w:t xml:space="preserve">infected </w:t>
      </w:r>
      <w:r w:rsidR="005772EF">
        <w:rPr>
          <w:b/>
        </w:rPr>
        <w:t>cells</w:t>
      </w:r>
      <w:r w:rsidRPr="005772EF">
        <w:rPr>
          <w:b/>
        </w:rPr>
        <w:t>. Intersecting our results with genome wide association analyses (GWAS), we demonstrated an enrichment of low GWAS p-values for the differential</w:t>
      </w:r>
      <w:r w:rsidR="00530582" w:rsidRPr="005772EF">
        <w:rPr>
          <w:b/>
        </w:rPr>
        <w:t>ly</w:t>
      </w:r>
      <w:r w:rsidRPr="005772EF">
        <w:rPr>
          <w:b/>
        </w:rPr>
        <w:t xml:space="preserve"> expressed genes</w:t>
      </w:r>
      <w:r w:rsidR="005772EF">
        <w:rPr>
          <w:b/>
        </w:rPr>
        <w:t>,</w:t>
      </w:r>
      <w:r w:rsidRPr="005772EF">
        <w:rPr>
          <w:b/>
        </w:rPr>
        <w:t xml:space="preserve"> and also identified two interesting candidate genes: </w:t>
      </w:r>
      <w:r w:rsidRPr="005772EF">
        <w:rPr>
          <w:b/>
          <w:i/>
        </w:rPr>
        <w:t>CCL1</w:t>
      </w:r>
      <w:r w:rsidRPr="005772EF">
        <w:rPr>
          <w:b/>
        </w:rPr>
        <w:t xml:space="preserve"> and </w:t>
      </w:r>
      <w:r w:rsidRPr="005772EF">
        <w:rPr>
          <w:b/>
          <w:i/>
        </w:rPr>
        <w:t>UNC13A</w:t>
      </w:r>
      <w:r w:rsidRPr="005772EF">
        <w:rPr>
          <w:b/>
        </w:rPr>
        <w:t xml:space="preserve">. </w:t>
      </w:r>
      <w:r w:rsidR="00530582" w:rsidRPr="005772EF">
        <w:rPr>
          <w:b/>
        </w:rPr>
        <w:t>Lastly, we trained a classifier based on the gene expression levels in the non</w:t>
      </w:r>
      <w:r w:rsidR="005772EF">
        <w:rPr>
          <w:b/>
        </w:rPr>
        <w:t>-</w:t>
      </w:r>
      <w:r w:rsidR="00530582" w:rsidRPr="005772EF">
        <w:rPr>
          <w:b/>
        </w:rPr>
        <w:t xml:space="preserve">infected state and demonstrated </w:t>
      </w:r>
      <w:r w:rsidR="005772EF">
        <w:rPr>
          <w:b/>
        </w:rPr>
        <w:t>decent</w:t>
      </w:r>
      <w:r w:rsidR="00530582" w:rsidRPr="005772EF">
        <w:rPr>
          <w:b/>
        </w:rPr>
        <w:t xml:space="preserve"> performance on our data and an independent data set. Overall, our promising results from this small study suggest that </w:t>
      </w:r>
      <w:r w:rsidR="003A662E" w:rsidRPr="005772EF">
        <w:rPr>
          <w:b/>
        </w:rPr>
        <w:t>training a classifier on a larger cohort could enable us to accurately predict TB susceptibility</w:t>
      </w:r>
      <w:r w:rsidR="000D0811" w:rsidRPr="005772EF">
        <w:rPr>
          <w:b/>
        </w:rPr>
        <w:t>, which would inform the prevention and treatment of TB infections</w:t>
      </w:r>
      <w:r w:rsidR="003A662E" w:rsidRPr="005772EF">
        <w:rPr>
          <w:b/>
        </w:rPr>
        <w:t>.</w:t>
      </w:r>
    </w:p>
    <w:p w14:paraId="6D335660" w14:textId="77777777" w:rsidR="00AB0690" w:rsidRDefault="00552AAA" w:rsidP="00AB0690">
      <w:pPr>
        <w:pStyle w:val="Heading1"/>
      </w:pPr>
      <w:r>
        <w:t>Introduction</w:t>
      </w:r>
    </w:p>
    <w:p w14:paraId="65859383" w14:textId="681F6C25" w:rsidR="00B364E7" w:rsidRDefault="00B364E7" w:rsidP="00B364E7">
      <w:r>
        <w:t xml:space="preserve">Tuberculosis (TB) is a major public health issue. </w:t>
      </w:r>
      <w:r w:rsidR="00575E30">
        <w:t>Worldwide, o</w:t>
      </w:r>
      <w:r w:rsidR="00C325CB">
        <w:t>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WHO2015b,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lead to the emergence of drug-resistant strains of </w:t>
      </w:r>
      <w:r w:rsidRPr="00B364E7">
        <w:rPr>
          <w:i/>
        </w:rPr>
        <w:t>Mycobacterium tuberculosis</w:t>
      </w:r>
      <w:r>
        <w:t xml:space="preserve"> (MTB)</w:t>
      </w:r>
      <w:r w:rsidR="005F3731">
        <w:t xml:space="preserve"> \cite{</w:t>
      </w:r>
      <w:r w:rsidR="00DF0526" w:rsidRPr="00DF0526">
        <w:t>Seung2015</w:t>
      </w:r>
      <w:r w:rsidR="005F3731">
        <w:t>}</w:t>
      </w:r>
      <w:r>
        <w:t>.</w:t>
      </w:r>
    </w:p>
    <w:p w14:paraId="5079057F" w14:textId="77777777" w:rsidR="00B364E7" w:rsidRDefault="00B364E7" w:rsidP="00B364E7"/>
    <w:p w14:paraId="4DD4AB1C" w14:textId="0BE960E2" w:rsidR="00B364E7" w:rsidRDefault="00B364E7" w:rsidP="00B364E7">
      <w:r>
        <w:t>Approximately a third of the world’s population has been infected with MTB, but most are asymptomatic. While these naturally resistant individuals are able to avoid active disease, MTB persists in a dormant state inside their innate immune cells, known as a latent TB infection</w:t>
      </w:r>
      <w:r w:rsidR="001B49A2">
        <w:t xml:space="preserve"> \cite{</w:t>
      </w:r>
      <w:r w:rsidR="008D6DEE" w:rsidRPr="008D6DEE">
        <w:t>Mu</w:t>
      </w:r>
      <w:r w:rsidR="00BB0BFF">
        <w:t>n</w:t>
      </w:r>
      <w:r w:rsidR="008D6DEE" w:rsidRPr="008D6DEE">
        <w:t>oz2015</w:t>
      </w:r>
      <w:r w:rsidR="001B49A2">
        <w:t>}</w:t>
      </w:r>
      <w:r>
        <w:t>. In contrast, approximately 10% of individuals will develop active TB after infection with MTB</w:t>
      </w:r>
      <w:r w:rsidR="00233831">
        <w:t xml:space="preserve"> \cite{North2004,</w:t>
      </w:r>
      <w:r w:rsidR="00233831" w:rsidRPr="00233831">
        <w:t xml:space="preserve"> OGarra2013</w:t>
      </w:r>
      <w:r w:rsidR="00233831">
        <w:t>}</w:t>
      </w:r>
      <w:r>
        <w:t xml:space="preserve">. Unfortunately, we are </w:t>
      </w:r>
      <w:r w:rsidR="00AD4A62">
        <w:t>currently unable to predict if an individual is susceptible.</w:t>
      </w:r>
      <w:r w:rsidR="00167586">
        <w:t xml:space="preserve"> While twin and family studies have indicated a heritable </w:t>
      </w:r>
      <w:r w:rsidR="00167586">
        <w:lastRenderedPageBreak/>
        <w:t>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xml:space="preserve">. Due to the highly polygenic architecture, it may be informative to examine differences between susceptible and resistant individuals at a higher level of organization, e.g. gene regulatory networks. </w:t>
      </w:r>
      <w:r w:rsidR="00575E30">
        <w:t>Indeed, a previous study</w:t>
      </w:r>
      <w:r w:rsidR="00167586">
        <w:t xml:space="preserve"> </w:t>
      </w:r>
      <w:r w:rsidR="00575E30">
        <w:t>has</w:t>
      </w:r>
      <w:r w:rsidR="00167586">
        <w:t xml:space="preserve"> successfully identified gene expression differences in innate immune cells isolated from individuals known be susceptible or resistant to an infectious disease \cite{Thuong2008, Bryant2014}.</w:t>
      </w:r>
    </w:p>
    <w:p w14:paraId="72B52012" w14:textId="77777777" w:rsidR="00D72715" w:rsidRDefault="00D72715" w:rsidP="00B364E7"/>
    <w:p w14:paraId="299C36A5" w14:textId="77777777"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susceptible to TB and infected them with</w:t>
      </w:r>
      <w:r w:rsidR="00395BF7" w:rsidRPr="00395BF7">
        <w:t xml:space="preserve"> MTB.</w:t>
      </w:r>
      <w:r w:rsidR="00395BF7">
        <w:t xml:space="preserve"> We discovered that the gene expression differences between resistant and susceptible </w:t>
      </w:r>
      <w:r w:rsidR="002B140A">
        <w:t>innate immune cells</w:t>
      </w:r>
      <w:r w:rsidR="00395BF7">
        <w:t xml:space="preserve"> were present primarily in the noninfected state, that these differentially expressed genes were enriched for nearby SNPs with low p-values in TB susceptibility GWAS, and furthermore that these gene expression levels could be used to classify individuals based on their susceptibility status.</w:t>
      </w:r>
    </w:p>
    <w:p w14:paraId="68E92531" w14:textId="77777777" w:rsidR="003C1725" w:rsidRDefault="00552AAA" w:rsidP="0053091A">
      <w:pPr>
        <w:pStyle w:val="Heading1"/>
      </w:pPr>
      <w:bookmarkStart w:id="2" w:name="results"/>
      <w:bookmarkEnd w:id="1"/>
      <w:r>
        <w:t>Results</w:t>
      </w:r>
    </w:p>
    <w:p w14:paraId="5344AD0E" w14:textId="6DF7B5EB" w:rsidR="004F4461" w:rsidRDefault="004F4461" w:rsidP="004F4461">
      <w:pPr>
        <w:pStyle w:val="Heading2"/>
      </w:pPr>
      <w:r>
        <w:t>Susceptible individuals have a</w:t>
      </w:r>
      <w:r w:rsidR="003E2289">
        <w:t>n altered</w:t>
      </w:r>
      <w:r>
        <w:t xml:space="preserve"> transcriptome in the non</w:t>
      </w:r>
      <w:r w:rsidR="00033553">
        <w:t>-</w:t>
      </w:r>
      <w:r>
        <w:t>infected state</w:t>
      </w:r>
    </w:p>
    <w:p w14:paraId="0CAFCD47" w14:textId="5A03AC1C"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w:t>
      </w:r>
      <w:commentRangeStart w:id="3"/>
      <w:r>
        <w:t xml:space="preserve">resistant. </w:t>
      </w:r>
      <w:commentRangeEnd w:id="3"/>
      <w:r w:rsidR="00033553">
        <w:rPr>
          <w:rStyle w:val="CommentReference"/>
        </w:rPr>
        <w:commentReference w:id="3"/>
      </w:r>
      <w:r>
        <w:t xml:space="preserve">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E4356C">
        <w:t xml:space="preserve"> for 18 hours</w:t>
      </w:r>
      <w:r w:rsidR="00467B50">
        <w:t>.</w:t>
      </w:r>
      <w:r w:rsidR="00C27A99">
        <w:t xml:space="preserve"> To measure genome-wide gene expression levels</w:t>
      </w:r>
      <w:r w:rsidR="00E4356C">
        <w:t xml:space="preserve"> in infected and non-infected samples</w:t>
      </w:r>
      <w:r w:rsidR="00C27A99">
        <w:t xml:space="preserve">, we </w:t>
      </w:r>
      <w:r w:rsidR="00E4356C">
        <w:t xml:space="preserve">isolated and </w:t>
      </w:r>
      <w:r w:rsidR="00C27A99">
        <w:t>sequenced RNA</w:t>
      </w:r>
      <w:r w:rsidR="00D60329">
        <w:t xml:space="preserve"> </w:t>
      </w:r>
      <w:r w:rsidR="00C27A99">
        <w:t>using a processing pipeline designed to minimize the introduction of unwanted technical variation</w:t>
      </w:r>
      <w:r w:rsidR="00B735B3">
        <w:t xml:space="preserve"> (Supplementary Fig. \ref{fig:</w:t>
      </w:r>
      <w:r w:rsidR="00916D78">
        <w:t>process</w:t>
      </w:r>
      <w:r w:rsidR="00B735B3">
        <w:t>})</w:t>
      </w:r>
      <w:r w:rsidR="00E4356C">
        <w:t xml:space="preserve">. We </w:t>
      </w:r>
      <w:r w:rsidR="00C27A99">
        <w:t xml:space="preserve">obtained </w:t>
      </w:r>
      <w:r w:rsidR="00D85938">
        <w:t xml:space="preserve">a mean </w:t>
      </w:r>
      <w:r w:rsidR="00FD44A7">
        <w:t xml:space="preserve">($\pm$ SEM) </w:t>
      </w:r>
      <w:r w:rsidR="00D85938">
        <w:t xml:space="preserve">of </w:t>
      </w:r>
      <w:r w:rsidR="00FD44A7">
        <w:t>48</w:t>
      </w:r>
      <w:r w:rsidR="00C27A99">
        <w:t xml:space="preserve"> </w:t>
      </w:r>
      <w:r w:rsidR="00FE1DFC">
        <w:t>$</w:t>
      </w:r>
      <w:r w:rsidR="00C27A99">
        <w:t>\pm</w:t>
      </w:r>
      <w:r w:rsidR="00FE1DFC">
        <w:t>$</w:t>
      </w:r>
      <w:r w:rsidR="00C27A99">
        <w:t xml:space="preserve"> </w:t>
      </w:r>
      <w:r w:rsidR="00681ED1">
        <w:t>6</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w:t>
      </w:r>
      <w:r w:rsidR="00321C61">
        <w:lastRenderedPageBreak/>
        <w:t xml:space="preserve">\ref{fig:heat-all}, \ref{fig:heat-filt}, </w:t>
      </w:r>
      <w:r w:rsidR="0095638B">
        <w:t xml:space="preserve">\ref{fig:outliers}),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t>
      </w:r>
      <w:r w:rsidR="00E4356C">
        <w:t xml:space="preserve">failed the quality checks and </w:t>
      </w:r>
      <w:r w:rsidR="000633DD">
        <w:t xml:space="preserve">were removed from all downstream analyses (Supplementary </w:t>
      </w:r>
      <w:r w:rsidR="00C27B68">
        <w:t>Fig.</w:t>
      </w:r>
      <w:r w:rsidR="000633DD">
        <w:t xml:space="preserve"> \ref{</w:t>
      </w:r>
      <w:r w:rsidR="00C27B68">
        <w:t>fig</w:t>
      </w:r>
      <w:r w:rsidR="000633DD">
        <w:t>:outliers}).</w:t>
      </w:r>
    </w:p>
    <w:p w14:paraId="4F62D271" w14:textId="77777777" w:rsidR="00E81F3B" w:rsidRPr="00AB0690" w:rsidRDefault="00E81F3B" w:rsidP="00A53E2F"/>
    <w:p w14:paraId="1D3014FE" w14:textId="7A4CABDE" w:rsidR="00600649" w:rsidRDefault="00EF1ED2" w:rsidP="00C25F28">
      <w:r>
        <w:t>We</w:t>
      </w:r>
      <w:r w:rsidR="00C25F28">
        <w:t xml:space="preserv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w:t>
      </w:r>
      <w:r w:rsidR="00BC1D75">
        <w:t xml:space="preserve">Considering the </w:t>
      </w:r>
      <w:r w:rsidR="00BC1D75" w:rsidRPr="00BC1D75">
        <w:rPr>
          <w:highlight w:val="yellow"/>
        </w:rPr>
        <w:t>resistant</w:t>
      </w:r>
      <w:r w:rsidR="00BC1D75">
        <w:t xml:space="preserve"> individuals, we identified </w:t>
      </w:r>
      <w:r w:rsidR="0032746E">
        <w:t>3,486</w:t>
      </w:r>
      <w:r w:rsidR="0077498F">
        <w:t xml:space="preserve"> </w:t>
      </w:r>
      <w:r w:rsidR="00BC1D75">
        <w:t xml:space="preserve">differentially expressed (DE) </w:t>
      </w:r>
      <w:r w:rsidR="0077498F">
        <w:t>genes between the non</w:t>
      </w:r>
      <w:r w:rsidR="00BC1D75">
        <w:t>-</w:t>
      </w:r>
      <w:r w:rsidR="0077498F">
        <w:t>infected and infected states at a q-value of 10% and an</w:t>
      </w:r>
      <w:r w:rsidR="00BC1D75">
        <w:t xml:space="preserve"> arbitrary</w:t>
      </w:r>
      <w:r w:rsidR="0077498F">
        <w:t xml:space="preserve"> absolut</w:t>
      </w:r>
      <w:r w:rsidR="00BC1D75">
        <w:t>e log-</w:t>
      </w:r>
      <w:r w:rsidR="0032746E">
        <w:t>fold change greater than 1</w:t>
      </w:r>
      <w:r w:rsidR="0077498F">
        <w:t xml:space="preserve">. Similarly, </w:t>
      </w:r>
      <w:r w:rsidR="0032746E">
        <w:t>3,789</w:t>
      </w:r>
      <w:r w:rsidR="0077498F">
        <w:t xml:space="preserve"> genes were </w:t>
      </w:r>
      <w:r w:rsidR="00600649">
        <w:t>DE</w:t>
      </w:r>
      <w:r w:rsidR="0077498F">
        <w:t xml:space="preserve"> between the non</w:t>
      </w:r>
      <w:r w:rsidR="00BC1D75">
        <w:t>-</w:t>
      </w:r>
      <w:r w:rsidR="0077498F">
        <w:t xml:space="preserve">infected and infected states for </w:t>
      </w:r>
      <w:commentRangeStart w:id="4"/>
      <w:r w:rsidR="0077498F">
        <w:t xml:space="preserve">resistant </w:t>
      </w:r>
      <w:commentRangeEnd w:id="4"/>
      <w:r w:rsidR="00BC1D75">
        <w:rPr>
          <w:rStyle w:val="CommentReference"/>
        </w:rPr>
        <w:commentReference w:id="4"/>
      </w:r>
      <w:r w:rsidR="0077498F">
        <w:t xml:space="preserve">individuals at a q-value of 10% and an absolute log fold change greater than </w:t>
      </w:r>
      <w:r w:rsidR="0032746E">
        <w:t>1</w:t>
      </w:r>
      <w:r w:rsidR="0077498F">
        <w:t>.</w:t>
      </w:r>
      <w:r w:rsidR="0022423C">
        <w:t xml:space="preserve"> The DE</w:t>
      </w:r>
      <w:r w:rsidR="00600649">
        <w:t xml:space="preserv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w:t>
      </w:r>
      <w:r w:rsidR="0022423C">
        <w:t>While the treatment effect was obvious in all individuals, o</w:t>
      </w:r>
      <w:r w:rsidR="00C25F28">
        <w:t xml:space="preserve">f most interest </w:t>
      </w:r>
      <w:r w:rsidR="0077498F">
        <w:t>were</w:t>
      </w:r>
      <w:r w:rsidR="00C25F28">
        <w:t xml:space="preserve"> </w:t>
      </w:r>
      <w:r w:rsidR="0022423C">
        <w:t xml:space="preserve">the patterns of gene expression differences </w:t>
      </w:r>
      <w:r w:rsidR="00C25F28">
        <w:t>between susceptible and resistant individuals in</w:t>
      </w:r>
      <w:r w:rsidR="0022423C">
        <w:t xml:space="preserve"> either</w:t>
      </w:r>
      <w:r w:rsidR="00C25F28">
        <w:t xml:space="preserve"> the non</w:t>
      </w:r>
      <w:r w:rsidR="0022423C">
        <w:t>-</w:t>
      </w:r>
      <w:r w:rsidR="00C25F28">
        <w:t xml:space="preserve">infected </w:t>
      </w:r>
      <w:r w:rsidR="00D276E7">
        <w:t>or</w:t>
      </w:r>
      <w:r w:rsidR="00C25F28">
        <w:t xml:space="preserve"> infected states (Fig. </w:t>
      </w:r>
      <w:r w:rsidR="00592526">
        <w:t>\ref{fig:limma}).</w:t>
      </w:r>
      <w:r w:rsidR="00600649">
        <w:t xml:space="preserve"> </w:t>
      </w:r>
      <w:r w:rsidR="0022423C">
        <w:t xml:space="preserve">We identified </w:t>
      </w:r>
      <w:r w:rsidR="006F2060">
        <w:t>645</w:t>
      </w:r>
      <w:r w:rsidR="00600649">
        <w:t xml:space="preserve"> </w:t>
      </w:r>
      <w:r w:rsidR="0022423C">
        <w:t xml:space="preserve">DE </w:t>
      </w:r>
      <w:r w:rsidR="00600649">
        <w:t>genes between resistant and susceptible individuals in the non</w:t>
      </w:r>
      <w:r w:rsidR="0022423C">
        <w:t>-</w:t>
      </w:r>
      <w:r w:rsidR="00600649">
        <w:t xml:space="preserve">infected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w:t>
      </w:r>
      <w:r w:rsidR="0022423C">
        <w:t>In contrast, no</w:t>
      </w:r>
      <w:r w:rsidR="00600649">
        <w:t xml:space="preserve"> genes were DE between resistant and susceptible individuals in the </w:t>
      </w:r>
      <w:commentRangeStart w:id="5"/>
      <w:r w:rsidR="00600649">
        <w:t>non</w:t>
      </w:r>
      <w:r w:rsidR="0022423C">
        <w:t>-</w:t>
      </w:r>
      <w:r w:rsidR="00600649">
        <w:t xml:space="preserve">infected </w:t>
      </w:r>
      <w:commentRangeEnd w:id="5"/>
      <w:r w:rsidR="0022423C">
        <w:rPr>
          <w:rStyle w:val="CommentReference"/>
        </w:rPr>
        <w:commentReference w:id="5"/>
      </w:r>
      <w:r w:rsidR="00600649">
        <w:t xml:space="preserve">state </w:t>
      </w:r>
      <w:r w:rsidR="0022423C">
        <w:t>(</w:t>
      </w:r>
      <w:r w:rsidR="00600649">
        <w:t>q-value of 10%</w:t>
      </w:r>
      <w:r w:rsidR="0022423C">
        <w:t>)</w:t>
      </w:r>
      <w:r w:rsidR="00600649">
        <w:t>.</w:t>
      </w:r>
    </w:p>
    <w:p w14:paraId="58A202E1" w14:textId="77777777" w:rsidR="00697A68" w:rsidRDefault="00697A68" w:rsidP="00697A68">
      <w:pPr>
        <w:jc w:val="center"/>
      </w:pPr>
      <w:r>
        <w:rPr>
          <w:noProof/>
        </w:rPr>
        <w:lastRenderedPageBreak/>
        <w:drawing>
          <wp:inline distT="0" distB="0" distL="0" distR="0" wp14:anchorId="52226067" wp14:editId="0BD91E65">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A554AD4" w14:textId="77777777" w:rsidR="00697A68" w:rsidRDefault="00697A68" w:rsidP="00697A68">
      <w:pPr>
        <w:pStyle w:val="LaTeX"/>
      </w:pPr>
      <w:r>
        <w:t>\begin{figure}[</w:t>
      </w:r>
      <w:r w:rsidR="00887BD1">
        <w:t>p</w:t>
      </w:r>
      <w:r>
        <w:t>]</w:t>
      </w:r>
    </w:p>
    <w:p w14:paraId="15247FBC" w14:textId="77777777" w:rsidR="00697A68" w:rsidRDefault="00697A68" w:rsidP="00697A68">
      <w:pPr>
        <w:pStyle w:val="LaTeX"/>
      </w:pPr>
      <w:r>
        <w:t>\centering</w:t>
      </w:r>
    </w:p>
    <w:p w14:paraId="3445052C" w14:textId="77777777"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14:paraId="56E43376" w14:textId="77777777" w:rsidR="00697A68" w:rsidRDefault="00697A68" w:rsidP="00697A68">
      <w:pPr>
        <w:pStyle w:val="LaTeX"/>
      </w:pPr>
      <w:r>
        <w:t>\caption{</w:t>
      </w:r>
    </w:p>
    <w:p w14:paraId="0B9724D7" w14:textId="77777777"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14:paraId="406CFFF5" w14:textId="77777777" w:rsidR="00697A68" w:rsidRDefault="00697A68" w:rsidP="000F6A9A">
      <w:pPr>
        <w:pStyle w:val="LaTeX"/>
      </w:pPr>
      <w:r>
        <w:t>}</w:t>
      </w:r>
    </w:p>
    <w:p w14:paraId="30A42828" w14:textId="77777777" w:rsidR="00697A68" w:rsidRDefault="00697A68" w:rsidP="00697A68">
      <w:pPr>
        <w:pStyle w:val="LaTeX"/>
      </w:pPr>
      <w:r>
        <w:t>\label{fig:limma}</w:t>
      </w:r>
    </w:p>
    <w:p w14:paraId="24A54B51" w14:textId="77777777" w:rsidR="007B2CBE" w:rsidRDefault="00697A68" w:rsidP="00697A68">
      <w:pPr>
        <w:pStyle w:val="LaTeX"/>
      </w:pPr>
      <w:r>
        <w:t>\end{figure}</w:t>
      </w:r>
    </w:p>
    <w:p w14:paraId="74473285" w14:textId="69B2F4FD" w:rsidR="00A53E2F" w:rsidRDefault="00B7733A" w:rsidP="00A53E2F">
      <w:pPr>
        <w:pStyle w:val="Heading2"/>
      </w:pPr>
      <w:r>
        <w:lastRenderedPageBreak/>
        <w:t xml:space="preserve">Differentially expressed genes are enriched </w:t>
      </w:r>
      <w:r w:rsidR="00E269AC">
        <w:t>with</w:t>
      </w:r>
      <w:r>
        <w:t xml:space="preserve"> TB susceptibility loci</w:t>
      </w:r>
    </w:p>
    <w:p w14:paraId="290E2746" w14:textId="77777777" w:rsidR="006936DB" w:rsidRDefault="00F23E3D" w:rsidP="00F23E3D">
      <w:r>
        <w:t xml:space="preserve">We next </w:t>
      </w:r>
      <w:r w:rsidR="00E269AC">
        <w:t>asked for evidence that</w:t>
      </w:r>
      <w:r>
        <w:t xml:space="preserve"> </w:t>
      </w:r>
      <w:r w:rsidR="00E269AC">
        <w:t>genes classified as</w:t>
      </w:r>
      <w:r>
        <w:t xml:space="preserve"> </w:t>
      </w:r>
      <w:r w:rsidR="004A6902">
        <w:t>DE</w:t>
      </w:r>
      <w:r w:rsidR="00E269AC">
        <w:t xml:space="preserve"> between</w:t>
      </w:r>
      <w:r>
        <w:t xml:space="preserve"> </w:t>
      </w:r>
      <w:r w:rsidR="00E269AC">
        <w:t xml:space="preserve">individuals sensitive and resistant to TB </w:t>
      </w:r>
      <w:r>
        <w:t xml:space="preserve">in our </w:t>
      </w:r>
      <w:r>
        <w:rPr>
          <w:i/>
        </w:rPr>
        <w:t>in vitro</w:t>
      </w:r>
      <w:r>
        <w:t xml:space="preserve"> experimental system </w:t>
      </w:r>
      <w:r w:rsidR="00E269AC">
        <w:t>play a role in determining susceptibility to TB.</w:t>
      </w:r>
      <w:r w:rsidR="005675CD">
        <w:t xml:space="preserve"> To do this, we </w:t>
      </w:r>
      <w:r w:rsidR="0081487E">
        <w:t>compared our results to</w:t>
      </w:r>
      <w:r w:rsidR="00557319">
        <w:t xml:space="preserve"> </w:t>
      </w:r>
      <w:r w:rsidR="006936DB">
        <w:t xml:space="preserve">those from a </w:t>
      </w:r>
      <w:r w:rsidR="00557319">
        <w:t xml:space="preserve">TB susceptibility GWAS conducted in </w:t>
      </w:r>
      <w:r w:rsidR="002C7157">
        <w:t xml:space="preserve">The </w:t>
      </w:r>
      <w:r w:rsidR="00557319">
        <w:t xml:space="preserve">Gambia and Ghana \cite{Thye2010}. Specifically, for each gene we </w:t>
      </w:r>
      <w:r w:rsidR="006936DB">
        <w:t>considered</w:t>
      </w:r>
      <w:r w:rsidR="00557319">
        <w:t xml:space="preserve"> the SNP with the lowest </w:t>
      </w:r>
      <w:r w:rsidR="006936DB">
        <w:t xml:space="preserve">GWAS </w:t>
      </w:r>
      <w:r w:rsidR="00557319">
        <w:t xml:space="preserve">p-value among all SNPs located within 50 kb of its transcription start site (TSS). If </w:t>
      </w:r>
      <w:r w:rsidR="0047137D">
        <w:t>DE</w:t>
      </w:r>
      <w:r w:rsidR="00557319">
        <w:t xml:space="preserve"> genes</w:t>
      </w:r>
      <w:r w:rsidR="006936DB">
        <w:t xml:space="preserve"> in our experiment</w:t>
      </w:r>
      <w:r w:rsidR="00557319">
        <w:t xml:space="preserve"> </w:t>
      </w:r>
      <w:r w:rsidR="0047137D">
        <w:t>were</w:t>
      </w:r>
      <w:r w:rsidR="00557319">
        <w:t xml:space="preserve"> enriched for TB susceptibility loci, we expect</w:t>
      </w:r>
      <w:r w:rsidR="0047137D">
        <w:t>ed</w:t>
      </w:r>
      <w:r w:rsidR="00557319">
        <w:t xml:space="preserve"> a negative correlation between the absolute values of the log fold changes in our experiment and the GWAS p-values. </w:t>
      </w:r>
      <w:r w:rsidR="006936DB">
        <w:t xml:space="preserve">We have indeed observed this pattern </w:t>
      </w:r>
      <w:r w:rsidR="00283293">
        <w:t>(</w:t>
      </w:r>
      <w:r w:rsidR="00D84F6F">
        <w:t xml:space="preserve">Fig. </w:t>
      </w:r>
      <w:r>
        <w:t>\ref{fig:gwas})</w:t>
      </w:r>
      <w:r w:rsidR="003B2BDB">
        <w:t>.</w:t>
      </w:r>
      <w:r w:rsidR="00957223">
        <w:t xml:space="preserve"> </w:t>
      </w:r>
    </w:p>
    <w:p w14:paraId="2F04DE07" w14:textId="77777777" w:rsidR="006936DB" w:rsidRDefault="006936DB" w:rsidP="00F23E3D"/>
    <w:p w14:paraId="6A6A1F2F" w14:textId="2207942B" w:rsidR="00F23E3D" w:rsidRPr="00EA0BF5" w:rsidRDefault="00D84F6F" w:rsidP="00F23E3D">
      <w:r>
        <w:t xml:space="preserve">Interestingly, we observed the steepest negative </w:t>
      </w:r>
      <w:commentRangeStart w:id="6"/>
      <w:r>
        <w:t>slopes for the tests comparing differential expression between susceptible and resistant individuals in the non</w:t>
      </w:r>
      <w:r w:rsidR="006936DB">
        <w:t>-</w:t>
      </w:r>
      <w:r>
        <w:t>infected or infected states</w:t>
      </w:r>
      <w:r w:rsidR="009C685B">
        <w:t xml:space="preserve"> (Fig. \ref{fig:gwas}b)</w:t>
      </w:r>
      <w:r>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w:t>
      </w:r>
      <w:r w:rsidR="0047137D">
        <w:t>were</w:t>
      </w:r>
      <w:r w:rsidR="003A25EC">
        <w:t xml:space="preserve"> the genes that had a p-value</w:t>
      </w:r>
      <w:r w:rsidR="00EA0BF5">
        <w:t xml:space="preserve"> </w:t>
      </w:r>
      <w:commentRangeEnd w:id="6"/>
      <w:r w:rsidR="00F00DFB">
        <w:rPr>
          <w:rStyle w:val="CommentReference"/>
        </w:rPr>
        <w:commentReference w:id="6"/>
      </w:r>
      <w:r w:rsidR="00EA0BF5">
        <w:t>l</w:t>
      </w:r>
      <w:commentRangeStart w:id="7"/>
      <w:r w:rsidR="00EA0BF5">
        <w:t>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noninfected state </w:t>
      </w:r>
      <w:commentRangeEnd w:id="7"/>
      <w:r w:rsidR="001C5B94">
        <w:rPr>
          <w:rStyle w:val="CommentReference"/>
        </w:rPr>
        <w:commentReference w:id="7"/>
      </w:r>
      <w:r w:rsidR="003A25EC">
        <w:t xml:space="preserve">(Fig. \ref{fig:gwas}a).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14:paraId="043B4C7B" w14:textId="77777777" w:rsidR="00D94F42" w:rsidRDefault="00D94F42" w:rsidP="00D94F42">
      <w:pPr>
        <w:jc w:val="center"/>
      </w:pPr>
      <w:r>
        <w:rPr>
          <w:noProof/>
        </w:rPr>
        <w:drawing>
          <wp:inline distT="0" distB="0" distL="0" distR="0" wp14:anchorId="236FCD67" wp14:editId="1327B18D">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71F1CE91" w14:textId="77777777" w:rsidR="00D94F42" w:rsidRDefault="00D94F42" w:rsidP="00D94F42">
      <w:pPr>
        <w:pStyle w:val="LaTeX"/>
      </w:pPr>
      <w:r>
        <w:t>\begin{figure}[ht]</w:t>
      </w:r>
    </w:p>
    <w:p w14:paraId="648E803E" w14:textId="77777777" w:rsidR="00D94F42" w:rsidRDefault="00D94F42" w:rsidP="00D94F42">
      <w:pPr>
        <w:pStyle w:val="LaTeX"/>
      </w:pPr>
      <w:r>
        <w:t>\centering</w:t>
      </w:r>
    </w:p>
    <w:p w14:paraId="49DAB632" w14:textId="77777777" w:rsidR="00D94F42" w:rsidRDefault="00D94F42" w:rsidP="00D94F42">
      <w:pPr>
        <w:pStyle w:val="LaTeX"/>
      </w:pPr>
      <w:r>
        <w:t>\includegraphics[width=\linewidth]{../</w:t>
      </w:r>
      <w:r w:rsidR="006E4142">
        <w:t>figure</w:t>
      </w:r>
      <w:r>
        <w:t>/gwas</w:t>
      </w:r>
      <w:r w:rsidR="006E4142">
        <w:t>.pdf</w:t>
      </w:r>
      <w:r>
        <w:t>}</w:t>
      </w:r>
    </w:p>
    <w:p w14:paraId="668C76AD" w14:textId="77777777" w:rsidR="00D94F42" w:rsidRDefault="00D94F42" w:rsidP="00D94F42">
      <w:pPr>
        <w:pStyle w:val="LaTeX"/>
      </w:pPr>
      <w:r>
        <w:t>\caption{</w:t>
      </w:r>
    </w:p>
    <w:p w14:paraId="35B1B4DF" w14:textId="77777777" w:rsidR="00F04D3D" w:rsidRDefault="00F04D3D" w:rsidP="00F04D3D">
      <w:r>
        <w:lastRenderedPageBreak/>
        <w:t xml:space="preserve">Comparison of differential expression and GWAS results. (a) </w:t>
      </w:r>
      <w:r w:rsidR="00816E45">
        <w:t xml:space="preserve">The relationship between p-values </w:t>
      </w:r>
      <w:r w:rsidR="0081487E">
        <w:t xml:space="preserve">from the GWAS in The Gambia </w:t>
      </w:r>
      <w:r w:rsidR="00816E45">
        <w:t xml:space="preserve">\cite{Thye2010} and the absolute values of the log fold changes between susceptible and resistant individuals in the noninfected state. The red line is the least squares regression. (b) The slopes </w:t>
      </w:r>
      <w:r w:rsidR="001A4E54">
        <w:t>(with 95% confidence interval</w:t>
      </w:r>
      <w:r w:rsidR="00816E45">
        <w:t>)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14:paraId="7D74A9AC" w14:textId="77777777" w:rsidR="00D94F42" w:rsidRDefault="00D94F42" w:rsidP="00D94F42">
      <w:pPr>
        <w:pStyle w:val="LaTeX"/>
      </w:pPr>
      <w:r>
        <w:t>}</w:t>
      </w:r>
    </w:p>
    <w:p w14:paraId="7F9E2371" w14:textId="77777777" w:rsidR="00D94F42" w:rsidRDefault="00D94F42" w:rsidP="00D94F42">
      <w:pPr>
        <w:pStyle w:val="LaTeX"/>
      </w:pPr>
      <w:r>
        <w:t>\label{fig:gwas}</w:t>
      </w:r>
    </w:p>
    <w:p w14:paraId="70C29EE8" w14:textId="77777777" w:rsidR="00D94F42" w:rsidRDefault="00D94F42" w:rsidP="00D94F42">
      <w:pPr>
        <w:pStyle w:val="LaTeX"/>
      </w:pPr>
      <w:r>
        <w:t>\end{figure}</w:t>
      </w:r>
    </w:p>
    <w:p w14:paraId="75572A08" w14:textId="77777777" w:rsidR="00C95797" w:rsidRPr="00C95797" w:rsidRDefault="00C95797" w:rsidP="00C95797"/>
    <w:p w14:paraId="2BF46992" w14:textId="0AE4B140" w:rsidR="00B7733A" w:rsidRDefault="00CE4D9D" w:rsidP="00C95797">
      <w:pPr>
        <w:pStyle w:val="Heading2"/>
      </w:pPr>
      <w:r>
        <w:t>Can g</w:t>
      </w:r>
      <w:r w:rsidR="00C95797">
        <w:t>ene expression levels in the non</w:t>
      </w:r>
      <w:r w:rsidR="008870E7">
        <w:t>-</w:t>
      </w:r>
      <w:r w:rsidR="00C95797">
        <w:t xml:space="preserve">infected state predict </w:t>
      </w:r>
      <w:r w:rsidR="00305EE4">
        <w:t xml:space="preserve">TB </w:t>
      </w:r>
      <w:r w:rsidR="00C95797">
        <w:t>susceptibility status</w:t>
      </w:r>
      <w:r>
        <w:t>?</w:t>
      </w:r>
    </w:p>
    <w:p w14:paraId="5A82D8D5" w14:textId="2405BA04" w:rsidR="00C743A1" w:rsidRDefault="00C743A1" w:rsidP="00C743A1">
      <w:r>
        <w:t>Next we attem</w:t>
      </w:r>
      <w:r w:rsidR="00062710">
        <w:t>pted to build a gene expression-</w:t>
      </w:r>
      <w:r>
        <w:t xml:space="preserve">based classifier to predict </w:t>
      </w:r>
      <w:r w:rsidR="00062710">
        <w:t xml:space="preserve">TB </w:t>
      </w:r>
      <w:r>
        <w:t xml:space="preserve">susceptibility status. We focused on the gene expression levels </w:t>
      </w:r>
      <w:r w:rsidR="005C5B66">
        <w:t>measured in the non</w:t>
      </w:r>
      <w:r w:rsidR="00062710">
        <w:t>-</w:t>
      </w:r>
      <w:r w:rsidR="005C5B66">
        <w:t xml:space="preserve">infected state </w:t>
      </w:r>
      <w:r>
        <w:t xml:space="preserve">both because this is where we observed the largest </w:t>
      </w:r>
      <w:r w:rsidR="00062710">
        <w:t xml:space="preserve">gene regulatory </w:t>
      </w:r>
      <w:r>
        <w:t>differences between susceptible and resistant individuals (Fig. \ref{fig:limma}ac)</w:t>
      </w:r>
      <w:r w:rsidR="00062710">
        <w:t>,</w:t>
      </w:r>
      <w:r>
        <w:t xml:space="preserve"> and also </w:t>
      </w:r>
      <w:r w:rsidR="00062710">
        <w:t xml:space="preserve">because, from the perspective of translational application, </w:t>
      </w:r>
      <w:r>
        <w:t>it is more practical to obtain gene expres</w:t>
      </w:r>
      <w:r w:rsidR="00397D31">
        <w:t>sion data from non</w:t>
      </w:r>
      <w:r w:rsidR="00062710">
        <w:t>-</w:t>
      </w:r>
      <w:r w:rsidR="00397D31">
        <w:t xml:space="preserve">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w:t>
      </w:r>
      <w:r w:rsidR="00B6319F">
        <w:t>-</w:t>
      </w:r>
      <w:r w:rsidR="005C5B66">
        <w:t>infected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14:paraId="68C55891" w14:textId="77777777" w:rsidR="001958B4" w:rsidRDefault="001958B4" w:rsidP="00C743A1"/>
    <w:p w14:paraId="75E38FCF" w14:textId="2373DD61" w:rsidR="001958B4" w:rsidRPr="00C743A1" w:rsidRDefault="00964F29" w:rsidP="00C743A1">
      <w:r>
        <w:t xml:space="preserve">Unfortunately our current data set </w:t>
      </w:r>
      <w:r w:rsidR="007C3E09">
        <w:t>is</w:t>
      </w:r>
      <w:r>
        <w:t xml:space="preserve"> too small to properly split into separate training and testing sets</w:t>
      </w:r>
      <w:r w:rsidR="007C3E09">
        <w:t xml:space="preserve"> (it is challenging to collect samples from previous TB patients, who are healthy and have no medical reason to go back for a GP visit).</w:t>
      </w:r>
      <w:r>
        <w:t xml:space="preserve"> </w:t>
      </w:r>
      <w:r w:rsidR="007C3E09">
        <w:t>To our knowledge, there are also no other similar data sets available. Thus, i</w:t>
      </w:r>
      <w:r>
        <w:t xml:space="preserve">n order to </w:t>
      </w:r>
      <w:r w:rsidR="007C3E09">
        <w:t xml:space="preserve">further </w:t>
      </w:r>
      <w:r>
        <w:t xml:space="preserve">assess the plausibility of our model, we applied the </w:t>
      </w:r>
      <w:r>
        <w:lastRenderedPageBreak/>
        <w:t>classifier to an independent study</w:t>
      </w:r>
      <w:r w:rsidR="007C3E09">
        <w:t>,</w:t>
      </w:r>
      <w:r>
        <w:t xml:space="preserve"> which collected genome-wide gene expression levels in DCs from 65 healthy individuals</w:t>
      </w:r>
      <w:r w:rsidR="00B02DFC">
        <w:t xml:space="preserve"> \cite{</w:t>
      </w:r>
      <w:r w:rsidR="00B02DFC" w:rsidRPr="00B02DFC">
        <w:t>Barreiro2012</w:t>
      </w:r>
      <w:r w:rsidR="00B02DFC">
        <w:t>}</w:t>
      </w:r>
      <w:r w:rsidR="007C3E09">
        <w:t>, none with a previous history of TB</w:t>
      </w:r>
      <w:r>
        <w:t xml:space="preserve">. </w:t>
      </w:r>
      <w:r w:rsidR="00EB02E8">
        <w:t>Using the cutoff of 0.75</w:t>
      </w:r>
      <w:r w:rsidR="00AA52A6">
        <w:t xml:space="preserve"> for the probability of being resistant to TB </w:t>
      </w:r>
      <w:r w:rsidR="007C3E09">
        <w:t>(</w:t>
      </w:r>
      <w:r w:rsidR="00AA52A6">
        <w:t>determined to be optimal in the training set</w:t>
      </w:r>
      <w:r w:rsidR="007C3E09">
        <w:t>)</w:t>
      </w:r>
      <w:r w:rsidR="00AA52A6">
        <w:t>, ~</w:t>
      </w:r>
      <w:r w:rsidR="003946BD">
        <w:t>11</w:t>
      </w:r>
      <w:r w:rsidR="00B35023">
        <w:t>%</w:t>
      </w:r>
      <w:r w:rsidR="003946BD">
        <w:t xml:space="preserve"> (7</w:t>
      </w:r>
      <w:r w:rsidR="00AA52A6">
        <w:t xml:space="preserve"> of 65) of the individuals were classified as </w:t>
      </w:r>
      <w:r w:rsidR="007C3E09">
        <w:t xml:space="preserve">susceptible to TB. This result is intriguing </w:t>
      </w:r>
      <w:r w:rsidR="00AA52A6">
        <w:t xml:space="preserve">similar to the estimate that </w:t>
      </w:r>
      <w:r w:rsidR="007C3E09">
        <w:t xml:space="preserve">roughly </w:t>
      </w:r>
      <w:r w:rsidR="00AA52A6">
        <w:t>10</w:t>
      </w:r>
      <w:r w:rsidR="00B35023">
        <w:t>%</w:t>
      </w:r>
      <w:r w:rsidR="00AA52A6">
        <w:t xml:space="preserve"> of the </w:t>
      </w:r>
      <w:r w:rsidR="007C3E09">
        <w:t xml:space="preserve">general </w:t>
      </w:r>
      <w:r w:rsidR="00AA52A6">
        <w:t>population is susceptible to TB</w:t>
      </w:r>
      <w:r w:rsidR="00BA020A">
        <w:t xml:space="preserve"> (Fig. \ref{fig:classifier}</w:t>
      </w:r>
      <w:r w:rsidR="00EB02E8">
        <w:t>b</w:t>
      </w:r>
      <w:r w:rsidR="00BA020A">
        <w:t>)</w:t>
      </w:r>
      <w:r w:rsidR="00AA52A6">
        <w:t>.</w:t>
      </w:r>
    </w:p>
    <w:p w14:paraId="3610EFF0" w14:textId="77777777" w:rsidR="00D42E3F" w:rsidRDefault="00545B21" w:rsidP="00545B21">
      <w:pPr>
        <w:jc w:val="center"/>
      </w:pPr>
      <w:r>
        <w:rPr>
          <w:noProof/>
        </w:rPr>
        <w:drawing>
          <wp:inline distT="0" distB="0" distL="0" distR="0" wp14:anchorId="74D32C7C" wp14:editId="645E8F13">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2D187DB" w14:textId="77777777" w:rsidR="00D42E3F" w:rsidRDefault="00D42E3F" w:rsidP="00D42E3F">
      <w:pPr>
        <w:pStyle w:val="LaTeX"/>
      </w:pPr>
      <w:r>
        <w:t>\begin{figure}[ht]</w:t>
      </w:r>
    </w:p>
    <w:p w14:paraId="7B55A2D7" w14:textId="77777777" w:rsidR="00D42E3F" w:rsidRDefault="00D42E3F" w:rsidP="00D42E3F">
      <w:pPr>
        <w:pStyle w:val="LaTeX"/>
      </w:pPr>
      <w:r>
        <w:t>\centering</w:t>
      </w:r>
    </w:p>
    <w:p w14:paraId="1F54FA7C" w14:textId="77777777" w:rsidR="00D42E3F" w:rsidRDefault="00D42E3F" w:rsidP="00D42E3F">
      <w:pPr>
        <w:pStyle w:val="LaTeX"/>
      </w:pPr>
      <w:r>
        <w:t>\includegraphics[width=\linewidth]{../figure/classifier</w:t>
      </w:r>
      <w:r w:rsidR="00E12815">
        <w:t>-svm</w:t>
      </w:r>
      <w:r w:rsidR="0078541A">
        <w:t>.pdf</w:t>
      </w:r>
      <w:r>
        <w:t>}</w:t>
      </w:r>
    </w:p>
    <w:p w14:paraId="1A1A1B93" w14:textId="77777777" w:rsidR="00D42E3F" w:rsidRDefault="00D42E3F" w:rsidP="00D42E3F">
      <w:pPr>
        <w:pStyle w:val="LaTeX"/>
      </w:pPr>
      <w:r>
        <w:t>\caption{</w:t>
      </w:r>
    </w:p>
    <w:p w14:paraId="76A0968A" w14:textId="77777777"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14:paraId="09BC188F" w14:textId="77777777" w:rsidR="00D42E3F" w:rsidRDefault="00D42E3F" w:rsidP="00D42E3F">
      <w:pPr>
        <w:pStyle w:val="LaTeX"/>
      </w:pPr>
      <w:r>
        <w:t>}</w:t>
      </w:r>
    </w:p>
    <w:p w14:paraId="1006D322" w14:textId="77777777" w:rsidR="00D42E3F" w:rsidRDefault="00D42E3F" w:rsidP="00D42E3F">
      <w:pPr>
        <w:pStyle w:val="LaTeX"/>
      </w:pPr>
      <w:r>
        <w:t>\label{fig:classifier}</w:t>
      </w:r>
    </w:p>
    <w:p w14:paraId="70DE8721" w14:textId="77777777" w:rsidR="00D42E3F" w:rsidRDefault="00D42E3F" w:rsidP="00D42E3F">
      <w:pPr>
        <w:pStyle w:val="LaTeX"/>
      </w:pPr>
      <w:r>
        <w:t>\end{figure}</w:t>
      </w:r>
    </w:p>
    <w:p w14:paraId="23F2FDA4" w14:textId="77777777" w:rsidR="00D42E3F" w:rsidRPr="00D42E3F" w:rsidRDefault="00D42E3F" w:rsidP="00D42E3F"/>
    <w:p w14:paraId="3BF951C6" w14:textId="77777777" w:rsidR="003C1725" w:rsidRDefault="00552AAA" w:rsidP="0053091A">
      <w:pPr>
        <w:pStyle w:val="Heading1"/>
      </w:pPr>
      <w:bookmarkStart w:id="8" w:name="discussion"/>
      <w:bookmarkEnd w:id="2"/>
      <w:r>
        <w:lastRenderedPageBreak/>
        <w:t>Discussion</w:t>
      </w:r>
    </w:p>
    <w:p w14:paraId="66C2E08F" w14:textId="51252F3D"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in non</w:t>
      </w:r>
      <w:r w:rsidR="00D10913">
        <w:t>-</w:t>
      </w:r>
      <w:r w:rsidR="00CA5C54">
        <w:t>infected</w:t>
      </w:r>
      <w:r w:rsidR="00D10913">
        <w:t xml:space="preserve"> </w:t>
      </w:r>
      <w:r w:rsidR="0028659C">
        <w:t>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 xml:space="preserve">As expected, there were large changes in gene expression due to MTB infection in both resistant and susceptible individuals (Supplementary Fig. \ref{fig:limma-supp}). </w:t>
      </w:r>
      <w:r w:rsidR="00D10913">
        <w:t>W</w:t>
      </w:r>
      <w:r w:rsidR="00B31A3D">
        <w:t>e identified 645</w:t>
      </w:r>
      <w:r w:rsidR="00782098">
        <w:t xml:space="preserve"> genes</w:t>
      </w:r>
      <w:r w:rsidR="00D10913">
        <w:t>,</w:t>
      </w:r>
      <w:r w:rsidR="00782098">
        <w:t xml:space="preserve"> which were differentially expressed</w:t>
      </w:r>
      <w:r w:rsidR="00BA21AF">
        <w:t xml:space="preserve"> (DE)</w:t>
      </w:r>
      <w:r w:rsidR="00782098">
        <w:t xml:space="preserve"> between susceptible and resistant individuals in t</w:t>
      </w:r>
      <w:r w:rsidR="000053C7">
        <w:t>he non</w:t>
      </w:r>
      <w:r w:rsidR="00D10913">
        <w:t>-</w:t>
      </w:r>
      <w:r w:rsidR="000053C7">
        <w:t xml:space="preserve">infected state; whereas, we did not observe any </w:t>
      </w:r>
      <w:r w:rsidR="00BA21AF">
        <w:t>DE</w:t>
      </w:r>
      <w:r w:rsidR="000053C7">
        <w:t xml:space="preserve"> genes between susceptible and resistant individuals in the infected state</w:t>
      </w:r>
      <w:r w:rsidR="00782098">
        <w:t xml:space="preserve"> (Fig. \ref{fig:limma}</w:t>
      </w:r>
      <w:r w:rsidR="00CA5C54">
        <w:t>)</w:t>
      </w:r>
      <w:r w:rsidR="00B155AF">
        <w:t>.</w:t>
      </w:r>
      <w:r w:rsidR="009D3352">
        <w:t xml:space="preserve"> This suggests that the differences in the transcriptomes between DCs of resistant and susceptible individuals are present pre-infection</w:t>
      </w:r>
      <w:r w:rsidR="00D10913">
        <w:t>,</w:t>
      </w:r>
      <w:r w:rsidR="009D3352">
        <w:t xml:space="preserve"> and aff</w:t>
      </w:r>
      <w:r w:rsidR="00D10913">
        <w:t>ect the initial response to MTB. Yet,</w:t>
      </w:r>
      <w:r w:rsidR="009D3352">
        <w:t xml:space="preserve"> 18 hours </w:t>
      </w:r>
      <w:r w:rsidR="00D10913">
        <w:t xml:space="preserve">after infection </w:t>
      </w:r>
      <w:r w:rsidR="009D3352">
        <w:t xml:space="preserve">gene expression profiles </w:t>
      </w:r>
      <w:r w:rsidR="00D10913">
        <w:t xml:space="preserve">in both susceptible and resistant individuals </w:t>
      </w:r>
      <w:r w:rsidR="009D3352">
        <w:t xml:space="preserve">have converged to the same gene regulatory network to fight the active infection. </w:t>
      </w:r>
      <w:r w:rsidR="00D10913">
        <w:t>W</w:t>
      </w:r>
      <w:r w:rsidR="009D3352">
        <w:t xml:space="preserve">e chose to measure gene expression 18 hours post-infection because this </w:t>
      </w:r>
      <w:r w:rsidR="00D10913">
        <w:t>time point</w:t>
      </w:r>
      <w:r w:rsidR="009D3352">
        <w:t xml:space="preserve"> was previously </w:t>
      </w:r>
      <w:r w:rsidR="00D10913">
        <w:t>associated</w:t>
      </w:r>
      <w:r w:rsidR="009D3352">
        <w:t xml:space="preserve"> </w:t>
      </w:r>
      <w:r w:rsidR="00D10913">
        <w:t xml:space="preserve">with a </w:t>
      </w:r>
      <w:r w:rsidR="009D3352">
        <w:t>large change in genome-wide gene expression levels</w:t>
      </w:r>
      <w:r w:rsidR="00E91A35">
        <w:t xml:space="preserve"> \cite{</w:t>
      </w:r>
      <w:r w:rsidR="00E91A35" w:rsidRPr="00E91A35">
        <w:t>Tailleux2008</w:t>
      </w:r>
      <w:r w:rsidR="00E91A35">
        <w:t>}</w:t>
      </w:r>
      <w:r w:rsidR="00D10913">
        <w:t>. Given our observations, however, future</w:t>
      </w:r>
      <w:r w:rsidR="009D3352">
        <w:t xml:space="preserve"> studies investigating the difference in the innate immune response between individuals resistant and susceptible to TB may want to focus on earlier </w:t>
      </w:r>
      <w:r w:rsidR="00343F93">
        <w:t>time points post infection.</w:t>
      </w:r>
    </w:p>
    <w:p w14:paraId="5D2DC0AA" w14:textId="77777777" w:rsidR="00E5759D" w:rsidRDefault="00E5759D" w:rsidP="000763D9"/>
    <w:p w14:paraId="3F45171E" w14:textId="55CC8137" w:rsidR="00E5759D" w:rsidRDefault="00A304F1" w:rsidP="000763D9">
      <w:r>
        <w:t xml:space="preserve">Among the 645 </w:t>
      </w:r>
      <w:r w:rsidR="00BA21AF">
        <w:t xml:space="preserve">DE </w:t>
      </w:r>
      <w:r>
        <w:t>genes between resistant and susceptible individuals in the non</w:t>
      </w:r>
      <w:r w:rsidR="006656DC">
        <w:t>-</w:t>
      </w:r>
      <w:r>
        <w:t xml:space="preserve">infected state, there were many interesting genes involved in important innate immune </w:t>
      </w:r>
      <w:r w:rsidR="006656DC">
        <w:t>activities</w:t>
      </w:r>
      <w:r>
        <w:t xml:space="preserve"> critical for f</w:t>
      </w:r>
      <w:r w:rsidR="006656DC">
        <w:t>ighting MTB and other pathogens such as</w:t>
      </w:r>
      <w:r>
        <w:t xml:space="preserve"> autophagy \cite{</w:t>
      </w:r>
      <w:r w:rsidRPr="00EC5980">
        <w:t>Deretic2014</w:t>
      </w:r>
      <w:r>
        <w:t xml:space="preserve">, </w:t>
      </w:r>
      <w:r w:rsidRPr="009741E6">
        <w:t>Castrejon-Jimenez2015</w:t>
      </w:r>
      <w:r>
        <w:t xml:space="preserve">}, </w:t>
      </w:r>
      <w:r w:rsidR="0043225D">
        <w:t>phagolysosomal</w:t>
      </w:r>
      <w:r>
        <w:t xml:space="preserve"> acidification</w:t>
      </w:r>
      <w:r w:rsidR="0043225D">
        <w:t>, and antigen processing</w:t>
      </w:r>
      <w:r w:rsidR="00A840AE">
        <w:t>.</w:t>
      </w:r>
      <w:r w:rsidR="006656DC">
        <w:t xml:space="preserve"> In particular,</w:t>
      </w:r>
      <w:r w:rsidR="00A840AE">
        <w:t xml:space="preserve"> </w:t>
      </w:r>
      <w:r w:rsidR="00E5759D" w:rsidRPr="00A840AE">
        <w:rPr>
          <w:i/>
        </w:rPr>
        <w:t>FEZ2</w:t>
      </w:r>
      <w:r w:rsidR="00A840AE">
        <w:t>,</w:t>
      </w:r>
      <w:r w:rsidR="00E5759D">
        <w:t xml:space="preserve"> </w:t>
      </w:r>
      <w:r w:rsidR="00A840AE">
        <w:t xml:space="preserve">a suppressor of </w:t>
      </w:r>
      <w:r w:rsidR="000D7346">
        <w:t>autophag</w:t>
      </w:r>
      <w:r w:rsidR="00A840AE">
        <w:t>osome formation</w:t>
      </w:r>
      <w:r w:rsidR="000D7346">
        <w:t xml:space="preserve"> </w:t>
      </w:r>
      <w:r w:rsidR="00E5759D">
        <w:t>\cite{Spang2014}</w:t>
      </w:r>
      <w:r w:rsidR="00A840AE">
        <w:t xml:space="preserve">, </w:t>
      </w:r>
      <w:r w:rsidR="006656DC">
        <w:t>was</w:t>
      </w:r>
      <w:r w:rsidR="00D74321">
        <w:t xml:space="preserve"> down</w:t>
      </w:r>
      <w:r w:rsidR="006656DC">
        <w:t>-</w:t>
      </w:r>
      <w:r w:rsidR="00D74321">
        <w:t xml:space="preserve">regulated when DCs </w:t>
      </w:r>
      <w:r w:rsidR="006656DC">
        <w:t>were</w:t>
      </w:r>
      <w:r w:rsidR="00D74321">
        <w:t xml:space="preserve"> infected with MTB; however, </w:t>
      </w:r>
      <w:r w:rsidR="006656DC">
        <w:t>in the non-infected DCs, this gene</w:t>
      </w:r>
      <w:r w:rsidR="00D74321">
        <w:t xml:space="preserve"> has </w:t>
      </w:r>
      <w:r w:rsidR="006656DC">
        <w:t>elevated</w:t>
      </w:r>
      <w:r w:rsidR="00D74321">
        <w:t xml:space="preserve"> expression </w:t>
      </w:r>
      <w:r w:rsidR="006656DC">
        <w:t xml:space="preserve">level </w:t>
      </w:r>
      <w:r w:rsidR="00D74321">
        <w:t>in susceptible</w:t>
      </w:r>
      <w:r w:rsidR="006656DC">
        <w:t xml:space="preserve"> compared with resistant individuals. In turn, </w:t>
      </w:r>
      <w:r w:rsidR="00295F94" w:rsidRPr="006656DC">
        <w:rPr>
          <w:i/>
        </w:rPr>
        <w:t>ATP6V1B2</w:t>
      </w:r>
      <w:r w:rsidR="00295F94">
        <w:t xml:space="preserve">, a </w:t>
      </w:r>
      <w:r w:rsidR="006656DC">
        <w:t xml:space="preserve">gene coding for a </w:t>
      </w:r>
      <w:r w:rsidR="00295F94">
        <w:t>subunit of the proton transporter responsible for acidifying phagolysosomes</w:t>
      </w:r>
      <w:r w:rsidR="002F7B7F">
        <w:t xml:space="preserve"> \cite{</w:t>
      </w:r>
      <w:r w:rsidR="002F7B7F" w:rsidRPr="002F7B7F">
        <w:t>Sturgill-Koszycki</w:t>
      </w:r>
      <w:r w:rsidR="002F7B7F">
        <w:t>1994, Hornef2002, Hestvik2005}</w:t>
      </w:r>
      <w:r w:rsidR="00295F94">
        <w:t>, has increased expression in susceptible individuals compared to resistant in the non</w:t>
      </w:r>
      <w:r w:rsidR="006656DC">
        <w:t>-</w:t>
      </w:r>
      <w:r w:rsidR="00295F94">
        <w:t xml:space="preserve">infected state. Lastly, </w:t>
      </w:r>
      <w:r w:rsidR="006656DC">
        <w:t>genes coding for nine</w:t>
      </w:r>
      <w:r w:rsidR="00295F94">
        <w:t xml:space="preserve"> subunits of the proteasome, which is critical for processing of </w:t>
      </w:r>
      <w:r w:rsidR="009A3D27">
        <w:t xml:space="preserve">MTB </w:t>
      </w:r>
      <w:r w:rsidR="00295F94">
        <w:t>antigens to be presented via major histocompatibility complex (MHC) class I molecules</w:t>
      </w:r>
      <w:r w:rsidR="009A3D27">
        <w:t xml:space="preserve"> \cite{</w:t>
      </w:r>
      <w:r w:rsidR="00A565A3">
        <w:t>Flynn1992, Grotzke2009, Grotzke2010</w:t>
      </w:r>
      <w:r w:rsidR="00554491">
        <w:t xml:space="preserve">, </w:t>
      </w:r>
      <w:r w:rsidR="00554491" w:rsidRPr="00554491">
        <w:t>LindestamArlehamn2014</w:t>
      </w:r>
      <w:r w:rsidR="009A3D27">
        <w:t>}</w:t>
      </w:r>
      <w:r w:rsidR="00295F94">
        <w:t xml:space="preserve">, have increased </w:t>
      </w:r>
      <w:r w:rsidR="009A3D27">
        <w:t xml:space="preserve">expression in susceptible individuals </w:t>
      </w:r>
      <w:r w:rsidR="009A3D27">
        <w:lastRenderedPageBreak/>
        <w:t>compared to resistant in the non</w:t>
      </w:r>
      <w:r w:rsidR="006656DC">
        <w:t>-</w:t>
      </w:r>
      <w:r w:rsidR="009A3D27">
        <w:t>infected state.</w:t>
      </w:r>
      <w:r w:rsidR="009E7A57">
        <w:t xml:space="preserve"> </w:t>
      </w:r>
      <w:r w:rsidR="006656DC">
        <w:t>T</w:t>
      </w:r>
      <w:r w:rsidR="009E7A57">
        <w:t xml:space="preserve">hese genes are candidates for future functional studies investigating the mechanisms of TB </w:t>
      </w:r>
      <w:r w:rsidR="00A600FD">
        <w:t>susceptibility</w:t>
      </w:r>
      <w:r w:rsidR="009E7A57">
        <w:t>.</w:t>
      </w:r>
    </w:p>
    <w:p w14:paraId="5894C02D" w14:textId="77777777" w:rsidR="00440C5A" w:rsidRDefault="00440C5A" w:rsidP="00295F94">
      <w:pPr>
        <w:tabs>
          <w:tab w:val="left" w:pos="8225"/>
        </w:tabs>
      </w:pPr>
    </w:p>
    <w:p w14:paraId="5D9D55DD" w14:textId="2E4DDFE6" w:rsidR="00CB78EE" w:rsidRPr="00CB78EE" w:rsidRDefault="00CB78EE" w:rsidP="000763D9">
      <w:r>
        <w:t xml:space="preserve">To our knowledge, our study </w:t>
      </w:r>
      <w:r w:rsidR="00BA21AF">
        <w:t>was</w:t>
      </w:r>
      <w:r>
        <w:t xml:space="preserve"> only the second to </w:t>
      </w:r>
      <w:r w:rsidR="00DF37B2">
        <w:t>collect data from</w:t>
      </w:r>
      <w:r>
        <w:t xml:space="preserve"> </w:t>
      </w:r>
      <w:r>
        <w:rPr>
          <w:i/>
        </w:rPr>
        <w:t>in vitro</w:t>
      </w:r>
      <w:r>
        <w:t xml:space="preserve"> MTB </w:t>
      </w:r>
      <w:r w:rsidR="00DF37B2">
        <w:t>infected</w:t>
      </w:r>
      <w:r>
        <w:t xml:space="preserve"> innate immune cells isolated from </w:t>
      </w:r>
      <w:r w:rsidR="001909FF">
        <w:t>individuals</w:t>
      </w:r>
      <w:r>
        <w:t xml:space="preserve"> known to be susceptible to MTB</w:t>
      </w:r>
      <w:r w:rsidR="001909FF">
        <w:t xml:space="preserve"> (Thuong et al., 2008)</w:t>
      </w:r>
      <w:r>
        <w:t xml:space="preserve">. However, there </w:t>
      </w:r>
      <w:r w:rsidR="00BA21AF">
        <w:t>were</w:t>
      </w:r>
      <w:r>
        <w:t xml:space="preserve"> substantial differences between our study and that of Thuong et al., 2008 \cite{Thuong2008}. </w:t>
      </w:r>
      <w:r w:rsidR="005A1670">
        <w:t xml:space="preserve">First, they isolated and infected macrophages, the primary target host cell in which MTB resides; whereas, we infected </w:t>
      </w:r>
      <w:commentRangeStart w:id="9"/>
      <w:r w:rsidR="005A1670">
        <w:t xml:space="preserve">DCs, which play a larger role in stimulating the adaptive immune response to MTB. Second, the susceptible individuals in </w:t>
      </w:r>
      <w:r w:rsidR="001909FF">
        <w:t xml:space="preserve">Thuong et al., 2008 </w:t>
      </w:r>
      <w:r w:rsidR="005A1670">
        <w:t xml:space="preserve">had an active TB infection at the time </w:t>
      </w:r>
      <w:r w:rsidR="00BA21AF">
        <w:t>the</w:t>
      </w:r>
      <w:r w:rsidR="005A1670">
        <w:t xml:space="preserve"> cells were isolated; whereas, our individuals had recovered from a past TB infe</w:t>
      </w:r>
      <w:r w:rsidR="009902CA">
        <w:t>ction. Third, we collected samples from a larger number</w:t>
      </w:r>
      <w:r w:rsidR="001909FF">
        <w:t xml:space="preserve"> of</w:t>
      </w:r>
      <w:r w:rsidR="009902CA">
        <w:t xml:space="preserve"> resistant individuals (19 versus 4), increasing our power to distinguish between the gene expression profiles of susceptible and resistant individuals. </w:t>
      </w:r>
      <w:commentRangeEnd w:id="9"/>
      <w:r w:rsidR="00957197">
        <w:rPr>
          <w:rStyle w:val="CommentReference"/>
        </w:rPr>
        <w:commentReference w:id="9"/>
      </w:r>
    </w:p>
    <w:p w14:paraId="77F3DF1E" w14:textId="77777777" w:rsidR="00022417" w:rsidRDefault="00022417" w:rsidP="000763D9"/>
    <w:p w14:paraId="61C367F3" w14:textId="1795C691" w:rsidR="001375C9" w:rsidRDefault="0016397B" w:rsidP="000763D9">
      <w:r>
        <w:t>W</w:t>
      </w:r>
      <w:r w:rsidR="00C954A2">
        <w:t xml:space="preserve">e observed that </w:t>
      </w:r>
      <w:r w:rsidR="00BA21AF">
        <w:t>DE</w:t>
      </w:r>
      <w:r w:rsidR="00C954A2">
        <w:t xml:space="preserve"> genes in our </w:t>
      </w:r>
      <w:r w:rsidR="00C954A2">
        <w:rPr>
          <w:i/>
        </w:rPr>
        <w:t>in vitro</w:t>
      </w:r>
      <w:r w:rsidR="00C954A2">
        <w:t xml:space="preserve"> experimental system </w:t>
      </w:r>
      <w:r w:rsidR="00C85D82">
        <w:t>were</w:t>
      </w:r>
      <w:r w:rsidR="00C954A2">
        <w:t xml:space="preserve"> </w:t>
      </w:r>
      <w:r w:rsidR="00FA27F0">
        <w:t>enriched for lower GWAS p-values (Fig. \ref{fig:gwas})</w:t>
      </w:r>
      <w:r w:rsidR="00C954A2">
        <w:t xml:space="preserve">. This suggests that such </w:t>
      </w:r>
      <w:r w:rsidR="00C954A2">
        <w:rPr>
          <w:i/>
        </w:rPr>
        <w:t>in vitro</w:t>
      </w:r>
      <w:r w:rsidR="00C954A2">
        <w:t xml:space="preserve"> approaches are informative for interrogating the genetic basis of disease susceptibility. That being said, we recognized multiple caveats with this analysis. First, assigning SNPs to their nearest gene on the linear chromosome </w:t>
      </w:r>
      <w:r w:rsidR="00957197">
        <w:t>is problematic</w:t>
      </w:r>
      <w:r w:rsidR="00C954A2">
        <w:t xml:space="preserve"> </w:t>
      </w:r>
      <w:r w:rsidR="00957197">
        <w:t>because</w:t>
      </w:r>
      <w:r w:rsidR="00C954A2">
        <w:t xml:space="preserve"> regulatory variants can have longer range effects. </w:t>
      </w:r>
      <w:commentRangeStart w:id="10"/>
      <w:r w:rsidR="00C954A2">
        <w:t>Second, the negative slopes of the least squares regression line were quite small because there were many SNPs with low p-values nearby genes with low effect sizes in our experiment</w:t>
      </w:r>
      <w:commentRangeEnd w:id="10"/>
      <w:r w:rsidR="00957197">
        <w:rPr>
          <w:rStyle w:val="CommentReference"/>
        </w:rPr>
        <w:commentReference w:id="10"/>
      </w:r>
      <w:r w:rsidR="00C954A2">
        <w:t xml:space="preserve">. </w:t>
      </w:r>
      <w:r w:rsidR="006D0822">
        <w:t>It is possible that these variants contribute to TB susceptibility by affecting gene expression in other cell types or environmental conditions.</w:t>
      </w:r>
      <w:r w:rsidR="001A4DE9">
        <w:t xml:space="preserve"> Third, the individuals in our study were Europeans; whereas, the GWAS were conducted in Africans.</w:t>
      </w:r>
      <w:r w:rsidR="0052086E">
        <w:t xml:space="preserve"> </w:t>
      </w:r>
      <w:commentRangeStart w:id="11"/>
      <w:r w:rsidR="0052086E">
        <w:t xml:space="preserve">Nevertheless… </w:t>
      </w:r>
      <w:commentRangeEnd w:id="11"/>
      <w:r w:rsidR="0052086E">
        <w:rPr>
          <w:rStyle w:val="CommentReference"/>
        </w:rPr>
        <w:commentReference w:id="11"/>
      </w:r>
    </w:p>
    <w:p w14:paraId="2077BE67" w14:textId="77777777" w:rsidR="001375C9" w:rsidRDefault="001375C9" w:rsidP="000763D9"/>
    <w:p w14:paraId="2CD04930" w14:textId="77777777" w:rsidR="00D25BB6" w:rsidRPr="007C0EF3" w:rsidRDefault="001375C9" w:rsidP="000763D9">
      <w:commentRangeStart w:id="12"/>
      <w:r>
        <w:t xml:space="preserve">Not only did this analysis identify a global enrichment of TB susceptibility loci, </w:t>
      </w:r>
      <w:r w:rsidR="00F87921">
        <w:t xml:space="preserve">but </w:t>
      </w:r>
      <w:r>
        <w:t>by</w:t>
      </w:r>
      <w:r w:rsidR="00F43875">
        <w:t xml:space="preserve"> intersectin</w:t>
      </w:r>
      <w:r>
        <w:t>g</w:t>
      </w:r>
      <w:r w:rsidR="00F43875">
        <w:t xml:space="preserve"> our DE results and the GWAS </w:t>
      </w:r>
      <w:r>
        <w:t>we were able to</w:t>
      </w:r>
      <w:r w:rsidR="00F43875">
        <w:t xml:space="preserve"> identify two genes</w:t>
      </w:r>
      <w:r w:rsidR="006B3F0F">
        <w:t xml:space="preserve"> (</w:t>
      </w:r>
      <w:r w:rsidR="006B3F0F" w:rsidRPr="006B3F0F">
        <w:rPr>
          <w:i/>
        </w:rPr>
        <w:t>CCL1</w:t>
      </w:r>
      <w:r w:rsidR="006B3F0F">
        <w:t xml:space="preserve"> and </w:t>
      </w:r>
      <w:r w:rsidR="006B3F0F" w:rsidRPr="006B3F0F">
        <w:rPr>
          <w:i/>
        </w:rPr>
        <w:t>UNC13A</w:t>
      </w:r>
      <w:r w:rsidR="006B3F0F">
        <w:t>)</w:t>
      </w:r>
      <w:r w:rsidR="00F43875">
        <w:t xml:space="preserve"> which were marginally significant in both.</w:t>
      </w:r>
      <w:r>
        <w:t xml:space="preserve"> Interestingly, both of these </w:t>
      </w:r>
      <w:commentRangeEnd w:id="12"/>
      <w:r w:rsidR="00B72D44">
        <w:rPr>
          <w:rStyle w:val="CommentReference"/>
        </w:rPr>
        <w:commentReference w:id="12"/>
      </w:r>
      <w:r>
        <w:t>genes have prior evidence of playing important roles in MTB infection.</w:t>
      </w:r>
      <w:r w:rsidR="00F43875">
        <w:t xml:space="preserve"> </w:t>
      </w:r>
      <w:r w:rsidR="007E13C5" w:rsidRPr="003A25EC">
        <w:rPr>
          <w:i/>
        </w:rPr>
        <w:t>CCL1</w:t>
      </w:r>
      <w:r w:rsidR="007E13C5">
        <w:t xml:space="preserve"> </w:t>
      </w:r>
      <w:r w:rsidR="003662A4">
        <w:t>is a chemokine that stimulates migration of monocytes</w:t>
      </w:r>
      <w:r w:rsidR="00E3712E">
        <w:t xml:space="preserve"> \cite{Miller1992}</w:t>
      </w:r>
      <w:r w:rsidR="003662A4">
        <w:t xml:space="preserve">. In our study, it was upregulated in susceptible individuals compared to resistant in both the noninfected and infected states (but did not reach statistical </w:t>
      </w:r>
      <w:r w:rsidR="003662A4">
        <w:lastRenderedPageBreak/>
        <w:t>significance in either) and was statistically significantly upregulated with MTB treatment. The previous differential expression study of TB susceptibility mentioned above</w:t>
      </w:r>
      <w:r w:rsidR="00763C86">
        <w:t xml:space="preserve"> found that </w:t>
      </w:r>
      <w:r w:rsidR="00763C86">
        <w:rPr>
          <w:i/>
        </w:rPr>
        <w:t>CCL1</w:t>
      </w:r>
      <w:r w:rsidR="00763C86">
        <w:t xml:space="preserve"> was upregulated to a greater extent 4 hours post MTB-infection in macrophages isolated from individuals with an active TB infection (i.e. susceptible) compared to individuals with a latent TB infection (i.e. resistant) \cite{Thuong2008}.</w:t>
      </w:r>
      <w:r w:rsidR="00B25140">
        <w:t xml:space="preserve"> Additionally they performed a candidate gene association study and found that SNPs nearby </w:t>
      </w:r>
      <w:r w:rsidR="00B25140" w:rsidRPr="009F3E99">
        <w:rPr>
          <w:i/>
        </w:rPr>
        <w:t>CCL1</w:t>
      </w:r>
      <w:r w:rsidR="00B25140">
        <w:t xml:space="preserve"> were associated with TB susceptibility. </w:t>
      </w:r>
      <w:r w:rsidR="009F3E99">
        <w:t xml:space="preserve">In a previous study from our lab, we discovered that </w:t>
      </w:r>
      <w:r w:rsidR="009F3E99">
        <w:rPr>
          <w:i/>
        </w:rPr>
        <w:t>CCL1</w:t>
      </w:r>
      <w:r w:rsidR="009F3E99">
        <w:t xml:space="preserve"> was one of only 288 genes that were differentially expressed in macrophages 48 hours post-infection with MTB and related mycobacterial species but not unrelated virulent bacteria \cite{Blischak2015}.</w:t>
      </w:r>
      <w:r w:rsidR="00494CC4" w:rsidRPr="003A25EC">
        <w:t xml:space="preserve"> </w:t>
      </w:r>
      <w:r w:rsidR="00494CC4" w:rsidRPr="003A25EC">
        <w:rPr>
          <w:i/>
        </w:rPr>
        <w:t>UNC13A</w:t>
      </w:r>
      <w:r w:rsidR="002C3253">
        <w:t xml:space="preserve"> is involved in vesicle formation</w:t>
      </w:r>
      <w:r w:rsidR="00352419">
        <w:t xml:space="preserve"> \cite{Sudhof2004}</w:t>
      </w:r>
      <w:r w:rsidR="002C3253">
        <w:t xml:space="preserve">. </w:t>
      </w:r>
      <w:r w:rsidR="003D2DAB">
        <w:t>In our study, it was downregulated in susceptible individuals compared to resistant in both the noninfected and infected states (but did not reach statistical significance in either) and was statistically significantly upregulated with MTB treatment.</w:t>
      </w:r>
      <w:r w:rsidR="00FA27F0">
        <w:t xml:space="preserve"> In our past study mapping expression quantitative trait loci (eQTLs) in</w:t>
      </w:r>
      <w:r w:rsidR="00A35CFB">
        <w:t xml:space="preserve"> DCs 18 hours post-infection with MTB, </w:t>
      </w:r>
      <w:r w:rsidR="00A35CFB">
        <w:rPr>
          <w:i/>
        </w:rPr>
        <w:t>UNC13A</w:t>
      </w:r>
      <w:r w:rsidR="00A35CFB">
        <w:t xml:space="preserve"> was one of only 98 genes which was associated with an eQTL post-infection but not pre-infection, which we called an MTB-specific eQTL \cite{Barreiro2012}. </w:t>
      </w:r>
      <w:r w:rsidR="007C0EF3">
        <w:t xml:space="preserve">Thus our new results increased the evidence that </w:t>
      </w:r>
      <w:r w:rsidR="007C0EF3">
        <w:rPr>
          <w:i/>
        </w:rPr>
        <w:t>CCL1</w:t>
      </w:r>
      <w:r w:rsidR="007C0EF3">
        <w:t xml:space="preserve"> and </w:t>
      </w:r>
      <w:r w:rsidR="007C0EF3">
        <w:rPr>
          <w:i/>
        </w:rPr>
        <w:t>UNC13A</w:t>
      </w:r>
      <w:r w:rsidR="007C0EF3">
        <w:t xml:space="preserve"> play important roles in TB susceptibility.</w:t>
      </w:r>
    </w:p>
    <w:p w14:paraId="4D949320" w14:textId="77777777" w:rsidR="00D25BB6" w:rsidRDefault="00D25BB6" w:rsidP="000763D9"/>
    <w:p w14:paraId="1309372C" w14:textId="7B180E5F" w:rsidR="00E2469F" w:rsidRPr="00E2469F" w:rsidRDefault="00E2469F" w:rsidP="000763D9">
      <w:pPr>
        <w:rPr>
          <w:b/>
        </w:rPr>
      </w:pPr>
      <w:r w:rsidRPr="00E2469F">
        <w:rPr>
          <w:b/>
        </w:rPr>
        <w:t xml:space="preserve">Subtitle? </w:t>
      </w:r>
    </w:p>
    <w:p w14:paraId="057D9769" w14:textId="77777777" w:rsidR="00D74CB1" w:rsidRDefault="0045091B" w:rsidP="000763D9">
      <w:r>
        <w:t>Previous attempts to use gene expression based classifiers in the context of TB have focused on predicting the status of an infection</w:t>
      </w:r>
      <w:r w:rsidR="00D74CB1">
        <w:t xml:space="preserve"> rather than the susceptibility status of an individual </w:t>
      </w:r>
      <w:r w:rsidR="00A1584A">
        <w:t xml:space="preserve">\cite{Berry2010, </w:t>
      </w:r>
      <w:r w:rsidR="00A1584A" w:rsidRPr="00A1584A">
        <w:t>OGarra2013</w:t>
      </w:r>
      <w:r w:rsidR="000F19D5">
        <w:t xml:space="preserve">, </w:t>
      </w:r>
      <w:r w:rsidR="000F19D5" w:rsidRPr="000F19D5">
        <w:t>Blankley2014</w:t>
      </w:r>
      <w:r w:rsidR="00A1584A">
        <w:t>}</w:t>
      </w:r>
      <w:r>
        <w:t xml:space="preserve">. </w:t>
      </w:r>
      <w:r w:rsidR="00D74CB1">
        <w:t xml:space="preserve">In other words, </w:t>
      </w:r>
      <w:r>
        <w:t xml:space="preserve">the goal </w:t>
      </w:r>
      <w:r w:rsidR="00D74CB1">
        <w:t>of most previous study was</w:t>
      </w:r>
      <w:r>
        <w:t xml:space="preserve"> to detect individuals in an early stage of an active TB infection when antibiotic intervention would be most effective or to monitor the effectiveness of a treatment regimen</w:t>
      </w:r>
      <w:r w:rsidR="00A2522B">
        <w:t xml:space="preserve"> \cite{</w:t>
      </w:r>
      <w:r w:rsidR="00A2522B" w:rsidRPr="00A2522B">
        <w:t>Maertzdorf2015</w:t>
      </w:r>
      <w:r w:rsidR="00A2522B">
        <w:t>}</w:t>
      </w:r>
      <w:r>
        <w:t xml:space="preserve">. In contrast, our </w:t>
      </w:r>
      <w:r w:rsidR="00D74CB1">
        <w:t>goal</w:t>
      </w:r>
      <w:r>
        <w:t xml:space="preserve"> was not to distinguish between an active or latent infection, but instead to be able to determine susceptibility status before individuals have an active TB infection. Even with our small sample size, we were able to successfully train a classier with high sensitivity and decent specificity. </w:t>
      </w:r>
      <w:r w:rsidR="00B20CFF">
        <w:t xml:space="preserve">Because such a classification of susceptibility status could affect the decision of whether or not to take antibiotics to treat a latent </w:t>
      </w:r>
      <w:r w:rsidR="00D74CB1">
        <w:t>M</w:t>
      </w:r>
      <w:r w:rsidR="00B20CFF">
        <w:t>TB infection</w:t>
      </w:r>
      <w:r w:rsidR="00075EC5">
        <w:t xml:space="preserve"> \cite{Munoz2015}</w:t>
      </w:r>
      <w:r w:rsidR="00B20CFF">
        <w:t xml:space="preserve">, false negatives (susceptible individuals mistakenly classified </w:t>
      </w:r>
      <w:r w:rsidR="00B20CFF">
        <w:lastRenderedPageBreak/>
        <w:t xml:space="preserve">as resistant) would be much more harmful than false positives (resistant individuals mistakenly classified as susceptible), which is why we emphasized sensitivity over specificity. </w:t>
      </w:r>
    </w:p>
    <w:p w14:paraId="600EF027" w14:textId="77777777" w:rsidR="00D74CB1" w:rsidRDefault="00D74CB1" w:rsidP="000763D9"/>
    <w:p w14:paraId="57DD008D" w14:textId="601961EB" w:rsidR="00EB3993" w:rsidRDefault="00130494" w:rsidP="000763D9">
      <w:r>
        <w:t>At this time, we are not aware of any other data set from healthy individuals known to be sensitive to TB, with which we can further test our classifier. W</w:t>
      </w:r>
      <w:r w:rsidR="00B20CFF">
        <w:t>hen we applied our classifier to an independent set of non</w:t>
      </w:r>
      <w:r>
        <w:t>-</w:t>
      </w:r>
      <w:r w:rsidR="00B20CFF">
        <w:t>infected DCs isolated from healthy individuals of unknown susceptibility status, our model predicted</w:t>
      </w:r>
      <w:r>
        <w:t xml:space="preserve"> that</w:t>
      </w:r>
      <w:r w:rsidR="00B20CFF">
        <w:t xml:space="preserve"> ~11% of the individuals were susceptible TB, which reassuringly is similar to the average in the general population </w:t>
      </w:r>
      <w:r>
        <w:t>(</w:t>
      </w:r>
      <w:r w:rsidR="00B20CFF">
        <w:t>10%</w:t>
      </w:r>
      <w:r>
        <w:t>)</w:t>
      </w:r>
      <w:r w:rsidR="00B20CFF">
        <w:t xml:space="preserve">. Despite this success, our results must be interpreted cautiously as a proof-of-principle due to our very small sample size of only 5 susceptible individuals. </w:t>
      </w:r>
      <w:r>
        <w:t>That said,</w:t>
      </w:r>
      <w:bookmarkStart w:id="13" w:name="_GoBack"/>
      <w:bookmarkEnd w:id="13"/>
      <w:r w:rsidR="00EB3993">
        <w:t xml:space="preserve">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14:paraId="546AF777" w14:textId="77777777" w:rsidR="00B7008F" w:rsidRDefault="00552AAA" w:rsidP="0053091A">
      <w:pPr>
        <w:pStyle w:val="Heading1"/>
      </w:pPr>
      <w:bookmarkStart w:id="14" w:name="methods"/>
      <w:bookmarkEnd w:id="8"/>
      <w:r>
        <w:t>Methods</w:t>
      </w:r>
      <w:bookmarkStart w:id="15" w:name="references"/>
      <w:bookmarkEnd w:id="14"/>
    </w:p>
    <w:p w14:paraId="26A46CB2" w14:textId="77777777" w:rsidR="00A00EA4" w:rsidRDefault="00A00EA4" w:rsidP="0053091A">
      <w:pPr>
        <w:pStyle w:val="Heading2"/>
      </w:pPr>
      <w:r>
        <w:t>Ethics Statement</w:t>
      </w:r>
    </w:p>
    <w:p w14:paraId="0CEAA1B0" w14:textId="77777777"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14:paraId="2049992F" w14:textId="77777777" w:rsidR="00580FF7" w:rsidRDefault="00580FF7" w:rsidP="0053091A">
      <w:pPr>
        <w:pStyle w:val="Heading2"/>
      </w:pPr>
      <w:r>
        <w:t>Sample collection</w:t>
      </w:r>
    </w:p>
    <w:p w14:paraId="4286550C" w14:textId="77777777"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14:paraId="3679974F" w14:textId="77777777" w:rsidR="00AD66EC" w:rsidRDefault="00AD66EC" w:rsidP="00AD66EC">
      <w:pPr>
        <w:pStyle w:val="Heading2"/>
      </w:pPr>
      <w:r>
        <w:t>Isolation and infection of dendritic cells</w:t>
      </w:r>
    </w:p>
    <w:p w14:paraId="71AE8564" w14:textId="77777777" w:rsidR="00AD66EC" w:rsidRDefault="001278A7" w:rsidP="00AD66EC">
      <w:r>
        <w:t>We performed these experiments as previously described \cite{Barreiro2012}. Briefly, w</w:t>
      </w:r>
      <w:r w:rsidR="00074F4A">
        <w:t xml:space="preserve">e isolated </w:t>
      </w:r>
      <w:r w:rsidR="00BF18FF">
        <w:t xml:space="preserve">mononuclear cells </w:t>
      </w:r>
      <w:r w:rsidR="00074F4A">
        <w:t xml:space="preserve">from the whole blood samples </w:t>
      </w:r>
      <w:r w:rsidR="00BF18FF">
        <w:t xml:space="preserve">using Ficoll-Paque centrifugation, </w:t>
      </w:r>
      <w:r w:rsidR="00BF18FF">
        <w:lastRenderedPageBreak/>
        <w:t xml:space="preserve">extracted monocytes via CD14 positive selection, and differentiated the monocytes into dendritic 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14:paraId="4F404969" w14:textId="77777777" w:rsidR="00980DAB" w:rsidRDefault="00980DAB" w:rsidP="00980DAB">
      <w:pPr>
        <w:pStyle w:val="Heading2"/>
      </w:pPr>
      <w:r>
        <w:t>RNA extraction and sequencing</w:t>
      </w:r>
    </w:p>
    <w:p w14:paraId="704D1330" w14:textId="77777777"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14:paraId="57E614AB" w14:textId="77777777" w:rsidR="00F21CBB" w:rsidRDefault="00F21CBB" w:rsidP="00F21CBB">
      <w:pPr>
        <w:pStyle w:val="Heading2"/>
      </w:pPr>
      <w:r>
        <w:t>Read mapping</w:t>
      </w:r>
    </w:p>
    <w:p w14:paraId="30B3C441" w14:textId="77777777" w:rsidR="00F21CBB" w:rsidRPr="00F21CBB" w:rsidRDefault="00F21CBB" w:rsidP="00F21CBB">
      <w:r>
        <w:t>We mapped reads to human gen</w:t>
      </w:r>
      <w:r w:rsidR="0091497F">
        <w:t xml:space="preserve">ome hg38 (GRCh38) using Subread </w:t>
      </w:r>
      <w:r w:rsidR="00347EC2">
        <w:t xml:space="preserve">\cite{Liao2013} </w:t>
      </w:r>
      <w:r w:rsidR="0091497F">
        <w:t>and discarded non-uniquely mapping reads. We</w:t>
      </w:r>
      <w:r w:rsidR="0008458C">
        <w:t xml:space="preserve"> downloaded the exon coordinates of 19,800 Ensembl</w:t>
      </w:r>
      <w:r w:rsidR="00D30B90">
        <w:t xml:space="preserve"> \cite{</w:t>
      </w:r>
      <w:r w:rsidR="00D30B90" w:rsidRPr="00057537">
        <w:t>Yates2016</w:t>
      </w:r>
      <w:r w:rsidR="00D30B90">
        <w:t xml:space="preserve">} </w:t>
      </w:r>
      <w:r w:rsidR="0008458C">
        <w:t>protein-coding genes (Ensembl 83,</w:t>
      </w:r>
      <w:r w:rsidR="0008458C" w:rsidRPr="0091497F">
        <w:t xml:space="preserve"> Dec 2015</w:t>
      </w:r>
      <w:r w:rsidR="0008458C">
        <w:t xml:space="preserve">, </w:t>
      </w:r>
      <w:r w:rsidR="0008458C" w:rsidRPr="0091497F">
        <w:t>GRCh38.p5</w:t>
      </w:r>
      <w:r w:rsidR="0008458C">
        <w:t xml:space="preserve">) using the R/Bioconductor </w:t>
      </w:r>
      <w:r w:rsidR="00D70045">
        <w:t xml:space="preserve">\cite{Huber2015} </w:t>
      </w:r>
      <w:r w:rsidR="0008458C">
        <w:t xml:space="preserve">package biomaRt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featureCounts</w:t>
      </w:r>
      <w:r w:rsidR="00347EC2">
        <w:t xml:space="preserve"> \cite{</w:t>
      </w:r>
      <w:r w:rsidR="00347EC2" w:rsidRPr="00347EC2">
        <w:t>Liao2014</w:t>
      </w:r>
      <w:r w:rsidR="00347EC2">
        <w:t>}</w:t>
      </w:r>
      <w:r w:rsidR="0091497F">
        <w:t>.</w:t>
      </w:r>
    </w:p>
    <w:p w14:paraId="7B7CCD2C" w14:textId="77777777" w:rsidR="00980DAB" w:rsidRDefault="00980DAB" w:rsidP="00980DAB">
      <w:pPr>
        <w:pStyle w:val="Heading2"/>
      </w:pPr>
      <w:r>
        <w:t>Quality control</w:t>
      </w:r>
    </w:p>
    <w:p w14:paraId="7DD80FD6" w14:textId="77777777"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23292C">
        <w:t>, Supplementary Data S1</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w:t>
      </w:r>
      <w:r w:rsidR="002112C2">
        <w:t xml:space="preserve"> two standard deviations of</w:t>
      </w:r>
      <w:r w:rsidR="00B021AE">
        <w:t xml:space="preserve"> the mean </w:t>
      </w:r>
      <w:r w:rsidR="002112C2">
        <w:t>for</w:t>
      </w:r>
      <w:r w:rsidR="00B021AE">
        <w:t xml:space="preserve"> the first six PCs. Furthermore, for the first PC which separated the samples by treatment, we calculated a separate mean for the noninfected and infected samples.</w:t>
      </w:r>
    </w:p>
    <w:p w14:paraId="64E47283" w14:textId="77777777" w:rsidR="00F63AF5" w:rsidRDefault="00F63AF5" w:rsidP="00980DAB"/>
    <w:p w14:paraId="2B09E97A" w14:textId="77777777" w:rsidR="00F63AF5" w:rsidRPr="00980DAB" w:rsidRDefault="00F63AF5" w:rsidP="00980DAB">
      <w:r>
        <w:t xml:space="preserve">After filtering lowly expressed genes and removing outliers, we recalculated the PCA to check for any potential confounding technical batch effects (Supplementary Fig. \ref{fig:batch}). </w:t>
      </w:r>
      <w:r>
        <w:lastRenderedPageBreak/>
        <w:t xml:space="preserve">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\ref{fig:process})</w:t>
      </w:r>
      <w:r w:rsidR="001A2E28">
        <w:t>. Infection batch correlated with PCs 3 and 5; however, we verified that this variation was not confounded with our primary outcome of interest, TB susceptibility (Supplementary Fig. \ref{fig:infection}).</w:t>
      </w:r>
    </w:p>
    <w:p w14:paraId="364EB7A6" w14:textId="77777777" w:rsidR="002405DF" w:rsidRDefault="002405DF" w:rsidP="00201A05">
      <w:pPr>
        <w:pStyle w:val="Heading2"/>
      </w:pPr>
      <w:r>
        <w:t>Differential expression analysis</w:t>
      </w:r>
    </w:p>
    <w:p w14:paraId="04E83C57" w14:textId="77777777"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14:paraId="5C5F91B2" w14:textId="77777777" w:rsidR="002D392E" w:rsidRDefault="002D392E" w:rsidP="00137DFE">
      <w:pPr>
        <w:pStyle w:val="LaTeX"/>
      </w:pPr>
      <w:r>
        <w:t xml:space="preserve">\begin{equation} </w:t>
      </w:r>
      <w:r w:rsidR="00F73AB9">
        <w:t>\label{eq:limma</w:t>
      </w:r>
      <w:r w:rsidRPr="002D392E">
        <w:t>}</w:t>
      </w:r>
    </w:p>
    <w:p w14:paraId="59654D6D" w14:textId="77777777"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14:paraId="1E5840CA" w14:textId="77777777" w:rsidR="002D392E" w:rsidRDefault="002D392E" w:rsidP="00137DFE">
      <w:pPr>
        <w:pStyle w:val="LaTeX"/>
      </w:pPr>
      <w:r>
        <w:t>\end{equation}</w:t>
      </w:r>
    </w:p>
    <w:p w14:paraId="3ABA5854" w14:textId="77777777"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 xml:space="preserve">effect of treatment in susceptible individuals, and $I$ is the random effect of individual. The random individual effect was implemented using the limma function duplicateCorrelation </w:t>
      </w:r>
      <w:r w:rsidR="00723BBA">
        <w:t>\</w:t>
      </w:r>
      <w:r>
        <w:t>cite</w:t>
      </w:r>
      <w:r w:rsidR="00723BBA">
        <w:t>{Smyth2005}</w:t>
      </w:r>
      <w:r>
        <w:t>. To jointly model the data with voom and duplicateCorrelation, we followed the recommended best practice of running both voom and duplicateCorrelation twice in succession</w:t>
      </w:r>
      <w:r w:rsidR="00F96259">
        <w:t xml:space="preserve"> </w:t>
      </w:r>
      <w:r w:rsidR="00583608">
        <w:t>\</w:t>
      </w:r>
      <w:r w:rsidR="00F96259">
        <w:t>cite</w:t>
      </w:r>
      <w:r w:rsidR="00583608">
        <w:t>{</w:t>
      </w:r>
      <w:r w:rsidR="00503113">
        <w:t>L</w:t>
      </w:r>
      <w:r w:rsidR="00583608">
        <w:t>i</w:t>
      </w:r>
      <w:r w:rsidR="00503113">
        <w:t>u</w:t>
      </w:r>
      <w:r w:rsidR="00583608">
        <w:t>2015}</w:t>
      </w:r>
      <w:r>
        <w:t>.</w:t>
      </w:r>
    </w:p>
    <w:p w14:paraId="19DB6B48" w14:textId="77777777" w:rsidR="00F86135" w:rsidRDefault="00F86135" w:rsidP="00201A05"/>
    <w:p w14:paraId="11AF57B1" w14:textId="77777777" w:rsidR="00F86135" w:rsidRDefault="00F86135" w:rsidP="00201A05">
      <w:r>
        <w:t>We used the model to test 4 separate hypotheses</w:t>
      </w:r>
      <w:r w:rsidR="005476D7">
        <w:t xml:space="preserve"> (Supplementary Data S2)</w:t>
      </w:r>
      <w:r>
        <w:t>. We identified genes which were differentially expressed</w:t>
      </w:r>
      <w:r w:rsidR="002B057B">
        <w:t xml:space="preserve"> (DE)</w:t>
      </w:r>
      <w:r>
        <w:t xml:space="preserve"> between infected and noninfected DCs of resistant individuals by testing $\beta_{treat}</w:t>
      </w:r>
      <w:r w:rsidR="001863A9">
        <w:t xml:space="preserve"> </w:t>
      </w:r>
      <w:r w:rsidR="004E24F1">
        <w:t>=</w:t>
      </w:r>
      <w:r>
        <w:t xml:space="preserve"> 0$, </w:t>
      </w:r>
      <w:r w:rsidR="00A84A8B">
        <w:t xml:space="preserve">genes which were </w:t>
      </w:r>
      <w:r w:rsidR="002B057B">
        <w:t>DE</w:t>
      </w:r>
      <w:r w:rsidR="00A84A8B">
        <w:t xml:space="preserve">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w:t>
      </w:r>
      <w:r w:rsidR="002B057B">
        <w:t>DE</w:t>
      </w:r>
      <w:r w:rsidR="0042029E">
        <w:t xml:space="preserve"> between susceptible and resistant individuals in the noninfected state by testing $\beta_{status} = 0$, and genes which were </w:t>
      </w:r>
      <w:r w:rsidR="002B057B">
        <w:t>DE</w:t>
      </w:r>
      <w:r w:rsidR="0042029E">
        <w:t xml:space="preserve">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14:paraId="0EC3CD10" w14:textId="77777777" w:rsidR="00980DAB" w:rsidRDefault="00EE7DC3" w:rsidP="00EE7DC3">
      <w:pPr>
        <w:pStyle w:val="Heading2"/>
      </w:pPr>
      <w:r>
        <w:lastRenderedPageBreak/>
        <w:t>Comparison to GWAS results</w:t>
      </w:r>
    </w:p>
    <w:p w14:paraId="089E954A" w14:textId="77777777"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w:t>
      </w:r>
      <w:r w:rsidR="004F1D96">
        <w:t xml:space="preserve"> \cite{Huber2015}</w:t>
      </w:r>
      <w:r w:rsidR="005D2FB8">
        <w:t xml:space="preserve"> package </w:t>
      </w:r>
      <w:r w:rsidR="005D2FB8" w:rsidRPr="005D2FB8">
        <w:t>SNPlocs.Hsapiens.dbSNP144.GRCh38</w:t>
      </w:r>
      <w:r w:rsidR="005D2FB8">
        <w:t xml:space="preserve"> and </w:t>
      </w:r>
      <w:r w:rsidR="006C0E75">
        <w:t>matched SNPs to nearby genes using GenomicRanges</w:t>
      </w:r>
      <w:r w:rsidR="004F1D96">
        <w:t xml:space="preserve"> \cite{</w:t>
      </w:r>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5476D7">
        <w:t>, Supplementary Data S3</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14:paraId="46D1ED62" w14:textId="77777777" w:rsidR="00EE7DC3" w:rsidRDefault="00EE7DC3" w:rsidP="00EE7DC3">
      <w:pPr>
        <w:pStyle w:val="Heading2"/>
      </w:pPr>
      <w:r>
        <w:t>Classifier</w:t>
      </w:r>
    </w:p>
    <w:p w14:paraId="7E8C9699" w14:textId="77777777"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 xml:space="preserve">we corrected for the large, expected batch effect between the two studies by regressing out the first </w:t>
      </w:r>
      <w:r w:rsidR="00F4369D">
        <w:t>PC</w:t>
      </w:r>
      <w:r w:rsidR="00AD494C">
        <w:t xml:space="preserve"> of the combined </w:t>
      </w:r>
      <w:r w:rsidR="00AD494C">
        <w:lastRenderedPageBreak/>
        <w:t>expression data using the limma function removeBatchEffect \cite{Ri</w:t>
      </w:r>
      <w:r w:rsidR="00EC6F33">
        <w:t>tchie2015} (Supplementary Fig. \ref{</w:t>
      </w:r>
      <w:r w:rsidR="00A5616F">
        <w:t>fig:</w:t>
      </w:r>
      <w:r w:rsidR="00EC6F33">
        <w:t>combined-pca}</w:t>
      </w:r>
      <w:r w:rsidR="00AD494C">
        <w:t>).</w:t>
      </w:r>
    </w:p>
    <w:p w14:paraId="727A6F27" w14:textId="77777777" w:rsidR="00D41B60" w:rsidRDefault="00D41B60" w:rsidP="00EE7DC3"/>
    <w:p w14:paraId="5E0729DF" w14:textId="77777777" w:rsidR="00D41B60" w:rsidRDefault="00D41B60" w:rsidP="00EE7DC3">
      <w:r>
        <w:t xml:space="preserve">To identify genes </w:t>
      </w:r>
      <w:r w:rsidR="00370A5B">
        <w:t>to use in the classifier, we performed a differential expression analysis on the normalized, batch-corrected data from the current study using the same approach described above (with the exception that we no longer used voom</w:t>
      </w:r>
      <w:r w:rsidR="001A43B7">
        <w:t xml:space="preserve"> \cite{Law2014}</w:t>
      </w:r>
      <w:r w:rsidR="00370A5B">
        <w:t xml:space="preserve"> since the data were no longer counts). </w:t>
      </w:r>
      <w:r w:rsidR="00340E0D">
        <w:t>Specifically, w</w:t>
      </w:r>
      <w:r w:rsidR="00D113E8">
        <w:t>e tested for differential expression between susceptible and resistant individuals in the no</w:t>
      </w:r>
      <w:r w:rsidR="00CC1939">
        <w:t xml:space="preserve">ninfected state and identified </w:t>
      </w:r>
      <w:r w:rsidR="00340E0D">
        <w:t xml:space="preserve">sets of genes to use in the </w:t>
      </w:r>
      <w:r w:rsidR="00A90A31">
        <w:t>classifier</w:t>
      </w:r>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r w:rsidR="00132DA2">
        <w:t>We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F0637C">
        <w:t>, Supplementary Data S4</w:t>
      </w:r>
      <w:r w:rsidR="00A12A84">
        <w:t>)</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expression levels in the noninfected state across both studies (Supplementary Fig. \ref{fig:class-exp}).</w:t>
      </w:r>
    </w:p>
    <w:p w14:paraId="53DE2FD8" w14:textId="77777777" w:rsidR="00393355" w:rsidRDefault="00393355" w:rsidP="00393355">
      <w:pPr>
        <w:pStyle w:val="Heading2"/>
      </w:pPr>
      <w:r>
        <w:lastRenderedPageBreak/>
        <w:t>Software implementation</w:t>
      </w:r>
    </w:p>
    <w:p w14:paraId="0DDE5786" w14:textId="77777777"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Snakemake \</w:t>
      </w:r>
      <w:r w:rsidR="009A24AA">
        <w:t>cite</w:t>
      </w:r>
      <w:r w:rsidR="009E1925">
        <w:t>{</w:t>
      </w:r>
      <w:r w:rsidR="009E1925" w:rsidRPr="009E1925">
        <w:t>Koster2012</w:t>
      </w:r>
      <w:r w:rsidR="009E1925">
        <w:t>}</w:t>
      </w:r>
      <w:r>
        <w:t>. Our processing pipeline used the general bioinformatics software FastQC</w:t>
      </w:r>
      <w:r w:rsidR="00F126C0">
        <w:t xml:space="preserve"> (</w:t>
      </w:r>
      <w:r w:rsidR="00F126C0" w:rsidRPr="00F126C0">
        <w:t>http://www.bioinformatics.babraham.ac.uk/projects/fastqc/</w:t>
      </w:r>
      <w:r w:rsidR="00F126C0">
        <w:t>)</w:t>
      </w:r>
      <w:r>
        <w:t>, MultiQC</w:t>
      </w:r>
      <w:r w:rsidR="00AD7EB3">
        <w:t xml:space="preserve"> \cite{Ewels2016}</w:t>
      </w:r>
      <w:r>
        <w:t>, samtools</w:t>
      </w:r>
      <w:r w:rsidR="00271127">
        <w:t xml:space="preserve"> \cite{Li2009}</w:t>
      </w:r>
      <w:r>
        <w:t>, and bioawk</w:t>
      </w:r>
      <w:r w:rsidR="00F126C0">
        <w:t xml:space="preserve"> (</w:t>
      </w:r>
      <w:r w:rsidR="00F126C0" w:rsidRPr="00F126C0">
        <w:t>https://github.com/lh3/bioawk</w:t>
      </w:r>
      <w:r w:rsidR="00F126C0">
        <w:t>)</w:t>
      </w:r>
      <w:r>
        <w:t>. We used R</w:t>
      </w:r>
      <w:r w:rsidR="00335B07">
        <w:t xml:space="preserve"> \cite{R2015}</w:t>
      </w:r>
      <w:r>
        <w:t xml:space="preserve"> for all statistics and data visualization.</w:t>
      </w:r>
      <w:r w:rsidR="00A90A31">
        <w:t xml:space="preserve"> We </w:t>
      </w:r>
      <w:r w:rsidR="00057537">
        <w:t>obtained gene annotation information from</w:t>
      </w:r>
      <w:r w:rsidR="00A90A31">
        <w:t xml:space="preserve"> the Ensembl </w:t>
      </w:r>
      <w:r w:rsidR="00057537">
        <w:t>\cite{</w:t>
      </w:r>
      <w:r w:rsidR="00057537" w:rsidRPr="00057537">
        <w:t>Yates2016</w:t>
      </w:r>
      <w:r w:rsidR="00057537">
        <w:t xml:space="preserve">} </w:t>
      </w:r>
      <w:r w:rsidR="00A90A31">
        <w:t xml:space="preserve">and Lynx </w:t>
      </w:r>
      <w:r w:rsidR="00057537">
        <w:t>\cite{</w:t>
      </w:r>
      <w:r w:rsidR="00057537" w:rsidRPr="00057537">
        <w:t>Sulakhe2016</w:t>
      </w:r>
      <w:r w:rsidR="00057537">
        <w:t xml:space="preserve">} </w:t>
      </w:r>
      <w:r w:rsidR="00A90A31">
        <w:t>databases.</w:t>
      </w:r>
      <w:r>
        <w:t xml:space="preserve">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14:paraId="25D0724B" w14:textId="77777777" w:rsidR="00393355" w:rsidRDefault="00393355" w:rsidP="00393355">
      <w:pPr>
        <w:pStyle w:val="Heading2"/>
      </w:pPr>
      <w:r>
        <w:t>Data availability</w:t>
      </w:r>
    </w:p>
    <w:p w14:paraId="48BD6D14" w14:textId="77777777"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w:t>
      </w:r>
      <w:r w:rsidR="00A62131">
        <w:t>RNA-seq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14:paraId="260E7D32" w14:textId="77777777" w:rsidR="00C12D99" w:rsidRDefault="00C12D99" w:rsidP="00C12D99">
      <w:pPr>
        <w:pStyle w:val="Heading1"/>
      </w:pPr>
      <w:r w:rsidRPr="00C12D99">
        <w:t>Acknowledgements</w:t>
      </w:r>
    </w:p>
    <w:p w14:paraId="14E5B458" w14:textId="77777777"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14:paraId="4B444AE4" w14:textId="77777777" w:rsidR="002405DF" w:rsidRDefault="002405DF" w:rsidP="0053091A">
      <w:pPr>
        <w:pStyle w:val="Heading1"/>
      </w:pPr>
      <w:r>
        <w:t>Author Contributions</w:t>
      </w:r>
    </w:p>
    <w:p w14:paraId="15F9EC24" w14:textId="77777777" w:rsidR="00A70383" w:rsidRDefault="002405DF" w:rsidP="009A1DA8">
      <w:r>
        <w:t>YG, LT</w:t>
      </w:r>
      <w:r w:rsidR="001D1AF1">
        <w:t>,</w:t>
      </w:r>
      <w:r>
        <w:t xml:space="preserve"> and LBB conceived of the study and designed the experiments. </w:t>
      </w:r>
      <w:r w:rsidR="00A90A31">
        <w:t xml:space="preserve">LT coordinated </w:t>
      </w:r>
      <w:r w:rsidR="008250D9">
        <w:t>sample collection</w:t>
      </w:r>
      <w:r w:rsidR="00A90A31">
        <w:t xml:space="preserve"> and</w:t>
      </w:r>
      <w:r>
        <w:t xml:space="preserve">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14:paraId="2FE4D65A" w14:textId="77777777" w:rsidR="002D3912" w:rsidRDefault="002D3912" w:rsidP="009A1DA8"/>
    <w:p w14:paraId="79001A27" w14:textId="77777777" w:rsidR="009A1DA8" w:rsidRDefault="009A1DA8" w:rsidP="00137DFE">
      <w:pPr>
        <w:pStyle w:val="LaTeX"/>
      </w:pPr>
      <w:r>
        <w:t>\bibliography{references</w:t>
      </w:r>
      <w:r w:rsidRPr="00903812">
        <w:t>}</w:t>
      </w:r>
    </w:p>
    <w:bookmarkEnd w:id="15"/>
    <w:p w14:paraId="13F833BF" w14:textId="77777777" w:rsidR="00B27961" w:rsidRDefault="00B27961">
      <w:pPr>
        <w:spacing w:after="200" w:line="240" w:lineRule="auto"/>
        <w:jc w:val="left"/>
        <w:rPr>
          <w:rFonts w:eastAsiaTheme="majorEastAsia" w:cstheme="majorBidi"/>
          <w:b/>
          <w:bCs/>
          <w:color w:val="000000" w:themeColor="text1"/>
          <w:sz w:val="28"/>
          <w:szCs w:val="32"/>
        </w:rPr>
      </w:pPr>
      <w:r>
        <w:br w:type="page"/>
      </w:r>
    </w:p>
    <w:p w14:paraId="33E5D751" w14:textId="77777777" w:rsidR="00942E3D" w:rsidRDefault="00DB4486" w:rsidP="00060FD7">
      <w:pPr>
        <w:pStyle w:val="Heading1"/>
      </w:pPr>
      <w:r>
        <w:lastRenderedPageBreak/>
        <w:t>Supplementary Information</w:t>
      </w:r>
    </w:p>
    <w:p w14:paraId="1382095B" w14:textId="77777777" w:rsidR="000F07B1" w:rsidRDefault="000F07B1" w:rsidP="000F07B1">
      <w:pPr>
        <w:pStyle w:val="Heading2"/>
      </w:pPr>
      <w:r>
        <w:t>Supplementary Figures</w:t>
      </w:r>
    </w:p>
    <w:p w14:paraId="7EADB41B" w14:textId="77777777" w:rsidR="00A07AC1" w:rsidRDefault="003E01F9" w:rsidP="00A07AC1">
      <w:pPr>
        <w:jc w:val="center"/>
      </w:pPr>
      <w:r>
        <w:rPr>
          <w:noProof/>
        </w:rPr>
        <w:drawing>
          <wp:inline distT="0" distB="0" distL="0" distR="0" wp14:anchorId="1AA3B9D3" wp14:editId="161C990A">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8E37E05" w14:textId="77777777" w:rsidR="00A07AC1" w:rsidRDefault="00A07AC1" w:rsidP="00A07AC1">
      <w:pPr>
        <w:pStyle w:val="LaTeX"/>
      </w:pPr>
      <w:r>
        <w:t>\begin{figure}[ht]</w:t>
      </w:r>
    </w:p>
    <w:p w14:paraId="7A667CB9" w14:textId="77777777" w:rsidR="00A07AC1" w:rsidRDefault="00A07AC1" w:rsidP="00A07AC1">
      <w:pPr>
        <w:pStyle w:val="LaTeX"/>
      </w:pPr>
      <w:r>
        <w:t>\centering</w:t>
      </w:r>
    </w:p>
    <w:p w14:paraId="48CBCF86" w14:textId="77777777" w:rsidR="00A07AC1" w:rsidRDefault="00A07AC1" w:rsidP="00A07AC1">
      <w:pPr>
        <w:pStyle w:val="LaTeX"/>
      </w:pPr>
      <w:r>
        <w:t>\includegraphics[width=\linewidth]{../figure/processing.pdf}</w:t>
      </w:r>
    </w:p>
    <w:p w14:paraId="4DE52D82" w14:textId="77777777" w:rsidR="00A07AC1" w:rsidRDefault="00A07AC1" w:rsidP="00A07AC1">
      <w:pPr>
        <w:pStyle w:val="LaTeX"/>
      </w:pPr>
      <w:r>
        <w:t>\caption{</w:t>
      </w:r>
    </w:p>
    <w:p w14:paraId="6C0FA84B" w14:textId="77777777"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14:paraId="2FB83DCF" w14:textId="77777777" w:rsidR="00A07AC1" w:rsidRDefault="00A07AC1" w:rsidP="00A07AC1">
      <w:pPr>
        <w:pStyle w:val="LaTeX"/>
      </w:pPr>
      <w:r>
        <w:t>}</w:t>
      </w:r>
    </w:p>
    <w:p w14:paraId="4A27EBB7" w14:textId="77777777" w:rsidR="00A07AC1" w:rsidRDefault="00A07AC1" w:rsidP="00A07AC1">
      <w:pPr>
        <w:pStyle w:val="LaTeX"/>
      </w:pPr>
      <w:r>
        <w:t>\label{fig:process}</w:t>
      </w:r>
    </w:p>
    <w:p w14:paraId="788AAA30" w14:textId="77777777" w:rsidR="00A07AC1" w:rsidRDefault="00A07AC1" w:rsidP="00A07AC1">
      <w:pPr>
        <w:pStyle w:val="LaTeX"/>
      </w:pPr>
      <w:r>
        <w:t>\end{figure}</w:t>
      </w:r>
    </w:p>
    <w:p w14:paraId="7AAFE40D" w14:textId="77777777" w:rsidR="00A07AC1" w:rsidRPr="00A07AC1" w:rsidRDefault="00A07AC1" w:rsidP="00A07AC1"/>
    <w:p w14:paraId="48CCC739" w14:textId="77777777" w:rsidR="00737356" w:rsidRPr="00737356" w:rsidRDefault="00511B60" w:rsidP="00511B60">
      <w:pPr>
        <w:jc w:val="center"/>
      </w:pPr>
      <w:r>
        <w:rPr>
          <w:noProof/>
        </w:rPr>
        <w:lastRenderedPageBreak/>
        <w:drawing>
          <wp:inline distT="0" distB="0" distL="0" distR="0" wp14:anchorId="6227CFC0" wp14:editId="2C59DEA7">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7303C353" w14:textId="77777777" w:rsidR="00737356" w:rsidRDefault="00737356" w:rsidP="00737356">
      <w:pPr>
        <w:pStyle w:val="LaTeX"/>
      </w:pPr>
      <w:r>
        <w:t>\begin{figure}[ht]</w:t>
      </w:r>
    </w:p>
    <w:p w14:paraId="72693D63" w14:textId="77777777" w:rsidR="00737356" w:rsidRDefault="00737356" w:rsidP="00737356">
      <w:pPr>
        <w:pStyle w:val="LaTeX"/>
      </w:pPr>
      <w:r>
        <w:t>\centering</w:t>
      </w:r>
    </w:p>
    <w:p w14:paraId="4A64F115" w14:textId="77777777" w:rsidR="00737356" w:rsidRDefault="00737356" w:rsidP="00737356">
      <w:pPr>
        <w:pStyle w:val="LaTeX"/>
      </w:pPr>
      <w:r>
        <w:t>\includegraphics[width=\linewidth]{../figure/gene-exp-distribution</w:t>
      </w:r>
      <w:r w:rsidR="005C623A">
        <w:t>.pdf</w:t>
      </w:r>
      <w:r>
        <w:t>}</w:t>
      </w:r>
    </w:p>
    <w:p w14:paraId="1D817EAF" w14:textId="77777777" w:rsidR="00737356" w:rsidRDefault="00737356" w:rsidP="00737356">
      <w:pPr>
        <w:pStyle w:val="LaTeX"/>
      </w:pPr>
      <w:r>
        <w:t>\caption{</w:t>
      </w:r>
    </w:p>
    <w:p w14:paraId="0BE5C111" w14:textId="77777777"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14:paraId="082C5337" w14:textId="77777777" w:rsidR="00737356" w:rsidRDefault="00737356" w:rsidP="00737356">
      <w:pPr>
        <w:pStyle w:val="LaTeX"/>
      </w:pPr>
      <w:r>
        <w:t>}</w:t>
      </w:r>
    </w:p>
    <w:p w14:paraId="278114A3" w14:textId="77777777" w:rsidR="00737356" w:rsidRDefault="00737356" w:rsidP="00737356">
      <w:pPr>
        <w:pStyle w:val="LaTeX"/>
      </w:pPr>
      <w:r>
        <w:t>\label{fig:</w:t>
      </w:r>
      <w:r w:rsidR="00540CCF">
        <w:t>gene</w:t>
      </w:r>
      <w:r>
        <w:t>}</w:t>
      </w:r>
    </w:p>
    <w:p w14:paraId="1E0178C6" w14:textId="77777777" w:rsidR="00737356" w:rsidRDefault="00737356" w:rsidP="00737356">
      <w:pPr>
        <w:pStyle w:val="LaTeX"/>
      </w:pPr>
      <w:r>
        <w:t>\end{figure}</w:t>
      </w:r>
    </w:p>
    <w:p w14:paraId="39830950" w14:textId="77777777" w:rsidR="00A30CA8" w:rsidRDefault="00A30CA8" w:rsidP="00A30CA8">
      <w:pPr>
        <w:jc w:val="center"/>
      </w:pPr>
      <w:r>
        <w:rPr>
          <w:noProof/>
        </w:rPr>
        <w:lastRenderedPageBreak/>
        <w:drawing>
          <wp:inline distT="0" distB="0" distL="0" distR="0" wp14:anchorId="0EBF87B6" wp14:editId="64C5F8D4">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309238B" w14:textId="77777777" w:rsidR="00A30CA8" w:rsidRDefault="00A30CA8" w:rsidP="00A30CA8">
      <w:pPr>
        <w:pStyle w:val="LaTeX"/>
      </w:pPr>
      <w:r>
        <w:t>\begin{figure}[ht]</w:t>
      </w:r>
    </w:p>
    <w:p w14:paraId="40A57166" w14:textId="77777777" w:rsidR="00A30CA8" w:rsidRDefault="00A30CA8" w:rsidP="00A30CA8">
      <w:pPr>
        <w:pStyle w:val="LaTeX"/>
      </w:pPr>
      <w:r>
        <w:t>\centering</w:t>
      </w:r>
    </w:p>
    <w:p w14:paraId="25FC3118" w14:textId="77777777" w:rsidR="00A30CA8" w:rsidRDefault="00A30CA8" w:rsidP="00A30CA8">
      <w:pPr>
        <w:pStyle w:val="LaTeX"/>
      </w:pPr>
      <w:r>
        <w:t>\includegraphics[width=\linewidth]{../figure/heatmap-all-samples.pdf}</w:t>
      </w:r>
    </w:p>
    <w:p w14:paraId="56F433CB" w14:textId="77777777" w:rsidR="00A30CA8" w:rsidRDefault="00A30CA8" w:rsidP="00A30CA8">
      <w:pPr>
        <w:pStyle w:val="LaTeX"/>
      </w:pPr>
      <w:r>
        <w:t>\caption{</w:t>
      </w:r>
    </w:p>
    <w:p w14:paraId="7173D6EC" w14:textId="77777777"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14:paraId="04091652" w14:textId="77777777" w:rsidR="00A30CA8" w:rsidRDefault="00A30CA8" w:rsidP="00A30CA8">
      <w:pPr>
        <w:pStyle w:val="LaTeX"/>
      </w:pPr>
      <w:r>
        <w:t>}</w:t>
      </w:r>
    </w:p>
    <w:p w14:paraId="6BAA018E" w14:textId="77777777" w:rsidR="00A30CA8" w:rsidRDefault="00A30CA8" w:rsidP="00A30CA8">
      <w:pPr>
        <w:pStyle w:val="LaTeX"/>
      </w:pPr>
      <w:r>
        <w:t>\label{fig:heat-all}</w:t>
      </w:r>
    </w:p>
    <w:p w14:paraId="740AA682" w14:textId="77777777" w:rsidR="00A30CA8" w:rsidRDefault="00A30CA8" w:rsidP="00A30CA8">
      <w:pPr>
        <w:pStyle w:val="LaTeX"/>
      </w:pPr>
      <w:r>
        <w:t>\end{figure}</w:t>
      </w:r>
    </w:p>
    <w:p w14:paraId="57A2C83B" w14:textId="77777777" w:rsidR="00A30CA8" w:rsidRDefault="00A30CA8" w:rsidP="00A30CA8">
      <w:pPr>
        <w:jc w:val="center"/>
      </w:pPr>
      <w:r>
        <w:rPr>
          <w:noProof/>
        </w:rPr>
        <w:lastRenderedPageBreak/>
        <w:drawing>
          <wp:inline distT="0" distB="0" distL="0" distR="0" wp14:anchorId="19E7C133" wp14:editId="6AEB6F62">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AE854C8" w14:textId="77777777" w:rsidR="00A30CA8" w:rsidRDefault="00A30CA8" w:rsidP="00A30CA8">
      <w:pPr>
        <w:pStyle w:val="LaTeX"/>
      </w:pPr>
      <w:r>
        <w:t>\begin{figure}[ht]</w:t>
      </w:r>
    </w:p>
    <w:p w14:paraId="5E092BDC" w14:textId="77777777" w:rsidR="00A30CA8" w:rsidRDefault="00A30CA8" w:rsidP="00A30CA8">
      <w:pPr>
        <w:pStyle w:val="LaTeX"/>
      </w:pPr>
      <w:r>
        <w:t>\centering</w:t>
      </w:r>
    </w:p>
    <w:p w14:paraId="20E48166" w14:textId="77777777" w:rsidR="00A30CA8" w:rsidRDefault="00A30CA8" w:rsidP="00A30CA8">
      <w:pPr>
        <w:pStyle w:val="LaTeX"/>
      </w:pPr>
      <w:r>
        <w:t>\includegraphics[width=\linewidth]{../figure/heatmap-</w:t>
      </w:r>
      <w:r w:rsidR="00E32FBF">
        <w:t>no-outliers</w:t>
      </w:r>
      <w:r>
        <w:t>.pdf}</w:t>
      </w:r>
    </w:p>
    <w:p w14:paraId="7944DDCC" w14:textId="77777777" w:rsidR="00A30CA8" w:rsidRDefault="00A30CA8" w:rsidP="00A30CA8">
      <w:pPr>
        <w:pStyle w:val="LaTeX"/>
      </w:pPr>
      <w:r>
        <w:t>\caption{</w:t>
      </w:r>
    </w:p>
    <w:p w14:paraId="61FDE0B4" w14:textId="77777777"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14:paraId="63A2547F" w14:textId="77777777" w:rsidR="00A30CA8" w:rsidRDefault="00A30CA8" w:rsidP="00A30CA8">
      <w:pPr>
        <w:pStyle w:val="LaTeX"/>
      </w:pPr>
      <w:r>
        <w:t>}</w:t>
      </w:r>
    </w:p>
    <w:p w14:paraId="659076AF" w14:textId="77777777" w:rsidR="00A30CA8" w:rsidRDefault="00A30CA8" w:rsidP="00A30CA8">
      <w:pPr>
        <w:pStyle w:val="LaTeX"/>
      </w:pPr>
      <w:r>
        <w:t>\label{fig:</w:t>
      </w:r>
      <w:r w:rsidR="00E32FBF">
        <w:t>heat-filt</w:t>
      </w:r>
      <w:r>
        <w:t>}</w:t>
      </w:r>
    </w:p>
    <w:p w14:paraId="7225FCA6" w14:textId="77777777" w:rsidR="00A30CA8" w:rsidRDefault="00A30CA8" w:rsidP="00A30CA8">
      <w:pPr>
        <w:pStyle w:val="LaTeX"/>
      </w:pPr>
      <w:r>
        <w:t>\end{figure}</w:t>
      </w:r>
    </w:p>
    <w:p w14:paraId="365A6DC8" w14:textId="77777777" w:rsidR="00A30CA8" w:rsidRDefault="00A30CA8" w:rsidP="00737356">
      <w:pPr>
        <w:pStyle w:val="LaTeX"/>
      </w:pPr>
    </w:p>
    <w:p w14:paraId="463266B3" w14:textId="77777777" w:rsidR="00B55B3C" w:rsidRDefault="00511B60" w:rsidP="00511B60">
      <w:pPr>
        <w:jc w:val="center"/>
      </w:pPr>
      <w:r>
        <w:rPr>
          <w:noProof/>
        </w:rPr>
        <w:lastRenderedPageBreak/>
        <w:drawing>
          <wp:inline distT="0" distB="0" distL="0" distR="0" wp14:anchorId="651CE2BC" wp14:editId="203321F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69AC117" w14:textId="77777777" w:rsidR="00663D43" w:rsidRDefault="00663D43" w:rsidP="00663D43">
      <w:pPr>
        <w:pStyle w:val="LaTeX"/>
      </w:pPr>
      <w:r>
        <w:t>\begin{figure}[ht]</w:t>
      </w:r>
    </w:p>
    <w:p w14:paraId="49EE3D96" w14:textId="77777777" w:rsidR="00663D43" w:rsidRDefault="00663D43" w:rsidP="00663D43">
      <w:pPr>
        <w:pStyle w:val="LaTeX"/>
      </w:pPr>
      <w:r>
        <w:t>\centering</w:t>
      </w:r>
    </w:p>
    <w:p w14:paraId="53BD801A" w14:textId="77777777" w:rsidR="00663D43" w:rsidRDefault="00663D43" w:rsidP="00663D43">
      <w:pPr>
        <w:pStyle w:val="LaTeX"/>
      </w:pPr>
      <w:r>
        <w:t>\includegraphics[width=\linewidth]{../figure/outliers.pdf}</w:t>
      </w:r>
    </w:p>
    <w:p w14:paraId="27E852C4" w14:textId="77777777" w:rsidR="00663D43" w:rsidRDefault="00663D43" w:rsidP="00663D43">
      <w:pPr>
        <w:pStyle w:val="LaTeX"/>
      </w:pPr>
      <w:r>
        <w:t>\caption{</w:t>
      </w:r>
    </w:p>
    <w:p w14:paraId="16BC0392" w14:textId="77777777"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14:paraId="45E1ADC3" w14:textId="77777777" w:rsidR="00663D43" w:rsidRDefault="00663D43" w:rsidP="00663D43">
      <w:pPr>
        <w:pStyle w:val="LaTeX"/>
      </w:pPr>
      <w:r>
        <w:t>}</w:t>
      </w:r>
    </w:p>
    <w:p w14:paraId="7DD3F4BE" w14:textId="77777777" w:rsidR="00663D43" w:rsidRDefault="00663D43" w:rsidP="00663D43">
      <w:pPr>
        <w:pStyle w:val="LaTeX"/>
      </w:pPr>
      <w:r>
        <w:t>\label{fig:outliers}</w:t>
      </w:r>
    </w:p>
    <w:p w14:paraId="4761143C" w14:textId="77777777" w:rsidR="00663D43" w:rsidRDefault="00663D43" w:rsidP="00663D43">
      <w:pPr>
        <w:pStyle w:val="LaTeX"/>
      </w:pPr>
      <w:r>
        <w:lastRenderedPageBreak/>
        <w:t>\end{figure}</w:t>
      </w:r>
    </w:p>
    <w:p w14:paraId="72521B55" w14:textId="77777777" w:rsidR="00663D43" w:rsidRPr="00737356" w:rsidRDefault="00663D43" w:rsidP="00737356"/>
    <w:p w14:paraId="52EF8E67" w14:textId="77777777" w:rsidR="00636665" w:rsidRDefault="00636665" w:rsidP="00636665">
      <w:pPr>
        <w:jc w:val="center"/>
      </w:pPr>
      <w:r>
        <w:rPr>
          <w:noProof/>
        </w:rPr>
        <w:drawing>
          <wp:inline distT="0" distB="0" distL="0" distR="0" wp14:anchorId="64A9AD48" wp14:editId="5C698CBB">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B36EF71" w14:textId="77777777" w:rsidR="000F07B1" w:rsidRDefault="000F07B1" w:rsidP="000F07B1">
      <w:pPr>
        <w:pStyle w:val="LaTeX"/>
      </w:pPr>
      <w:r>
        <w:t>\begin{figure}[ht]</w:t>
      </w:r>
    </w:p>
    <w:p w14:paraId="158C9CB8" w14:textId="77777777" w:rsidR="000F07B1" w:rsidRDefault="000F07B1" w:rsidP="000F07B1">
      <w:pPr>
        <w:pStyle w:val="LaTeX"/>
      </w:pPr>
      <w:r>
        <w:t>\centering</w:t>
      </w:r>
    </w:p>
    <w:p w14:paraId="4E64EA14" w14:textId="77777777" w:rsidR="000F07B1" w:rsidRDefault="000F07B1" w:rsidP="000F07B1">
      <w:pPr>
        <w:pStyle w:val="LaTeX"/>
      </w:pPr>
      <w:r>
        <w:t>\includegraphics[width=\li</w:t>
      </w:r>
      <w:r w:rsidR="00A572BB">
        <w:t>newidth]{../figure/batch-pca.pdf</w:t>
      </w:r>
      <w:r>
        <w:t>}</w:t>
      </w:r>
    </w:p>
    <w:p w14:paraId="1074D3B1" w14:textId="77777777" w:rsidR="000F07B1" w:rsidRDefault="000F07B1" w:rsidP="000F07B1">
      <w:pPr>
        <w:pStyle w:val="LaTeX"/>
      </w:pPr>
      <w:r>
        <w:t>\caption{</w:t>
      </w:r>
    </w:p>
    <w:p w14:paraId="6CE9D948" w14:textId="77777777"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14:paraId="624190E5" w14:textId="77777777" w:rsidR="000F07B1" w:rsidRDefault="000F07B1" w:rsidP="000F07B1">
      <w:pPr>
        <w:pStyle w:val="LaTeX"/>
      </w:pPr>
      <w:r>
        <w:t>}</w:t>
      </w:r>
    </w:p>
    <w:p w14:paraId="08609735" w14:textId="77777777" w:rsidR="000F07B1" w:rsidRDefault="000F07B1" w:rsidP="000F07B1">
      <w:pPr>
        <w:pStyle w:val="LaTeX"/>
      </w:pPr>
      <w:r>
        <w:lastRenderedPageBreak/>
        <w:t>\label{fig:</w:t>
      </w:r>
      <w:r w:rsidR="006C4950">
        <w:t>batch</w:t>
      </w:r>
      <w:r>
        <w:t>}</w:t>
      </w:r>
    </w:p>
    <w:p w14:paraId="7C9582F3" w14:textId="77777777" w:rsidR="000F07B1" w:rsidRDefault="000F07B1" w:rsidP="000F07B1">
      <w:pPr>
        <w:pStyle w:val="LaTeX"/>
      </w:pPr>
      <w:r>
        <w:t>\end{figure}</w:t>
      </w:r>
    </w:p>
    <w:p w14:paraId="0ECD950C" w14:textId="77777777" w:rsidR="000F07B1" w:rsidRDefault="00636665" w:rsidP="00636665">
      <w:pPr>
        <w:jc w:val="center"/>
      </w:pPr>
      <w:r>
        <w:rPr>
          <w:noProof/>
        </w:rPr>
        <w:drawing>
          <wp:inline distT="0" distB="0" distL="0" distR="0" wp14:anchorId="5848B926" wp14:editId="78F3D12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FDBAF11" w14:textId="77777777" w:rsidR="00636665" w:rsidRDefault="00636665" w:rsidP="00636665">
      <w:pPr>
        <w:pStyle w:val="LaTeX"/>
      </w:pPr>
      <w:r>
        <w:t>\begin{figure}[ht]</w:t>
      </w:r>
    </w:p>
    <w:p w14:paraId="29D82AD8" w14:textId="77777777" w:rsidR="00636665" w:rsidRDefault="00636665" w:rsidP="00636665">
      <w:pPr>
        <w:pStyle w:val="LaTeX"/>
      </w:pPr>
      <w:r>
        <w:t>\centering</w:t>
      </w:r>
    </w:p>
    <w:p w14:paraId="64F06A1F" w14:textId="77777777" w:rsidR="00636665" w:rsidRDefault="00636665" w:rsidP="00636665">
      <w:pPr>
        <w:pStyle w:val="LaTeX"/>
      </w:pPr>
      <w:r>
        <w:t>\includegraphics[width=\linewidt</w:t>
      </w:r>
      <w:r w:rsidR="006E4268">
        <w:t>h]{../figure/batch-infection.pdf</w:t>
      </w:r>
      <w:r>
        <w:t>}</w:t>
      </w:r>
    </w:p>
    <w:p w14:paraId="7624164D" w14:textId="77777777" w:rsidR="00636665" w:rsidRDefault="00636665" w:rsidP="00636665">
      <w:pPr>
        <w:pStyle w:val="LaTeX"/>
      </w:pPr>
      <w:r>
        <w:t>\caption{</w:t>
      </w:r>
    </w:p>
    <w:p w14:paraId="61788F84" w14:textId="77777777"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14:paraId="6926AB6B" w14:textId="77777777" w:rsidR="00636665" w:rsidRDefault="00636665" w:rsidP="00636665">
      <w:pPr>
        <w:pStyle w:val="LaTeX"/>
      </w:pPr>
      <w:r>
        <w:t>}</w:t>
      </w:r>
    </w:p>
    <w:p w14:paraId="0B8B1A5D" w14:textId="77777777" w:rsidR="00636665" w:rsidRDefault="00636665" w:rsidP="00636665">
      <w:pPr>
        <w:pStyle w:val="LaTeX"/>
      </w:pPr>
      <w:r>
        <w:t>\label{fig:infection}</w:t>
      </w:r>
    </w:p>
    <w:p w14:paraId="727F2A3D" w14:textId="77777777" w:rsidR="00636665" w:rsidRDefault="00636665" w:rsidP="00636665">
      <w:pPr>
        <w:pStyle w:val="LaTeX"/>
      </w:pPr>
      <w:r>
        <w:t>\end{figure}</w:t>
      </w:r>
    </w:p>
    <w:p w14:paraId="138458CE" w14:textId="77777777" w:rsidR="00636665" w:rsidRDefault="002D4008" w:rsidP="002D4008">
      <w:pPr>
        <w:jc w:val="center"/>
      </w:pPr>
      <w:r>
        <w:rPr>
          <w:noProof/>
        </w:rPr>
        <w:lastRenderedPageBreak/>
        <w:drawing>
          <wp:inline distT="0" distB="0" distL="0" distR="0" wp14:anchorId="3CAAAF29" wp14:editId="7B0E9F84">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30" r:link="rId3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74F8704" w14:textId="77777777" w:rsidR="00437148" w:rsidRDefault="00437148" w:rsidP="00437148">
      <w:pPr>
        <w:pStyle w:val="LaTeX"/>
      </w:pPr>
      <w:r>
        <w:t>\begin{figure}[ht]</w:t>
      </w:r>
    </w:p>
    <w:p w14:paraId="20FB766D" w14:textId="77777777" w:rsidR="00437148" w:rsidRDefault="00437148" w:rsidP="00437148">
      <w:pPr>
        <w:pStyle w:val="LaTeX"/>
      </w:pPr>
      <w:r>
        <w:t>\centering</w:t>
      </w:r>
    </w:p>
    <w:p w14:paraId="69FB027F" w14:textId="77777777" w:rsidR="00437148" w:rsidRDefault="00437148" w:rsidP="00437148">
      <w:pPr>
        <w:pStyle w:val="LaTeX"/>
      </w:pPr>
      <w:r>
        <w:t>\includegraphics[width=\linewidth]{../figure/limma-supp.pdf}</w:t>
      </w:r>
    </w:p>
    <w:p w14:paraId="5D9BA63D" w14:textId="77777777" w:rsidR="00437148" w:rsidRDefault="00437148" w:rsidP="00437148">
      <w:pPr>
        <w:pStyle w:val="LaTeX"/>
      </w:pPr>
      <w:r>
        <w:t>\caption{</w:t>
      </w:r>
    </w:p>
    <w:p w14:paraId="374565C6" w14:textId="77777777"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14:paraId="7C5E412E" w14:textId="77777777" w:rsidR="00437148" w:rsidRDefault="00437148" w:rsidP="00437148">
      <w:pPr>
        <w:pStyle w:val="LaTeX"/>
      </w:pPr>
      <w:r>
        <w:lastRenderedPageBreak/>
        <w:t>}</w:t>
      </w:r>
    </w:p>
    <w:p w14:paraId="46F78343" w14:textId="77777777" w:rsidR="00437148" w:rsidRDefault="00437148" w:rsidP="00437148">
      <w:pPr>
        <w:pStyle w:val="LaTeX"/>
      </w:pPr>
      <w:r>
        <w:t>\label{fig:limma-supp}</w:t>
      </w:r>
    </w:p>
    <w:p w14:paraId="20737D6E" w14:textId="77777777" w:rsidR="00437148" w:rsidRDefault="00437148" w:rsidP="00437148">
      <w:pPr>
        <w:pStyle w:val="LaTeX"/>
      </w:pPr>
      <w:r>
        <w:t>\end{figure}</w:t>
      </w:r>
    </w:p>
    <w:p w14:paraId="099FA182" w14:textId="77777777" w:rsidR="00437148" w:rsidRDefault="002D4008" w:rsidP="002D4008">
      <w:pPr>
        <w:jc w:val="center"/>
      </w:pPr>
      <w:r>
        <w:rPr>
          <w:noProof/>
        </w:rPr>
        <w:drawing>
          <wp:inline distT="0" distB="0" distL="0" distR="0" wp14:anchorId="7B0A932B" wp14:editId="5FBCE183">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2" r:link="rId33"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C03A2B6" w14:textId="77777777" w:rsidR="002D4008" w:rsidRDefault="002D4008" w:rsidP="002D4008">
      <w:pPr>
        <w:pStyle w:val="LaTeX"/>
      </w:pPr>
      <w:r>
        <w:t>\begin{figure}[ht]</w:t>
      </w:r>
    </w:p>
    <w:p w14:paraId="4285F995" w14:textId="77777777" w:rsidR="002D4008" w:rsidRDefault="002D4008" w:rsidP="002D4008">
      <w:pPr>
        <w:pStyle w:val="LaTeX"/>
      </w:pPr>
      <w:r>
        <w:t>\centering</w:t>
      </w:r>
    </w:p>
    <w:p w14:paraId="28C49E53" w14:textId="77777777" w:rsidR="002D4008" w:rsidRDefault="002D4008" w:rsidP="002D4008">
      <w:pPr>
        <w:pStyle w:val="LaTeX"/>
      </w:pPr>
      <w:r>
        <w:t>\includegraphics[width=\linewidth]{../figure/gwas-n-snps.pdf}</w:t>
      </w:r>
    </w:p>
    <w:p w14:paraId="19FA9DC9" w14:textId="77777777" w:rsidR="002D4008" w:rsidRDefault="002D4008" w:rsidP="002D4008">
      <w:pPr>
        <w:pStyle w:val="LaTeX"/>
      </w:pPr>
      <w:r>
        <w:t>\caption{</w:t>
      </w:r>
    </w:p>
    <w:p w14:paraId="3E83F45F" w14:textId="77777777"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14:paraId="6742BDDF" w14:textId="77777777" w:rsidR="002D4008" w:rsidRDefault="002D4008" w:rsidP="002D4008">
      <w:pPr>
        <w:pStyle w:val="LaTeX"/>
      </w:pPr>
      <w:r>
        <w:t>}</w:t>
      </w:r>
    </w:p>
    <w:p w14:paraId="067AFA4B" w14:textId="77777777" w:rsidR="002D4008" w:rsidRDefault="002D4008" w:rsidP="002D4008">
      <w:pPr>
        <w:pStyle w:val="LaTeX"/>
      </w:pPr>
      <w:r>
        <w:t>\label{fig:</w:t>
      </w:r>
      <w:r w:rsidR="006F2AA7">
        <w:t>gwas-n-snps</w:t>
      </w:r>
      <w:r>
        <w:t>}</w:t>
      </w:r>
    </w:p>
    <w:p w14:paraId="36E0C066" w14:textId="77777777" w:rsidR="002D4008" w:rsidRDefault="002D4008" w:rsidP="002D4008">
      <w:pPr>
        <w:pStyle w:val="LaTeX"/>
      </w:pPr>
      <w:r>
        <w:t>\end{figure}</w:t>
      </w:r>
    </w:p>
    <w:p w14:paraId="6741E8E3" w14:textId="77777777" w:rsidR="00BB1A39" w:rsidRDefault="00BB1A39" w:rsidP="00BB1A39">
      <w:pPr>
        <w:jc w:val="center"/>
      </w:pPr>
      <w:r>
        <w:rPr>
          <w:noProof/>
        </w:rPr>
        <w:lastRenderedPageBreak/>
        <w:drawing>
          <wp:inline distT="0" distB="0" distL="0" distR="0" wp14:anchorId="6C245965" wp14:editId="49866CBB">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4" r:link="rId3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03284" w14:textId="77777777" w:rsidR="00BB1A39" w:rsidRDefault="00BB1A39" w:rsidP="00BB1A39">
      <w:pPr>
        <w:pStyle w:val="LaTeX"/>
      </w:pPr>
      <w:r>
        <w:t>\begin{figure}[ht]</w:t>
      </w:r>
    </w:p>
    <w:p w14:paraId="44EEDAED" w14:textId="77777777" w:rsidR="00BB1A39" w:rsidRDefault="00BB1A39" w:rsidP="00BB1A39">
      <w:pPr>
        <w:pStyle w:val="LaTeX"/>
      </w:pPr>
      <w:r>
        <w:t>\centering</w:t>
      </w:r>
    </w:p>
    <w:p w14:paraId="1A51A24C" w14:textId="77777777" w:rsidR="00BB1A39" w:rsidRDefault="00BB1A39" w:rsidP="00BB1A39">
      <w:pPr>
        <w:pStyle w:val="LaTeX"/>
      </w:pPr>
      <w:r>
        <w:t>\includegraphics[width=\linewidth]{../figure/</w:t>
      </w:r>
      <w:r w:rsidR="00C61C61">
        <w:t>combine</w:t>
      </w:r>
      <w:r w:rsidR="006B1689">
        <w:t>d</w:t>
      </w:r>
      <w:r w:rsidR="00C61C61">
        <w:t>-distribution</w:t>
      </w:r>
      <w:r w:rsidR="00D63175">
        <w:t>s</w:t>
      </w:r>
      <w:r>
        <w:t>.pdf}</w:t>
      </w:r>
    </w:p>
    <w:p w14:paraId="48CBFC2D" w14:textId="77777777" w:rsidR="00BB1A39" w:rsidRDefault="00BB1A39" w:rsidP="00BB1A39">
      <w:pPr>
        <w:pStyle w:val="LaTeX"/>
      </w:pPr>
      <w:r>
        <w:t>\caption{</w:t>
      </w:r>
    </w:p>
    <w:p w14:paraId="54961786" w14:textId="77777777"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14:paraId="1D114CF8" w14:textId="77777777" w:rsidR="008A2B63" w:rsidRDefault="008A2B63" w:rsidP="008A2B63">
      <w:pPr>
        <w:pStyle w:val="LaTeX"/>
      </w:pPr>
      <w:r>
        <w:t>}</w:t>
      </w:r>
    </w:p>
    <w:p w14:paraId="3BC27F0A" w14:textId="77777777" w:rsidR="00BB1A39" w:rsidRDefault="00BB1A39" w:rsidP="00BB1A39">
      <w:pPr>
        <w:pStyle w:val="LaTeX"/>
      </w:pPr>
      <w:r>
        <w:t>\label{fig:combine</w:t>
      </w:r>
      <w:r w:rsidR="006B1689">
        <w:t>d</w:t>
      </w:r>
      <w:r>
        <w:t>-dist}</w:t>
      </w:r>
    </w:p>
    <w:p w14:paraId="2F907E45" w14:textId="77777777" w:rsidR="00BB1A39" w:rsidRDefault="00BB1A39" w:rsidP="00BB1A39">
      <w:pPr>
        <w:pStyle w:val="LaTeX"/>
      </w:pPr>
      <w:r>
        <w:t>\end{figure}</w:t>
      </w:r>
    </w:p>
    <w:p w14:paraId="5548FC86" w14:textId="77777777" w:rsidR="00031079" w:rsidRDefault="00031079" w:rsidP="00031079">
      <w:pPr>
        <w:jc w:val="center"/>
      </w:pPr>
      <w:r>
        <w:rPr>
          <w:noProof/>
        </w:rPr>
        <w:drawing>
          <wp:inline distT="0" distB="0" distL="0" distR="0" wp14:anchorId="45061148" wp14:editId="14D1DEB6">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6" r:link="rId3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C0C8A40" w14:textId="77777777" w:rsidR="00031079" w:rsidRDefault="00031079" w:rsidP="00031079">
      <w:pPr>
        <w:pStyle w:val="LaTeX"/>
      </w:pPr>
      <w:r>
        <w:t>\begin{figure}[ht]</w:t>
      </w:r>
    </w:p>
    <w:p w14:paraId="3820B6D5" w14:textId="77777777" w:rsidR="00031079" w:rsidRDefault="00031079" w:rsidP="00031079">
      <w:pPr>
        <w:pStyle w:val="LaTeX"/>
      </w:pPr>
      <w:r>
        <w:t>\centering</w:t>
      </w:r>
    </w:p>
    <w:p w14:paraId="5A12CD56" w14:textId="77777777" w:rsidR="00031079" w:rsidRDefault="00031079" w:rsidP="00031079">
      <w:pPr>
        <w:pStyle w:val="LaTeX"/>
      </w:pPr>
      <w:r>
        <w:t>\includegraphics[width=\linewidth]{../figure/combine</w:t>
      </w:r>
      <w:r w:rsidR="006B1689">
        <w:t>d</w:t>
      </w:r>
      <w:r>
        <w:t>-pca.pdf}</w:t>
      </w:r>
    </w:p>
    <w:p w14:paraId="1E5C52C8" w14:textId="77777777" w:rsidR="00031079" w:rsidRDefault="00031079" w:rsidP="00031079">
      <w:pPr>
        <w:pStyle w:val="LaTeX"/>
      </w:pPr>
      <w:r>
        <w:lastRenderedPageBreak/>
        <w:t>\caption{</w:t>
      </w:r>
    </w:p>
    <w:p w14:paraId="56E083C5" w14:textId="77777777"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14:paraId="7E2BF07C" w14:textId="77777777" w:rsidR="00F83935" w:rsidRDefault="00F83935" w:rsidP="00031079">
      <w:pPr>
        <w:pStyle w:val="LaTeX"/>
      </w:pPr>
      <w:r>
        <w:t>}</w:t>
      </w:r>
    </w:p>
    <w:p w14:paraId="76B5AFAB" w14:textId="77777777" w:rsidR="00031079" w:rsidRDefault="00031079" w:rsidP="00031079">
      <w:pPr>
        <w:pStyle w:val="LaTeX"/>
      </w:pPr>
      <w:r>
        <w:t>\label{fig:combine</w:t>
      </w:r>
      <w:r w:rsidR="006B1689">
        <w:t>d</w:t>
      </w:r>
      <w:r>
        <w:t>-pca}</w:t>
      </w:r>
    </w:p>
    <w:p w14:paraId="33211F3E" w14:textId="77777777" w:rsidR="00031079" w:rsidRDefault="00031079" w:rsidP="00031079">
      <w:pPr>
        <w:pStyle w:val="LaTeX"/>
      </w:pPr>
      <w:r>
        <w:t>\end{figure}</w:t>
      </w:r>
    </w:p>
    <w:p w14:paraId="18B86B90" w14:textId="77777777" w:rsidR="002D4008" w:rsidRDefault="00C05895" w:rsidP="00C05895">
      <w:pPr>
        <w:jc w:val="center"/>
      </w:pPr>
      <w:r>
        <w:rPr>
          <w:noProof/>
        </w:rPr>
        <w:drawing>
          <wp:inline distT="0" distB="0" distL="0" distR="0" wp14:anchorId="5259A0A4" wp14:editId="53749A14">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8" r:link="rId39"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76032536" w14:textId="77777777" w:rsidR="006F2AA7" w:rsidRDefault="006F2AA7" w:rsidP="006F2AA7">
      <w:pPr>
        <w:pStyle w:val="LaTeX"/>
      </w:pPr>
      <w:r>
        <w:t>\begin{figure}[ht]</w:t>
      </w:r>
    </w:p>
    <w:p w14:paraId="71B787C5" w14:textId="77777777" w:rsidR="006F2AA7" w:rsidRDefault="006F2AA7" w:rsidP="006F2AA7">
      <w:pPr>
        <w:pStyle w:val="LaTeX"/>
      </w:pPr>
      <w:r>
        <w:t>\centering</w:t>
      </w:r>
    </w:p>
    <w:p w14:paraId="28E073D9" w14:textId="77777777" w:rsidR="006F2AA7" w:rsidRDefault="006F2AA7" w:rsidP="006F2AA7">
      <w:pPr>
        <w:pStyle w:val="LaTeX"/>
      </w:pPr>
      <w:r>
        <w:t>\includegraphics[width=\linewidth]{../figure/</w:t>
      </w:r>
      <w:r w:rsidR="00F92401">
        <w:t>classifier-compare</w:t>
      </w:r>
      <w:r>
        <w:t>.pdf}</w:t>
      </w:r>
    </w:p>
    <w:p w14:paraId="45C9193C" w14:textId="77777777" w:rsidR="006F2AA7" w:rsidRDefault="006F2AA7" w:rsidP="006F2AA7">
      <w:pPr>
        <w:pStyle w:val="LaTeX"/>
      </w:pPr>
      <w:r>
        <w:t>\caption{</w:t>
      </w:r>
    </w:p>
    <w:p w14:paraId="4ED9DEA0" w14:textId="77777777"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14:paraId="173E7313" w14:textId="77777777" w:rsidR="006F2AA7" w:rsidRDefault="006F2AA7" w:rsidP="006F2AA7">
      <w:pPr>
        <w:pStyle w:val="LaTeX"/>
      </w:pPr>
      <w:r>
        <w:t>}</w:t>
      </w:r>
    </w:p>
    <w:p w14:paraId="51D1564D" w14:textId="77777777" w:rsidR="006F2AA7" w:rsidRDefault="006F2AA7" w:rsidP="006F2AA7">
      <w:pPr>
        <w:pStyle w:val="LaTeX"/>
      </w:pPr>
      <w:r>
        <w:t>\label{fig:</w:t>
      </w:r>
      <w:r w:rsidR="00F92401">
        <w:t>class-compare</w:t>
      </w:r>
      <w:r>
        <w:t>}</w:t>
      </w:r>
    </w:p>
    <w:p w14:paraId="66E89CDD" w14:textId="77777777" w:rsidR="006F2AA7" w:rsidRDefault="006F2AA7" w:rsidP="006F2AA7">
      <w:pPr>
        <w:pStyle w:val="LaTeX"/>
      </w:pPr>
      <w:r>
        <w:t>\end{figure}</w:t>
      </w:r>
    </w:p>
    <w:p w14:paraId="04D6C2C6" w14:textId="77777777" w:rsidR="006F2AA7" w:rsidRDefault="001F03E0" w:rsidP="001F03E0">
      <w:pPr>
        <w:jc w:val="center"/>
      </w:pPr>
      <w:r>
        <w:rPr>
          <w:noProof/>
        </w:rPr>
        <w:lastRenderedPageBreak/>
        <w:drawing>
          <wp:inline distT="0" distB="0" distL="0" distR="0" wp14:anchorId="3B47DDB0" wp14:editId="4F107C68">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40" r:link="rId4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DFADC67" w14:textId="77777777" w:rsidR="0000254B" w:rsidRDefault="0000254B" w:rsidP="0000254B">
      <w:pPr>
        <w:pStyle w:val="LaTeX"/>
      </w:pPr>
      <w:r>
        <w:t>\begin{figure}[ht]</w:t>
      </w:r>
    </w:p>
    <w:p w14:paraId="5BE63747" w14:textId="77777777" w:rsidR="0000254B" w:rsidRDefault="0000254B" w:rsidP="0000254B">
      <w:pPr>
        <w:pStyle w:val="LaTeX"/>
      </w:pPr>
      <w:r>
        <w:t>\centering</w:t>
      </w:r>
    </w:p>
    <w:p w14:paraId="29E39329" w14:textId="77777777" w:rsidR="0000254B" w:rsidRDefault="0000254B" w:rsidP="0000254B">
      <w:pPr>
        <w:pStyle w:val="LaTeX"/>
      </w:pPr>
      <w:r>
        <w:t>\includegraphics[width=\linewidth]{../figure/</w:t>
      </w:r>
      <w:r w:rsidR="001F03E0">
        <w:t>classifier-en</w:t>
      </w:r>
      <w:r>
        <w:t>.pdf}</w:t>
      </w:r>
    </w:p>
    <w:p w14:paraId="1A9142BF" w14:textId="77777777" w:rsidR="0000254B" w:rsidRDefault="0000254B" w:rsidP="0000254B">
      <w:pPr>
        <w:pStyle w:val="LaTeX"/>
      </w:pPr>
      <w:r>
        <w:t>\caption{</w:t>
      </w:r>
    </w:p>
    <w:p w14:paraId="51BA4B5D" w14:textId="77777777" w:rsidR="00407206" w:rsidRDefault="00407206" w:rsidP="00407206">
      <w:r>
        <w:t xml:space="preserve">Classifying TB susceptible individuals using an elastic net </w:t>
      </w:r>
      <w:r w:rsidR="00FF08C6">
        <w:t>model</w:t>
      </w:r>
      <w:r>
        <w:t>.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14:paraId="72EA0E8A" w14:textId="77777777" w:rsidR="0000254B" w:rsidRDefault="0000254B" w:rsidP="0000254B">
      <w:pPr>
        <w:pStyle w:val="LaTeX"/>
      </w:pPr>
      <w:r>
        <w:t>}</w:t>
      </w:r>
    </w:p>
    <w:p w14:paraId="183CC995" w14:textId="77777777" w:rsidR="0000254B" w:rsidRDefault="0000254B" w:rsidP="0000254B">
      <w:pPr>
        <w:pStyle w:val="LaTeX"/>
      </w:pPr>
      <w:r>
        <w:t>\label{fig:</w:t>
      </w:r>
      <w:r w:rsidR="001F03E0">
        <w:t>class-en</w:t>
      </w:r>
      <w:r>
        <w:t>}</w:t>
      </w:r>
    </w:p>
    <w:p w14:paraId="6F0E1FEF" w14:textId="77777777" w:rsidR="0000254B" w:rsidRDefault="0000254B" w:rsidP="0000254B">
      <w:pPr>
        <w:pStyle w:val="LaTeX"/>
      </w:pPr>
      <w:r>
        <w:t>\end{figure}</w:t>
      </w:r>
    </w:p>
    <w:p w14:paraId="0BEC069E" w14:textId="77777777" w:rsidR="0000254B" w:rsidRDefault="00043BCC" w:rsidP="00043BCC">
      <w:pPr>
        <w:jc w:val="center"/>
      </w:pPr>
      <w:r>
        <w:rPr>
          <w:noProof/>
        </w:rPr>
        <w:lastRenderedPageBreak/>
        <w:drawing>
          <wp:inline distT="0" distB="0" distL="0" distR="0" wp14:anchorId="468188F5" wp14:editId="726FFD69">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2" r:link="rId43"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78C6995C" w14:textId="77777777" w:rsidR="00043BCC" w:rsidRDefault="00043BCC" w:rsidP="00043BCC">
      <w:pPr>
        <w:pStyle w:val="LaTeX"/>
      </w:pPr>
      <w:r>
        <w:t>\begin{figure}[ht]</w:t>
      </w:r>
    </w:p>
    <w:p w14:paraId="75F666F0" w14:textId="77777777" w:rsidR="00043BCC" w:rsidRDefault="00043BCC" w:rsidP="00043BCC">
      <w:pPr>
        <w:pStyle w:val="LaTeX"/>
      </w:pPr>
      <w:r>
        <w:t>\centering</w:t>
      </w:r>
    </w:p>
    <w:p w14:paraId="08D80398" w14:textId="77777777" w:rsidR="00043BCC" w:rsidRDefault="00043BCC" w:rsidP="00043BCC">
      <w:pPr>
        <w:pStyle w:val="LaTeX"/>
      </w:pPr>
      <w:r>
        <w:t>\includegraphics[width=\linewidth]{../figure/classifier-rf.pdf}</w:t>
      </w:r>
    </w:p>
    <w:p w14:paraId="620EA22D" w14:textId="77777777" w:rsidR="00043BCC" w:rsidRDefault="00043BCC" w:rsidP="00043BCC">
      <w:pPr>
        <w:pStyle w:val="LaTeX"/>
      </w:pPr>
      <w:r>
        <w:t>\caption{</w:t>
      </w:r>
    </w:p>
    <w:p w14:paraId="66708EE2" w14:textId="77777777" w:rsidR="00407206" w:rsidRDefault="00407206" w:rsidP="00407206">
      <w:r>
        <w:t xml:space="preserve">Classifying TB susceptible individuals using a random forest </w:t>
      </w:r>
      <w:r w:rsidR="00FE1C22">
        <w:t>model</w:t>
      </w:r>
      <w:r>
        <w:t>.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14:paraId="07265B95" w14:textId="77777777" w:rsidR="00043BCC" w:rsidRDefault="00043BCC" w:rsidP="00043BCC">
      <w:pPr>
        <w:pStyle w:val="LaTeX"/>
      </w:pPr>
      <w:r>
        <w:t>}</w:t>
      </w:r>
    </w:p>
    <w:p w14:paraId="659410AF" w14:textId="77777777" w:rsidR="00043BCC" w:rsidRDefault="00043BCC" w:rsidP="00043BCC">
      <w:pPr>
        <w:pStyle w:val="LaTeX"/>
      </w:pPr>
      <w:r>
        <w:t>\label{fig:class-rf}</w:t>
      </w:r>
    </w:p>
    <w:p w14:paraId="7C50F432" w14:textId="77777777" w:rsidR="00043BCC" w:rsidRDefault="00043BCC" w:rsidP="00043BCC">
      <w:pPr>
        <w:pStyle w:val="LaTeX"/>
      </w:pPr>
      <w:r>
        <w:t>\end{figure}</w:t>
      </w:r>
    </w:p>
    <w:p w14:paraId="48B50E36" w14:textId="77777777" w:rsidR="00A83FF4" w:rsidRDefault="00A83FF4" w:rsidP="00A83FF4">
      <w:pPr>
        <w:jc w:val="center"/>
      </w:pPr>
      <w:r>
        <w:rPr>
          <w:noProof/>
        </w:rPr>
        <w:lastRenderedPageBreak/>
        <w:drawing>
          <wp:inline distT="0" distB="0" distL="0" distR="0" wp14:anchorId="4D59A040" wp14:editId="0265A1E1">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4" r:link="rId4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4EF04C2" w14:textId="77777777" w:rsidR="00A83FF4" w:rsidRDefault="00A83FF4" w:rsidP="00A83FF4">
      <w:pPr>
        <w:pStyle w:val="LaTeX"/>
      </w:pPr>
      <w:r>
        <w:t>\begin{figure}[ht]</w:t>
      </w:r>
    </w:p>
    <w:p w14:paraId="409669D5" w14:textId="77777777" w:rsidR="00A83FF4" w:rsidRDefault="00A83FF4" w:rsidP="00A83FF4">
      <w:pPr>
        <w:pStyle w:val="LaTeX"/>
      </w:pPr>
      <w:r>
        <w:t>\centering</w:t>
      </w:r>
    </w:p>
    <w:p w14:paraId="6566E4AC" w14:textId="77777777" w:rsidR="00A83FF4" w:rsidRDefault="00A83FF4" w:rsidP="00A83FF4">
      <w:pPr>
        <w:pStyle w:val="LaTeX"/>
      </w:pPr>
      <w:r>
        <w:t>\includegraphics[width=\linewidth]{../figure/classifier-exp.pdf}</w:t>
      </w:r>
    </w:p>
    <w:p w14:paraId="375F8196" w14:textId="77777777" w:rsidR="00A83FF4" w:rsidRDefault="00A83FF4" w:rsidP="00A83FF4">
      <w:pPr>
        <w:pStyle w:val="LaTeX"/>
      </w:pPr>
      <w:r>
        <w:t>\caption{</w:t>
      </w:r>
    </w:p>
    <w:p w14:paraId="65FB2EEE" w14:textId="77777777" w:rsidR="00215E82" w:rsidRDefault="00215E82" w:rsidP="00A83FF4">
      <w:r>
        <w:t>Comparing gene expression between the two studies.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14:paraId="70445FB0" w14:textId="77777777" w:rsidR="00A83FF4" w:rsidRDefault="00A83FF4" w:rsidP="00A83FF4">
      <w:pPr>
        <w:pStyle w:val="LaTeX"/>
      </w:pPr>
      <w:r>
        <w:t>}</w:t>
      </w:r>
    </w:p>
    <w:p w14:paraId="0A17CD1D" w14:textId="77777777" w:rsidR="00A83FF4" w:rsidRDefault="00A83FF4" w:rsidP="00A83FF4">
      <w:pPr>
        <w:pStyle w:val="LaTeX"/>
      </w:pPr>
      <w:r>
        <w:t>\label{fig:class-exp}</w:t>
      </w:r>
    </w:p>
    <w:p w14:paraId="4E2493D9" w14:textId="77777777" w:rsidR="00A83FF4" w:rsidRDefault="00A83FF4" w:rsidP="00A83FF4">
      <w:pPr>
        <w:pStyle w:val="LaTeX"/>
      </w:pPr>
      <w:r>
        <w:t>\end{figure}</w:t>
      </w:r>
    </w:p>
    <w:p w14:paraId="6C48BC27" w14:textId="77777777" w:rsidR="00A83FF4" w:rsidRDefault="00A83FF4" w:rsidP="00043BCC">
      <w:pPr>
        <w:pStyle w:val="LaTeX"/>
      </w:pPr>
    </w:p>
    <w:p w14:paraId="3D671995" w14:textId="77777777" w:rsidR="00332AA7" w:rsidRDefault="00332AA7" w:rsidP="00332AA7">
      <w:pPr>
        <w:pStyle w:val="Heading2"/>
      </w:pPr>
      <w:r>
        <w:lastRenderedPageBreak/>
        <w:t>Supplementary Data</w:t>
      </w:r>
    </w:p>
    <w:p w14:paraId="374D34E2" w14:textId="77777777" w:rsidR="00332AA7" w:rsidRPr="00AB6308" w:rsidRDefault="00332AA7" w:rsidP="00332AA7">
      <w:pPr>
        <w:pStyle w:val="Heading3"/>
      </w:pPr>
      <w:r>
        <w:t>Supplementary Data S1</w:t>
      </w:r>
    </w:p>
    <w:p w14:paraId="27F28E15" w14:textId="77777777" w:rsidR="00332AA7" w:rsidRDefault="00332AA7" w:rsidP="00332AA7">
      <w:r>
        <w:t>Supplementary Data S1 contains the gene expression counts for the 11,336 genes after filtering lowly expressed genes for all 50 samples. Each row is a gene labeled with its Ensembl gene ID. Each column is a sample. Each sample is labeled according to the pattern “x##-status-treatment”, where x is “r” for resistant or “s” for susceptible, ## is the ID number, status is “resist” for resistant or “suscep” for susceptible, and treatment is “noninf” for noninfected or “infect” for infected. (tds)</w:t>
      </w:r>
    </w:p>
    <w:p w14:paraId="1F417626" w14:textId="77777777" w:rsidR="00332AA7" w:rsidRDefault="00332AA7" w:rsidP="00332AA7">
      <w:pPr>
        <w:pStyle w:val="Heading3"/>
      </w:pPr>
      <w:r>
        <w:t>Supplementary Data S2</w:t>
      </w:r>
    </w:p>
    <w:p w14:paraId="2D5E6453" w14:textId="77777777" w:rsidR="00332AA7" w:rsidRDefault="00332AA7" w:rsidP="00332AA7">
      <w:r>
        <w:t>Supplementary Data S2 contains the results of the differential expression analysis with limma (Fig. \ref{fig:limma}). The workbook contains 4 sheets corresponding to the 4 tests performed. “status_ni” is the test between resistant and susceptible individuals in the noninfected state, “status_ii” is the test between resistant and susceptible individuals in the infected state, “treat_resist” is the test between the noninfected and infected states for resistant individuals, and “treat_suscep” is the test between the noninfected and infected states for susceptible individuals. Each sheet has the same columns. “id” is the Ensembl gene ID, “gene” is the gene name, “logFC” is the log fold change from limma, “AveExpr” is the average log expression from limma, “t” is the t-statistic from limma, “P.Value” is the p-value from limma, “adj.P.Val” is the adjusted p-value from limma, “qvalue” is the q-value calculated with adaptive shrinkage, “chr” is the chromosome where the gene is located, “description” is the description of the gene from Ensembl, “phenotype” is the associated phenotype(s) assigned my Ensembl, “go_id” is the associated GO term(s) assigned by Ensembl, and “go_description” is the corresponding name(s) of the GO term(s). (xlsx)</w:t>
      </w:r>
    </w:p>
    <w:p w14:paraId="193B99CC" w14:textId="77777777" w:rsidR="00332AA7" w:rsidRDefault="00332AA7" w:rsidP="00332AA7">
      <w:pPr>
        <w:pStyle w:val="Heading3"/>
      </w:pPr>
      <w:r>
        <w:t>Supplementary Data S3</w:t>
      </w:r>
    </w:p>
    <w:p w14:paraId="1E87F231" w14:textId="77777777" w:rsidR="00332AA7" w:rsidRDefault="00332AA7" w:rsidP="00332AA7">
      <w:r>
        <w:t>Supplementary Data S3 contains the results of the GWAS comparison analysis (Fig. \ref{fig:gwas}). The first sheet “input-data” contains the data for the 10,260 genes which were assigned a SNP in the studies from The Gambia and Ghan</w:t>
      </w:r>
      <w:r w:rsidRPr="00F52C99">
        <w:t xml:space="preserve">a. </w:t>
      </w:r>
      <w:r>
        <w:t>“</w:t>
      </w:r>
      <w:r w:rsidRPr="00F52C99">
        <w:t>gwas_p_ghana</w:t>
      </w:r>
      <w:r>
        <w:t>” is the minimum p-value from the GWAS in Ghana, “</w:t>
      </w:r>
      <w:r w:rsidRPr="00F52C99">
        <w:t>gwas_p_</w:t>
      </w:r>
      <w:r>
        <w:t xml:space="preserve">gambia” is the minimum p-value from the GWAS in The Gambia, and “n_snps” is the number of GWAS SNPs within 50 kb of the transcription start site. The columns status_ni, status_ii, treat_resist, and treat_suscep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“t” is the t-statistic, “p” is the p-value, “slope” is the slope of the regression line, and “slope_se” is the standard error of the slope. (xlsx)</w:t>
      </w:r>
    </w:p>
    <w:p w14:paraId="6062F56D" w14:textId="77777777" w:rsidR="00332AA7" w:rsidRDefault="00332AA7" w:rsidP="00332AA7">
      <w:pPr>
        <w:pStyle w:val="Heading3"/>
      </w:pPr>
      <w:r>
        <w:t>Supplementary Data S4</w:t>
      </w:r>
    </w:p>
    <w:p w14:paraId="4F6E3635" w14:textId="77777777" w:rsidR="00332AA7" w:rsidRPr="00332AA7" w:rsidRDefault="00332AA7" w:rsidP="00332AA7">
      <w:r>
        <w:t>Supplementary Data S4 contains the results of the classifier analysis. Specifically it contains the results from the support vector machine using the genes with a qvalue less than 0.05 (Fig. \ref{fig:classifier}).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\cite{Barreiro2012}. The column “prob_tb_resist” is the probability of being resistant to TB assigned by the model. (xlsx)</w:t>
      </w:r>
    </w:p>
    <w:sectPr w:rsidR="00332AA7" w:rsidRPr="00332AA7" w:rsidSect="00FA548C">
      <w:footerReference w:type="default" r:id="rId46"/>
      <w:pgSz w:w="12240" w:h="15840"/>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Yoav Gilad" w:date="2016-09-15T15:26:00Z" w:initials="YG">
    <w:p w14:paraId="530ADBE0" w14:textId="0F8A2D76" w:rsidR="00A207DD" w:rsidRDefault="00A207DD">
      <w:pPr>
        <w:pStyle w:val="CommentText"/>
      </w:pPr>
      <w:r>
        <w:rPr>
          <w:rStyle w:val="CommentReference"/>
        </w:rPr>
        <w:annotationRef/>
      </w:r>
      <w:r>
        <w:t xml:space="preserve">See somewhere for details on all individuals? </w:t>
      </w:r>
    </w:p>
  </w:comment>
  <w:comment w:id="4" w:author="Yoav Gilad" w:date="2016-09-15T15:31:00Z" w:initials="YG">
    <w:p w14:paraId="2D398C20" w14:textId="4D23B944" w:rsidR="00A207DD" w:rsidRDefault="00A207DD">
      <w:pPr>
        <w:pStyle w:val="CommentText"/>
      </w:pPr>
      <w:r>
        <w:rPr>
          <w:rStyle w:val="CommentReference"/>
        </w:rPr>
        <w:annotationRef/>
      </w:r>
      <w:r>
        <w:t>Did you mean sensitive here or before?</w:t>
      </w:r>
    </w:p>
  </w:comment>
  <w:comment w:id="5" w:author="Yoav Gilad" w:date="2016-09-15T15:33:00Z" w:initials="YG">
    <w:p w14:paraId="6A6A69B1" w14:textId="4A320861" w:rsidR="00A207DD" w:rsidRDefault="00A207DD">
      <w:pPr>
        <w:pStyle w:val="CommentText"/>
      </w:pPr>
      <w:r>
        <w:rPr>
          <w:rStyle w:val="CommentReference"/>
        </w:rPr>
        <w:annotationRef/>
      </w:r>
      <w:r>
        <w:t>Did you mean infected here?</w:t>
      </w:r>
    </w:p>
  </w:comment>
  <w:comment w:id="6" w:author="Yoav Gilad" w:date="2016-09-19T11:54:00Z" w:initials="YG">
    <w:p w14:paraId="178D356B" w14:textId="548EE9F8" w:rsidR="00A207DD" w:rsidRDefault="00A207DD">
      <w:pPr>
        <w:pStyle w:val="CommentText"/>
      </w:pPr>
      <w:r>
        <w:rPr>
          <w:rStyle w:val="CommentReference"/>
        </w:rPr>
        <w:annotationRef/>
      </w:r>
      <w:r>
        <w:t>Can you remove the language of ‘slop of best fit line’ and talk about some other measure? Also, when you say ‘more or less negative’  - have you tested that or is it just the absolute value?</w:t>
      </w:r>
    </w:p>
  </w:comment>
  <w:comment w:id="7" w:author="Yoav Gilad" w:date="2016-09-19T11:57:00Z" w:initials="YG">
    <w:p w14:paraId="063A2D7C" w14:textId="0414635B" w:rsidR="00A207DD" w:rsidRDefault="00A207DD">
      <w:pPr>
        <w:pStyle w:val="CommentText"/>
      </w:pPr>
      <w:r>
        <w:rPr>
          <w:rStyle w:val="CommentReference"/>
        </w:rPr>
        <w:annotationRef/>
      </w:r>
      <w:r>
        <w:t xml:space="preserve">These cutoffs seem arbitrary. Why did you chose these? </w:t>
      </w:r>
    </w:p>
  </w:comment>
  <w:comment w:id="9" w:author="Yoav Gilad" w:date="2016-09-19T13:37:00Z" w:initials="YG">
    <w:p w14:paraId="0061777D" w14:textId="2A749975" w:rsidR="00957197" w:rsidRDefault="00957197">
      <w:pPr>
        <w:pStyle w:val="CommentText"/>
      </w:pPr>
      <w:r>
        <w:rPr>
          <w:rStyle w:val="CommentReference"/>
        </w:rPr>
        <w:annotationRef/>
      </w:r>
      <w:r>
        <w:t>Did you try to run the classifier on their data (accounting for differences)?</w:t>
      </w:r>
    </w:p>
  </w:comment>
  <w:comment w:id="10" w:author="Yoav Gilad" w:date="2016-09-19T13:37:00Z" w:initials="YG">
    <w:p w14:paraId="6D4369FE" w14:textId="551421CC" w:rsidR="00957197" w:rsidRDefault="00957197">
      <w:pPr>
        <w:pStyle w:val="CommentText"/>
      </w:pPr>
      <w:r>
        <w:rPr>
          <w:rStyle w:val="CommentReference"/>
        </w:rPr>
        <w:annotationRef/>
      </w:r>
      <w:r>
        <w:t>This approach still bothers me. Shall we discuss?</w:t>
      </w:r>
    </w:p>
  </w:comment>
  <w:comment w:id="11" w:author="Yoav Gilad" w:date="2016-09-19T13:38:00Z" w:initials="YG">
    <w:p w14:paraId="67EF6853" w14:textId="756E25F1" w:rsidR="0052086E" w:rsidRDefault="0052086E">
      <w:pPr>
        <w:pStyle w:val="CommentText"/>
      </w:pPr>
      <w:r>
        <w:rPr>
          <w:rStyle w:val="CommentReference"/>
        </w:rPr>
        <w:annotationRef/>
      </w:r>
      <w:r>
        <w:t xml:space="preserve">Finish this paragraph with something positive, </w:t>
      </w:r>
    </w:p>
  </w:comment>
  <w:comment w:id="12" w:author="Yoav Gilad" w:date="2016-09-19T13:42:00Z" w:initials="YG">
    <w:p w14:paraId="47BD9C73" w14:textId="11168BF0" w:rsidR="00B72D44" w:rsidRDefault="00B72D44">
      <w:pPr>
        <w:pStyle w:val="CommentText"/>
      </w:pPr>
      <w:r>
        <w:rPr>
          <w:rStyle w:val="CommentReference"/>
        </w:rPr>
        <w:annotationRef/>
      </w:r>
      <w:r>
        <w:t>I am going to skip this paragraph because it is unclear to me how you chose the cutoffs to identify these genes.</w:t>
      </w:r>
      <w:r w:rsidR="0045518F">
        <w:t xml:space="preserve"> Discuss?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DB2C6" w14:textId="77777777" w:rsidR="00A207DD" w:rsidRDefault="00A207DD" w:rsidP="00224E16">
      <w:pPr>
        <w:spacing w:line="240" w:lineRule="auto"/>
      </w:pPr>
      <w:r>
        <w:separator/>
      </w:r>
    </w:p>
  </w:endnote>
  <w:endnote w:type="continuationSeparator" w:id="0">
    <w:p w14:paraId="3F24C25A" w14:textId="77777777" w:rsidR="00A207DD" w:rsidRDefault="00A207DD"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14:paraId="4E4E2ED1" w14:textId="77777777" w:rsidR="00A207DD" w:rsidRDefault="00A207DD">
        <w:pPr>
          <w:pStyle w:val="Footer"/>
          <w:jc w:val="right"/>
        </w:pPr>
        <w:r>
          <w:fldChar w:fldCharType="begin"/>
        </w:r>
        <w:r>
          <w:instrText xml:space="preserve"> PAGE   \* MERGEFORMAT </w:instrText>
        </w:r>
        <w:r>
          <w:fldChar w:fldCharType="separate"/>
        </w:r>
        <w:r w:rsidR="00130494">
          <w:rPr>
            <w:noProof/>
          </w:rPr>
          <w:t>12</w:t>
        </w:r>
        <w:r>
          <w:rPr>
            <w:noProof/>
          </w:rPr>
          <w:fldChar w:fldCharType="end"/>
        </w:r>
      </w:p>
    </w:sdtContent>
  </w:sdt>
  <w:p w14:paraId="2866E30B" w14:textId="77777777" w:rsidR="00A207DD" w:rsidRDefault="00A207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FFD410" w14:textId="77777777" w:rsidR="00A207DD" w:rsidRDefault="00A207DD" w:rsidP="00224E16">
      <w:pPr>
        <w:spacing w:line="240" w:lineRule="auto"/>
      </w:pPr>
      <w:r>
        <w:separator/>
      </w:r>
    </w:p>
  </w:footnote>
  <w:footnote w:type="continuationSeparator" w:id="0">
    <w:p w14:paraId="483E4D79" w14:textId="77777777" w:rsidR="00A207DD" w:rsidRDefault="00A207DD" w:rsidP="00224E1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3553"/>
    <w:rsid w:val="0003543D"/>
    <w:rsid w:val="0004244B"/>
    <w:rsid w:val="00043BCC"/>
    <w:rsid w:val="00054BB6"/>
    <w:rsid w:val="00057537"/>
    <w:rsid w:val="00057B90"/>
    <w:rsid w:val="00060FD7"/>
    <w:rsid w:val="00062710"/>
    <w:rsid w:val="000633DD"/>
    <w:rsid w:val="000656ED"/>
    <w:rsid w:val="0006583C"/>
    <w:rsid w:val="00074F4A"/>
    <w:rsid w:val="00075EC5"/>
    <w:rsid w:val="000763D9"/>
    <w:rsid w:val="00080882"/>
    <w:rsid w:val="00080C49"/>
    <w:rsid w:val="000824C6"/>
    <w:rsid w:val="0008458C"/>
    <w:rsid w:val="00087625"/>
    <w:rsid w:val="000960BC"/>
    <w:rsid w:val="00096120"/>
    <w:rsid w:val="0009743E"/>
    <w:rsid w:val="000A2934"/>
    <w:rsid w:val="000A62EA"/>
    <w:rsid w:val="000A62EE"/>
    <w:rsid w:val="000A7AA2"/>
    <w:rsid w:val="000B0191"/>
    <w:rsid w:val="000B4CA8"/>
    <w:rsid w:val="000C46A4"/>
    <w:rsid w:val="000D0811"/>
    <w:rsid w:val="000D1616"/>
    <w:rsid w:val="000D1DE1"/>
    <w:rsid w:val="000D2F09"/>
    <w:rsid w:val="000D5AB3"/>
    <w:rsid w:val="000D7056"/>
    <w:rsid w:val="000D7346"/>
    <w:rsid w:val="000E703B"/>
    <w:rsid w:val="000E7D3C"/>
    <w:rsid w:val="000F07B1"/>
    <w:rsid w:val="000F19D5"/>
    <w:rsid w:val="000F2999"/>
    <w:rsid w:val="000F6A9A"/>
    <w:rsid w:val="001051DC"/>
    <w:rsid w:val="00113652"/>
    <w:rsid w:val="001278A7"/>
    <w:rsid w:val="00130494"/>
    <w:rsid w:val="00132DA2"/>
    <w:rsid w:val="001343CF"/>
    <w:rsid w:val="001375C9"/>
    <w:rsid w:val="00137DFE"/>
    <w:rsid w:val="00151AA2"/>
    <w:rsid w:val="00154CD0"/>
    <w:rsid w:val="0016091A"/>
    <w:rsid w:val="0016397B"/>
    <w:rsid w:val="001660EF"/>
    <w:rsid w:val="00166840"/>
    <w:rsid w:val="00167586"/>
    <w:rsid w:val="001675C4"/>
    <w:rsid w:val="0017170C"/>
    <w:rsid w:val="0017209A"/>
    <w:rsid w:val="00176326"/>
    <w:rsid w:val="001863A9"/>
    <w:rsid w:val="001909FF"/>
    <w:rsid w:val="001958B4"/>
    <w:rsid w:val="00197357"/>
    <w:rsid w:val="00197587"/>
    <w:rsid w:val="001A2E28"/>
    <w:rsid w:val="001A43B7"/>
    <w:rsid w:val="001A43D8"/>
    <w:rsid w:val="001A4DE9"/>
    <w:rsid w:val="001A4DEF"/>
    <w:rsid w:val="001A4E54"/>
    <w:rsid w:val="001A7DBC"/>
    <w:rsid w:val="001B1307"/>
    <w:rsid w:val="001B49A2"/>
    <w:rsid w:val="001B70A3"/>
    <w:rsid w:val="001C07E7"/>
    <w:rsid w:val="001C5B94"/>
    <w:rsid w:val="001D0D26"/>
    <w:rsid w:val="001D1AF1"/>
    <w:rsid w:val="001E4DFE"/>
    <w:rsid w:val="001F03E0"/>
    <w:rsid w:val="001F5AE6"/>
    <w:rsid w:val="001F6D04"/>
    <w:rsid w:val="00201A05"/>
    <w:rsid w:val="002112C2"/>
    <w:rsid w:val="00215780"/>
    <w:rsid w:val="00215DA1"/>
    <w:rsid w:val="00215E82"/>
    <w:rsid w:val="00215F94"/>
    <w:rsid w:val="00221C0F"/>
    <w:rsid w:val="0022423C"/>
    <w:rsid w:val="00224E16"/>
    <w:rsid w:val="00226F4D"/>
    <w:rsid w:val="0023292C"/>
    <w:rsid w:val="00233831"/>
    <w:rsid w:val="002405DF"/>
    <w:rsid w:val="002407D2"/>
    <w:rsid w:val="00244BF2"/>
    <w:rsid w:val="0024725C"/>
    <w:rsid w:val="00247CF1"/>
    <w:rsid w:val="00260C91"/>
    <w:rsid w:val="00262ED2"/>
    <w:rsid w:val="00270A0B"/>
    <w:rsid w:val="00271127"/>
    <w:rsid w:val="00283293"/>
    <w:rsid w:val="00283C33"/>
    <w:rsid w:val="00285841"/>
    <w:rsid w:val="0028659C"/>
    <w:rsid w:val="002910E2"/>
    <w:rsid w:val="002928DD"/>
    <w:rsid w:val="00293C88"/>
    <w:rsid w:val="00293D54"/>
    <w:rsid w:val="00295F94"/>
    <w:rsid w:val="002A7A66"/>
    <w:rsid w:val="002A7B56"/>
    <w:rsid w:val="002B0378"/>
    <w:rsid w:val="002B057B"/>
    <w:rsid w:val="002B0AD4"/>
    <w:rsid w:val="002B140A"/>
    <w:rsid w:val="002C3253"/>
    <w:rsid w:val="002C7157"/>
    <w:rsid w:val="002D04F9"/>
    <w:rsid w:val="002D15F6"/>
    <w:rsid w:val="002D3912"/>
    <w:rsid w:val="002D392E"/>
    <w:rsid w:val="002D4008"/>
    <w:rsid w:val="002D4662"/>
    <w:rsid w:val="002D61EC"/>
    <w:rsid w:val="002E553E"/>
    <w:rsid w:val="002F6C23"/>
    <w:rsid w:val="002F7B7F"/>
    <w:rsid w:val="003021E9"/>
    <w:rsid w:val="003026EF"/>
    <w:rsid w:val="00305EE4"/>
    <w:rsid w:val="0030797A"/>
    <w:rsid w:val="00307E82"/>
    <w:rsid w:val="003151AF"/>
    <w:rsid w:val="00316DAC"/>
    <w:rsid w:val="00317E0E"/>
    <w:rsid w:val="00321C61"/>
    <w:rsid w:val="00326652"/>
    <w:rsid w:val="003267CE"/>
    <w:rsid w:val="0032746E"/>
    <w:rsid w:val="00332278"/>
    <w:rsid w:val="00332AA7"/>
    <w:rsid w:val="0033405F"/>
    <w:rsid w:val="00335B07"/>
    <w:rsid w:val="00335E6B"/>
    <w:rsid w:val="0034094D"/>
    <w:rsid w:val="00340E0D"/>
    <w:rsid w:val="0034367C"/>
    <w:rsid w:val="00343F93"/>
    <w:rsid w:val="0034519C"/>
    <w:rsid w:val="00345317"/>
    <w:rsid w:val="00345990"/>
    <w:rsid w:val="003470A4"/>
    <w:rsid w:val="00347EC2"/>
    <w:rsid w:val="00352419"/>
    <w:rsid w:val="0035717E"/>
    <w:rsid w:val="003662A4"/>
    <w:rsid w:val="00366838"/>
    <w:rsid w:val="00370968"/>
    <w:rsid w:val="00370A5B"/>
    <w:rsid w:val="0037240C"/>
    <w:rsid w:val="00376917"/>
    <w:rsid w:val="00381890"/>
    <w:rsid w:val="00387329"/>
    <w:rsid w:val="00393355"/>
    <w:rsid w:val="00393EC8"/>
    <w:rsid w:val="003946BD"/>
    <w:rsid w:val="00395BF7"/>
    <w:rsid w:val="0039676B"/>
    <w:rsid w:val="00397D31"/>
    <w:rsid w:val="003A25EC"/>
    <w:rsid w:val="003A306A"/>
    <w:rsid w:val="003A662E"/>
    <w:rsid w:val="003B2BDB"/>
    <w:rsid w:val="003C1725"/>
    <w:rsid w:val="003C6054"/>
    <w:rsid w:val="003C7AE3"/>
    <w:rsid w:val="003D2DAB"/>
    <w:rsid w:val="003E01F9"/>
    <w:rsid w:val="003E1709"/>
    <w:rsid w:val="003E2289"/>
    <w:rsid w:val="003E29E9"/>
    <w:rsid w:val="003F001D"/>
    <w:rsid w:val="00403E32"/>
    <w:rsid w:val="00407206"/>
    <w:rsid w:val="0041181F"/>
    <w:rsid w:val="0041268C"/>
    <w:rsid w:val="0041784D"/>
    <w:rsid w:val="0042029E"/>
    <w:rsid w:val="00421B88"/>
    <w:rsid w:val="004221E5"/>
    <w:rsid w:val="00422D41"/>
    <w:rsid w:val="004310E0"/>
    <w:rsid w:val="0043225D"/>
    <w:rsid w:val="00437148"/>
    <w:rsid w:val="00440C5A"/>
    <w:rsid w:val="00441E7B"/>
    <w:rsid w:val="004422A3"/>
    <w:rsid w:val="0045091B"/>
    <w:rsid w:val="00451DDE"/>
    <w:rsid w:val="0045518F"/>
    <w:rsid w:val="0046206F"/>
    <w:rsid w:val="00463D75"/>
    <w:rsid w:val="00465099"/>
    <w:rsid w:val="0046685D"/>
    <w:rsid w:val="0046688D"/>
    <w:rsid w:val="00467B50"/>
    <w:rsid w:val="00470BEA"/>
    <w:rsid w:val="0047137D"/>
    <w:rsid w:val="00472D6A"/>
    <w:rsid w:val="004840DB"/>
    <w:rsid w:val="00494CC4"/>
    <w:rsid w:val="004A231C"/>
    <w:rsid w:val="004A49BD"/>
    <w:rsid w:val="004A4CA2"/>
    <w:rsid w:val="004A6902"/>
    <w:rsid w:val="004B0011"/>
    <w:rsid w:val="004B3941"/>
    <w:rsid w:val="004B5108"/>
    <w:rsid w:val="004C61CC"/>
    <w:rsid w:val="004E111A"/>
    <w:rsid w:val="004E24F1"/>
    <w:rsid w:val="004E29B3"/>
    <w:rsid w:val="004E3338"/>
    <w:rsid w:val="004E7490"/>
    <w:rsid w:val="004E74D6"/>
    <w:rsid w:val="004F1D96"/>
    <w:rsid w:val="004F4461"/>
    <w:rsid w:val="004F60F7"/>
    <w:rsid w:val="0050139E"/>
    <w:rsid w:val="00503113"/>
    <w:rsid w:val="00507851"/>
    <w:rsid w:val="00507E34"/>
    <w:rsid w:val="00511079"/>
    <w:rsid w:val="00511B60"/>
    <w:rsid w:val="0051558B"/>
    <w:rsid w:val="00515A5E"/>
    <w:rsid w:val="0052086E"/>
    <w:rsid w:val="0052631F"/>
    <w:rsid w:val="00526CEC"/>
    <w:rsid w:val="00530582"/>
    <w:rsid w:val="0053091A"/>
    <w:rsid w:val="00531A2C"/>
    <w:rsid w:val="00534986"/>
    <w:rsid w:val="00540422"/>
    <w:rsid w:val="00540CCF"/>
    <w:rsid w:val="00542164"/>
    <w:rsid w:val="00545B21"/>
    <w:rsid w:val="005460EE"/>
    <w:rsid w:val="005476D7"/>
    <w:rsid w:val="005518A7"/>
    <w:rsid w:val="00552AAA"/>
    <w:rsid w:val="00554491"/>
    <w:rsid w:val="00555EFD"/>
    <w:rsid w:val="00557319"/>
    <w:rsid w:val="00563C8E"/>
    <w:rsid w:val="005668DF"/>
    <w:rsid w:val="005675CD"/>
    <w:rsid w:val="00575E30"/>
    <w:rsid w:val="005772EF"/>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0175"/>
    <w:rsid w:val="00663272"/>
    <w:rsid w:val="00663D43"/>
    <w:rsid w:val="006656DC"/>
    <w:rsid w:val="00671E0A"/>
    <w:rsid w:val="00681ED1"/>
    <w:rsid w:val="006845CB"/>
    <w:rsid w:val="0068489D"/>
    <w:rsid w:val="006936DB"/>
    <w:rsid w:val="00697A68"/>
    <w:rsid w:val="006A43C6"/>
    <w:rsid w:val="006A58CF"/>
    <w:rsid w:val="006B0E4E"/>
    <w:rsid w:val="006B1689"/>
    <w:rsid w:val="006B29BF"/>
    <w:rsid w:val="006B3F0F"/>
    <w:rsid w:val="006B53D2"/>
    <w:rsid w:val="006C0E75"/>
    <w:rsid w:val="006C1D3A"/>
    <w:rsid w:val="006C4950"/>
    <w:rsid w:val="006C5E92"/>
    <w:rsid w:val="006C6753"/>
    <w:rsid w:val="006C7476"/>
    <w:rsid w:val="006D0365"/>
    <w:rsid w:val="006D0822"/>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45D6"/>
    <w:rsid w:val="00756628"/>
    <w:rsid w:val="00763C86"/>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0EF3"/>
    <w:rsid w:val="007C3548"/>
    <w:rsid w:val="007C3E09"/>
    <w:rsid w:val="007C6A51"/>
    <w:rsid w:val="007D3AA8"/>
    <w:rsid w:val="007D6425"/>
    <w:rsid w:val="007D73C9"/>
    <w:rsid w:val="007E13C5"/>
    <w:rsid w:val="007E34EF"/>
    <w:rsid w:val="007E498B"/>
    <w:rsid w:val="007E5BCF"/>
    <w:rsid w:val="007F3FDB"/>
    <w:rsid w:val="007F78C1"/>
    <w:rsid w:val="008030F6"/>
    <w:rsid w:val="00806450"/>
    <w:rsid w:val="0081487E"/>
    <w:rsid w:val="008163E8"/>
    <w:rsid w:val="00816E45"/>
    <w:rsid w:val="00820F71"/>
    <w:rsid w:val="008227ED"/>
    <w:rsid w:val="008250D9"/>
    <w:rsid w:val="0082535B"/>
    <w:rsid w:val="00834F4C"/>
    <w:rsid w:val="00843131"/>
    <w:rsid w:val="00853960"/>
    <w:rsid w:val="008561C5"/>
    <w:rsid w:val="008566D9"/>
    <w:rsid w:val="00862F9D"/>
    <w:rsid w:val="00885732"/>
    <w:rsid w:val="008870E7"/>
    <w:rsid w:val="00887BD1"/>
    <w:rsid w:val="00895A20"/>
    <w:rsid w:val="008A18BE"/>
    <w:rsid w:val="008A2B63"/>
    <w:rsid w:val="008A647E"/>
    <w:rsid w:val="008B7158"/>
    <w:rsid w:val="008B7742"/>
    <w:rsid w:val="008C20D2"/>
    <w:rsid w:val="008C5264"/>
    <w:rsid w:val="008D5CD1"/>
    <w:rsid w:val="008D6863"/>
    <w:rsid w:val="008D6A14"/>
    <w:rsid w:val="008D6DEE"/>
    <w:rsid w:val="008E0549"/>
    <w:rsid w:val="008E0F36"/>
    <w:rsid w:val="009046AF"/>
    <w:rsid w:val="009119CB"/>
    <w:rsid w:val="009140B8"/>
    <w:rsid w:val="0091497F"/>
    <w:rsid w:val="00916D78"/>
    <w:rsid w:val="00924FF3"/>
    <w:rsid w:val="00927A50"/>
    <w:rsid w:val="00927DD4"/>
    <w:rsid w:val="00932225"/>
    <w:rsid w:val="00942E3D"/>
    <w:rsid w:val="00951BE4"/>
    <w:rsid w:val="0095410A"/>
    <w:rsid w:val="00954770"/>
    <w:rsid w:val="009552CE"/>
    <w:rsid w:val="0095638B"/>
    <w:rsid w:val="00957197"/>
    <w:rsid w:val="00957223"/>
    <w:rsid w:val="00964F29"/>
    <w:rsid w:val="009741E6"/>
    <w:rsid w:val="00980DAB"/>
    <w:rsid w:val="009902CA"/>
    <w:rsid w:val="009903D0"/>
    <w:rsid w:val="00994CC9"/>
    <w:rsid w:val="00996906"/>
    <w:rsid w:val="009970DE"/>
    <w:rsid w:val="009A1DA8"/>
    <w:rsid w:val="009A24AA"/>
    <w:rsid w:val="009A2DCC"/>
    <w:rsid w:val="009A3D27"/>
    <w:rsid w:val="009B7EE2"/>
    <w:rsid w:val="009C06F1"/>
    <w:rsid w:val="009C095F"/>
    <w:rsid w:val="009C1B81"/>
    <w:rsid w:val="009C685B"/>
    <w:rsid w:val="009D0095"/>
    <w:rsid w:val="009D3352"/>
    <w:rsid w:val="009E1925"/>
    <w:rsid w:val="009E4D11"/>
    <w:rsid w:val="009E7A57"/>
    <w:rsid w:val="009F1350"/>
    <w:rsid w:val="009F3E99"/>
    <w:rsid w:val="00A00EA4"/>
    <w:rsid w:val="00A06378"/>
    <w:rsid w:val="00A07AC1"/>
    <w:rsid w:val="00A12A84"/>
    <w:rsid w:val="00A143EE"/>
    <w:rsid w:val="00A14825"/>
    <w:rsid w:val="00A1584A"/>
    <w:rsid w:val="00A16CA8"/>
    <w:rsid w:val="00A207DD"/>
    <w:rsid w:val="00A20C9F"/>
    <w:rsid w:val="00A24AC0"/>
    <w:rsid w:val="00A24B79"/>
    <w:rsid w:val="00A2522B"/>
    <w:rsid w:val="00A26402"/>
    <w:rsid w:val="00A301AC"/>
    <w:rsid w:val="00A304F1"/>
    <w:rsid w:val="00A30CA8"/>
    <w:rsid w:val="00A3250F"/>
    <w:rsid w:val="00A33994"/>
    <w:rsid w:val="00A35944"/>
    <w:rsid w:val="00A35CFB"/>
    <w:rsid w:val="00A5251E"/>
    <w:rsid w:val="00A53815"/>
    <w:rsid w:val="00A53E2F"/>
    <w:rsid w:val="00A54D42"/>
    <w:rsid w:val="00A5616F"/>
    <w:rsid w:val="00A565A3"/>
    <w:rsid w:val="00A572BB"/>
    <w:rsid w:val="00A600FD"/>
    <w:rsid w:val="00A62131"/>
    <w:rsid w:val="00A62384"/>
    <w:rsid w:val="00A70383"/>
    <w:rsid w:val="00A73A70"/>
    <w:rsid w:val="00A7661D"/>
    <w:rsid w:val="00A80BC7"/>
    <w:rsid w:val="00A83FF4"/>
    <w:rsid w:val="00A840AE"/>
    <w:rsid w:val="00A84A8B"/>
    <w:rsid w:val="00A85F35"/>
    <w:rsid w:val="00A87E2A"/>
    <w:rsid w:val="00A90A31"/>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5140"/>
    <w:rsid w:val="00B27961"/>
    <w:rsid w:val="00B3178C"/>
    <w:rsid w:val="00B31A3D"/>
    <w:rsid w:val="00B35023"/>
    <w:rsid w:val="00B364E7"/>
    <w:rsid w:val="00B433F4"/>
    <w:rsid w:val="00B519C8"/>
    <w:rsid w:val="00B55B3C"/>
    <w:rsid w:val="00B56C00"/>
    <w:rsid w:val="00B604B1"/>
    <w:rsid w:val="00B6319F"/>
    <w:rsid w:val="00B661E9"/>
    <w:rsid w:val="00B7008F"/>
    <w:rsid w:val="00B72D44"/>
    <w:rsid w:val="00B735B3"/>
    <w:rsid w:val="00B74212"/>
    <w:rsid w:val="00B7474D"/>
    <w:rsid w:val="00B75085"/>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21AF"/>
    <w:rsid w:val="00BA6D1F"/>
    <w:rsid w:val="00BB0BFF"/>
    <w:rsid w:val="00BB1A39"/>
    <w:rsid w:val="00BB5723"/>
    <w:rsid w:val="00BB6396"/>
    <w:rsid w:val="00BC1D75"/>
    <w:rsid w:val="00BC48D5"/>
    <w:rsid w:val="00BC765C"/>
    <w:rsid w:val="00BD6008"/>
    <w:rsid w:val="00BE33DD"/>
    <w:rsid w:val="00BE459A"/>
    <w:rsid w:val="00BE4C30"/>
    <w:rsid w:val="00BF18FF"/>
    <w:rsid w:val="00BF1E7D"/>
    <w:rsid w:val="00BF26B9"/>
    <w:rsid w:val="00C03E1F"/>
    <w:rsid w:val="00C05689"/>
    <w:rsid w:val="00C05895"/>
    <w:rsid w:val="00C12D99"/>
    <w:rsid w:val="00C14E42"/>
    <w:rsid w:val="00C1696B"/>
    <w:rsid w:val="00C23FC6"/>
    <w:rsid w:val="00C24889"/>
    <w:rsid w:val="00C25C27"/>
    <w:rsid w:val="00C25F28"/>
    <w:rsid w:val="00C27A99"/>
    <w:rsid w:val="00C27B68"/>
    <w:rsid w:val="00C3192A"/>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85D82"/>
    <w:rsid w:val="00C91C23"/>
    <w:rsid w:val="00C93774"/>
    <w:rsid w:val="00C954A2"/>
    <w:rsid w:val="00C95797"/>
    <w:rsid w:val="00CA130F"/>
    <w:rsid w:val="00CA37CE"/>
    <w:rsid w:val="00CA5C54"/>
    <w:rsid w:val="00CA7272"/>
    <w:rsid w:val="00CB5965"/>
    <w:rsid w:val="00CB78EE"/>
    <w:rsid w:val="00CC1939"/>
    <w:rsid w:val="00CC2E46"/>
    <w:rsid w:val="00CC33BE"/>
    <w:rsid w:val="00CC4171"/>
    <w:rsid w:val="00CC7B4B"/>
    <w:rsid w:val="00CD01B4"/>
    <w:rsid w:val="00CE39FE"/>
    <w:rsid w:val="00CE4D9D"/>
    <w:rsid w:val="00CE6B8D"/>
    <w:rsid w:val="00CF3232"/>
    <w:rsid w:val="00D019FF"/>
    <w:rsid w:val="00D1016F"/>
    <w:rsid w:val="00D10913"/>
    <w:rsid w:val="00D113E8"/>
    <w:rsid w:val="00D14BF1"/>
    <w:rsid w:val="00D2049C"/>
    <w:rsid w:val="00D21024"/>
    <w:rsid w:val="00D25BB6"/>
    <w:rsid w:val="00D276E7"/>
    <w:rsid w:val="00D30B90"/>
    <w:rsid w:val="00D310EF"/>
    <w:rsid w:val="00D3229D"/>
    <w:rsid w:val="00D34891"/>
    <w:rsid w:val="00D41B60"/>
    <w:rsid w:val="00D42E3F"/>
    <w:rsid w:val="00D441DB"/>
    <w:rsid w:val="00D445AC"/>
    <w:rsid w:val="00D47AF7"/>
    <w:rsid w:val="00D532B2"/>
    <w:rsid w:val="00D54C73"/>
    <w:rsid w:val="00D60329"/>
    <w:rsid w:val="00D60BCD"/>
    <w:rsid w:val="00D63175"/>
    <w:rsid w:val="00D63475"/>
    <w:rsid w:val="00D70045"/>
    <w:rsid w:val="00D72715"/>
    <w:rsid w:val="00D74321"/>
    <w:rsid w:val="00D74CB1"/>
    <w:rsid w:val="00D75F04"/>
    <w:rsid w:val="00D77898"/>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37B2"/>
    <w:rsid w:val="00DF6DA3"/>
    <w:rsid w:val="00E00A65"/>
    <w:rsid w:val="00E03048"/>
    <w:rsid w:val="00E05B63"/>
    <w:rsid w:val="00E06DBC"/>
    <w:rsid w:val="00E12815"/>
    <w:rsid w:val="00E13CE8"/>
    <w:rsid w:val="00E203A2"/>
    <w:rsid w:val="00E22B2B"/>
    <w:rsid w:val="00E2469F"/>
    <w:rsid w:val="00E269AC"/>
    <w:rsid w:val="00E315A3"/>
    <w:rsid w:val="00E329EE"/>
    <w:rsid w:val="00E32FBF"/>
    <w:rsid w:val="00E3712E"/>
    <w:rsid w:val="00E412BC"/>
    <w:rsid w:val="00E4356C"/>
    <w:rsid w:val="00E43BCC"/>
    <w:rsid w:val="00E446CD"/>
    <w:rsid w:val="00E45487"/>
    <w:rsid w:val="00E5039E"/>
    <w:rsid w:val="00E53F39"/>
    <w:rsid w:val="00E5759D"/>
    <w:rsid w:val="00E67250"/>
    <w:rsid w:val="00E7528D"/>
    <w:rsid w:val="00E81F3B"/>
    <w:rsid w:val="00E86C86"/>
    <w:rsid w:val="00E91A35"/>
    <w:rsid w:val="00E951E7"/>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1ED2"/>
    <w:rsid w:val="00EF20F6"/>
    <w:rsid w:val="00F00DFB"/>
    <w:rsid w:val="00F04D3D"/>
    <w:rsid w:val="00F0637C"/>
    <w:rsid w:val="00F07550"/>
    <w:rsid w:val="00F126C0"/>
    <w:rsid w:val="00F21A81"/>
    <w:rsid w:val="00F21CBB"/>
    <w:rsid w:val="00F2206C"/>
    <w:rsid w:val="00F23E3D"/>
    <w:rsid w:val="00F25983"/>
    <w:rsid w:val="00F4369D"/>
    <w:rsid w:val="00F43875"/>
    <w:rsid w:val="00F43B42"/>
    <w:rsid w:val="00F47329"/>
    <w:rsid w:val="00F52C99"/>
    <w:rsid w:val="00F61731"/>
    <w:rsid w:val="00F63AF5"/>
    <w:rsid w:val="00F6475F"/>
    <w:rsid w:val="00F65D2C"/>
    <w:rsid w:val="00F71223"/>
    <w:rsid w:val="00F73AB9"/>
    <w:rsid w:val="00F8092B"/>
    <w:rsid w:val="00F83935"/>
    <w:rsid w:val="00F84C08"/>
    <w:rsid w:val="00F86135"/>
    <w:rsid w:val="00F862DC"/>
    <w:rsid w:val="00F86ABA"/>
    <w:rsid w:val="00F87921"/>
    <w:rsid w:val="00F92401"/>
    <w:rsid w:val="00F96259"/>
    <w:rsid w:val="00FA1AE0"/>
    <w:rsid w:val="00FA1AF7"/>
    <w:rsid w:val="00FA27F0"/>
    <w:rsid w:val="00FA548C"/>
    <w:rsid w:val="00FB3130"/>
    <w:rsid w:val="00FC0073"/>
    <w:rsid w:val="00FD40BA"/>
    <w:rsid w:val="00FD44A7"/>
    <w:rsid w:val="00FE15AC"/>
    <w:rsid w:val="00FE1C22"/>
    <w:rsid w:val="00FE1DFC"/>
    <w:rsid w:val="00FE4C5E"/>
    <w:rsid w:val="00FE6F93"/>
    <w:rsid w:val="00FF08C6"/>
    <w:rsid w:val="00FF4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2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76">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8590">
      <w:bodyDiv w:val="1"/>
      <w:marLeft w:val="0"/>
      <w:marRight w:val="0"/>
      <w:marTop w:val="0"/>
      <w:marBottom w:val="0"/>
      <w:divBdr>
        <w:top w:val="none" w:sz="0" w:space="0" w:color="auto"/>
        <w:left w:val="none" w:sz="0" w:space="0" w:color="auto"/>
        <w:bottom w:val="none" w:sz="0" w:space="0" w:color="auto"/>
        <w:right w:val="none" w:sz="0" w:space="0" w:color="auto"/>
      </w:divBdr>
    </w:div>
    <w:div w:id="298844268">
      <w:bodyDiv w:val="1"/>
      <w:marLeft w:val="0"/>
      <w:marRight w:val="0"/>
      <w:marTop w:val="0"/>
      <w:marBottom w:val="0"/>
      <w:divBdr>
        <w:top w:val="none" w:sz="0" w:space="0" w:color="auto"/>
        <w:left w:val="none" w:sz="0" w:space="0" w:color="auto"/>
        <w:bottom w:val="none" w:sz="0" w:space="0" w:color="auto"/>
        <w:right w:val="none" w:sz="0" w:space="0" w:color="auto"/>
      </w:divBdr>
    </w:div>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 w:id="139389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file:///Y:\repos\tb-suscept\figure\heatmap-all-samples.png" TargetMode="External"/><Relationship Id="rId22" Type="http://schemas.openxmlformats.org/officeDocument/2006/relationships/image" Target="media/image7.png"/><Relationship Id="rId23" Type="http://schemas.openxmlformats.org/officeDocument/2006/relationships/image" Target="file:///Y:\repos\tb-suscept\figure\heatmap-no-outliers.png" TargetMode="External"/><Relationship Id="rId24" Type="http://schemas.openxmlformats.org/officeDocument/2006/relationships/image" Target="media/image8.png"/><Relationship Id="rId25" Type="http://schemas.openxmlformats.org/officeDocument/2006/relationships/image" Target="file:///Y:\repos\tb-suscept\figure\outliers.png" TargetMode="External"/><Relationship Id="rId26" Type="http://schemas.openxmlformats.org/officeDocument/2006/relationships/image" Target="media/image9.png"/><Relationship Id="rId27" Type="http://schemas.openxmlformats.org/officeDocument/2006/relationships/image" Target="file:///Y:\repos\tb-suscept\figure\batch-pca.png" TargetMode="External"/><Relationship Id="rId28" Type="http://schemas.openxmlformats.org/officeDocument/2006/relationships/image" Target="media/image10.png"/><Relationship Id="rId29" Type="http://schemas.openxmlformats.org/officeDocument/2006/relationships/image" Target="file:///Y:\repos\tb-suscept\figure\batch-infection.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file:///Y:\repos\tb-suscept\figure\limma-supp.png" TargetMode="External"/><Relationship Id="rId32" Type="http://schemas.openxmlformats.org/officeDocument/2006/relationships/image" Target="media/image12.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file:///Y:\repos\tb-suscept\figure\gwas-n-snps.png" TargetMode="External"/><Relationship Id="rId34" Type="http://schemas.openxmlformats.org/officeDocument/2006/relationships/image" Target="media/image13.png"/><Relationship Id="rId35" Type="http://schemas.openxmlformats.org/officeDocument/2006/relationships/image" Target="file:///Y:\repos\tb-suscept\figure\combined-distributions.png" TargetMode="External"/><Relationship Id="rId36" Type="http://schemas.openxmlformats.org/officeDocument/2006/relationships/image" Target="media/image14.png"/><Relationship Id="rId10" Type="http://schemas.openxmlformats.org/officeDocument/2006/relationships/image" Target="media/image1.png"/><Relationship Id="rId11" Type="http://schemas.openxmlformats.org/officeDocument/2006/relationships/image" Target="file:///Y:\repos\tb-suscept\figure\limma.png" TargetMode="External"/><Relationship Id="rId12" Type="http://schemas.openxmlformats.org/officeDocument/2006/relationships/image" Target="media/image2.png"/><Relationship Id="rId13" Type="http://schemas.openxmlformats.org/officeDocument/2006/relationships/image" Target="file:///Y:\repos\tb-suscept\figure\gwas.png" TargetMode="External"/><Relationship Id="rId14" Type="http://schemas.openxmlformats.org/officeDocument/2006/relationships/image" Target="media/image3.png"/><Relationship Id="rId15" Type="http://schemas.openxmlformats.org/officeDocument/2006/relationships/image" Target="file:///Y:\repos\tb-suscept\figure\classifier-svm.png" TargetMode="External"/><Relationship Id="rId16" Type="http://schemas.openxmlformats.org/officeDocument/2006/relationships/image" Target="media/image4.png"/><Relationship Id="rId17" Type="http://schemas.openxmlformats.org/officeDocument/2006/relationships/image" Target="file:///Y:\repos\tb-suscept\figure\processing.png" TargetMode="External"/><Relationship Id="rId18" Type="http://schemas.openxmlformats.org/officeDocument/2006/relationships/image" Target="media/image5.png"/><Relationship Id="rId19" Type="http://schemas.openxmlformats.org/officeDocument/2006/relationships/image" Target="file:///Y:\repos\tb-suscept\figure\gene-exp-distribution.png" TargetMode="External"/><Relationship Id="rId37" Type="http://schemas.openxmlformats.org/officeDocument/2006/relationships/image" Target="file:///Y:\repos\tb-suscept\figure\combined-pca.png" TargetMode="External"/><Relationship Id="rId38" Type="http://schemas.openxmlformats.org/officeDocument/2006/relationships/image" Target="media/image15.png"/><Relationship Id="rId39" Type="http://schemas.openxmlformats.org/officeDocument/2006/relationships/image" Target="file:///Y:\repos\tb-suscept\figure\classifier-compare.png" TargetMode="External"/><Relationship Id="rId40" Type="http://schemas.openxmlformats.org/officeDocument/2006/relationships/image" Target="media/image16.png"/><Relationship Id="rId41" Type="http://schemas.openxmlformats.org/officeDocument/2006/relationships/image" Target="file:///Y:\repos\tb-suscept\figure\classifier-en.png" TargetMode="External"/><Relationship Id="rId42" Type="http://schemas.openxmlformats.org/officeDocument/2006/relationships/image" Target="media/image17.png"/><Relationship Id="rId43" Type="http://schemas.openxmlformats.org/officeDocument/2006/relationships/image" Target="file:///Y:\repos\tb-suscept\figure\classifier-rf.png" TargetMode="External"/><Relationship Id="rId44" Type="http://schemas.openxmlformats.org/officeDocument/2006/relationships/image" Target="media/image18.png"/><Relationship Id="rId45" Type="http://schemas.openxmlformats.org/officeDocument/2006/relationships/image" Target="file:///Y:\repos\tb-suscept\figure\classifier-ex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26A6247E-BAF0-D544-97CC-99716D7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33</Pages>
  <Words>7295</Words>
  <Characters>41588</Characters>
  <Application>Microsoft Macintosh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Yoav Gilad</cp:lastModifiedBy>
  <cp:revision>667</cp:revision>
  <dcterms:created xsi:type="dcterms:W3CDTF">2016-07-08T21:38:00Z</dcterms:created>
  <dcterms:modified xsi:type="dcterms:W3CDTF">2016-09-19T18:52:00Z</dcterms:modified>
</cp:coreProperties>
</file>