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25" w:rsidRDefault="00197357" w:rsidP="008B7742">
      <w:pPr>
        <w:pStyle w:val="Title"/>
        <w:suppressLineNumbers/>
      </w:pPr>
      <w:r>
        <w:t>Dendritic cells isolated from individuals susceptible to tuberculosis have an altered gene expression profile</w:t>
      </w:r>
    </w:p>
    <w:p w:rsidR="00244BF2" w:rsidRDefault="00244BF2" w:rsidP="008B7742">
      <w:pPr>
        <w:pStyle w:val="Author"/>
        <w:suppressLineNumbers/>
      </w:pPr>
    </w:p>
    <w:p w:rsidR="003C1725" w:rsidRDefault="00197357" w:rsidP="008B7742">
      <w:pPr>
        <w:pStyle w:val="Author"/>
        <w:suppressLineNumbers/>
      </w:pPr>
      <w:r w:rsidRPr="00BF580B">
        <w:t>John D. Blischak</w:t>
      </w:r>
      <w:r w:rsidRPr="00BF580B">
        <w:rPr>
          <w:vertAlign w:val="superscript"/>
        </w:rPr>
        <w:t>1,2</w:t>
      </w:r>
      <w:r w:rsidRPr="00BF580B">
        <w:t>, Ludovic Tailleux</w:t>
      </w:r>
      <w:r w:rsidRPr="00BF580B">
        <w:rPr>
          <w:vertAlign w:val="superscript"/>
        </w:rPr>
        <w:t>3</w:t>
      </w:r>
      <w:r>
        <w:t>, Marsha Myrthil</w:t>
      </w:r>
      <w:r w:rsidRPr="00BF580B">
        <w:rPr>
          <w:vertAlign w:val="superscript"/>
        </w:rPr>
        <w:t>1</w:t>
      </w:r>
      <w:r w:rsidRPr="00BF580B">
        <w:t>, Luis B. Barreiro</w:t>
      </w:r>
      <w:r w:rsidRPr="00BF580B">
        <w:rPr>
          <w:vertAlign w:val="superscript"/>
        </w:rPr>
        <w:t>4,5</w:t>
      </w:r>
      <w:r w:rsidRPr="00BF580B">
        <w:t>*, Yoav Gilad</w:t>
      </w:r>
      <w:r w:rsidRPr="00BF580B">
        <w:rPr>
          <w:vertAlign w:val="superscript"/>
        </w:rPr>
        <w:t>1</w:t>
      </w:r>
      <w:r w:rsidRPr="00BF580B">
        <w:t>*</w:t>
      </w:r>
    </w:p>
    <w:p w:rsidR="00244BF2" w:rsidRDefault="00244BF2" w:rsidP="008B7742">
      <w:pPr>
        <w:pStyle w:val="Author"/>
        <w:suppressLineNumbers/>
      </w:pPr>
    </w:p>
    <w:p w:rsidR="00FA548C" w:rsidRPr="00FA548C" w:rsidRDefault="00FA548C" w:rsidP="00FA548C">
      <w:pPr>
        <w:pStyle w:val="Author"/>
      </w:pPr>
    </w:p>
    <w:p w:rsidR="00197357" w:rsidRPr="00BF580B" w:rsidRDefault="00197357" w:rsidP="00FA548C">
      <w:pPr>
        <w:pStyle w:val="Author"/>
      </w:pPr>
      <w:r w:rsidRPr="00BF580B">
        <w:rPr>
          <w:vertAlign w:val="superscript"/>
        </w:rPr>
        <w:t>1</w:t>
      </w:r>
      <w:r w:rsidRPr="00BF580B">
        <w:t>Department of Human Genetics, University of Chicago, Chicago, Illinois, USA</w:t>
      </w:r>
    </w:p>
    <w:p w:rsidR="00197357" w:rsidRPr="00BF580B" w:rsidRDefault="00197357" w:rsidP="00FA548C">
      <w:pPr>
        <w:pStyle w:val="Author"/>
      </w:pPr>
      <w:r w:rsidRPr="00BF580B">
        <w:rPr>
          <w:vertAlign w:val="superscript"/>
        </w:rPr>
        <w:t>2</w:t>
      </w:r>
      <w:r w:rsidRPr="00BF580B">
        <w:t>Committee on Genetics, Genomics, and Systems Biology, University of Chicago, Chicago, Illinois, USA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3</w:t>
      </w:r>
      <w:r w:rsidRPr="00BF580B">
        <w:t>Mycobacterial Genetics Unit, Institut Pasteur, Paris, France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4</w:t>
      </w:r>
      <w:r w:rsidRPr="00BF580B">
        <w:t>Department of Genetics, CHU Sainte-Justine Research Center, Montreal, Québec, Canada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5</w:t>
      </w:r>
      <w:r w:rsidRPr="00BF580B">
        <w:t>Department of Pediatrics, University of Montreal, Montreal, Québec, Canada</w:t>
      </w:r>
    </w:p>
    <w:p w:rsidR="00244BF2" w:rsidRDefault="00244BF2" w:rsidP="004F60F7">
      <w:pPr>
        <w:pStyle w:val="Author"/>
      </w:pPr>
    </w:p>
    <w:p w:rsidR="00FA548C" w:rsidRPr="00FA548C" w:rsidRDefault="00FA548C" w:rsidP="004F60F7">
      <w:pPr>
        <w:pStyle w:val="Author"/>
      </w:pPr>
    </w:p>
    <w:p w:rsidR="00244BF2" w:rsidRDefault="00244BF2" w:rsidP="004F60F7">
      <w:pPr>
        <w:pStyle w:val="Author"/>
      </w:pPr>
    </w:p>
    <w:p w:rsidR="003C1725" w:rsidRDefault="00552AAA" w:rsidP="004F60F7">
      <w:pPr>
        <w:pStyle w:val="Author"/>
      </w:pPr>
      <w:r>
        <w:t>*Correspondence should be addressed to YG (</w:t>
      </w:r>
      <w:r w:rsidR="00FA548C" w:rsidRPr="004F60F7">
        <w:t>gilad@uchicago.edu</w:t>
      </w:r>
      <w:r>
        <w:t>)</w:t>
      </w:r>
      <w:r w:rsidR="00FA548C">
        <w:t xml:space="preserve"> and </w:t>
      </w:r>
      <w:r w:rsidR="00FA548C" w:rsidRPr="00BF580B">
        <w:t xml:space="preserve">LBB </w:t>
      </w:r>
      <w:r w:rsidR="00FA548C" w:rsidRPr="004F60F7">
        <w:t>(luis.barreiro@umontreal.ca</w:t>
      </w:r>
      <w:r w:rsidR="00FA548C" w:rsidRPr="00BF580B">
        <w:t>)</w:t>
      </w:r>
      <w:r>
        <w:t>.</w:t>
      </w:r>
    </w:p>
    <w:p w:rsidR="0068489D" w:rsidRDefault="0068489D" w:rsidP="008B7742">
      <w:pPr>
        <w:suppressLineNumbers/>
        <w:spacing w:after="200" w:line="240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bookmarkStart w:id="0" w:name="abstract"/>
      <w:r>
        <w:br w:type="page"/>
      </w:r>
    </w:p>
    <w:bookmarkEnd w:id="0"/>
    <w:p w:rsidR="003C1725" w:rsidRDefault="005668DF" w:rsidP="00C847C4">
      <w:pPr>
        <w:pStyle w:val="Abstract"/>
      </w:pPr>
      <w:r>
        <w:lastRenderedPageBreak/>
        <w:t>Write abstract here…</w:t>
      </w:r>
    </w:p>
    <w:p w:rsidR="00AB0690" w:rsidRPr="00AB0690" w:rsidRDefault="00552AAA" w:rsidP="00AB0690">
      <w:pPr>
        <w:pStyle w:val="Heading1"/>
      </w:pPr>
      <w:bookmarkStart w:id="1" w:name="introduction"/>
      <w:r>
        <w:t>Introduction</w:t>
      </w:r>
    </w:p>
    <w:p w:rsidR="003C1725" w:rsidRDefault="00552AAA" w:rsidP="0053091A">
      <w:pPr>
        <w:pStyle w:val="Heading1"/>
      </w:pPr>
      <w:bookmarkStart w:id="2" w:name="results"/>
      <w:bookmarkEnd w:id="1"/>
      <w:r>
        <w:t>Results</w:t>
      </w:r>
    </w:p>
    <w:p w:rsidR="004F4461" w:rsidRDefault="004F4461" w:rsidP="004F4461">
      <w:pPr>
        <w:pStyle w:val="Heading2"/>
      </w:pPr>
      <w:r>
        <w:t>Susceptible individuals have a</w:t>
      </w:r>
      <w:r w:rsidR="003E2289">
        <w:t>n altered</w:t>
      </w:r>
      <w:r>
        <w:t xml:space="preserve"> transcriptome in the noninfected state</w:t>
      </w:r>
    </w:p>
    <w:p w:rsidR="00E81F3B" w:rsidRDefault="00AB0690" w:rsidP="00E81F3B">
      <w:r>
        <w:t xml:space="preserve">We obtained whole blood samples from 25 healthy individuals. Six of the donors had </w:t>
      </w:r>
      <w:r w:rsidR="00C27A99">
        <w:t xml:space="preserve">recovered from a </w:t>
      </w:r>
      <w:r>
        <w:t xml:space="preserve">previous </w:t>
      </w:r>
      <w:r w:rsidR="00C27A99">
        <w:t>a</w:t>
      </w:r>
      <w:r>
        <w:t>ctive TB</w:t>
      </w:r>
      <w:r w:rsidR="00C27A99">
        <w:t xml:space="preserve"> infection, and</w:t>
      </w:r>
      <w:r>
        <w:t xml:space="preserve"> </w:t>
      </w:r>
      <w:r w:rsidR="00C27A99">
        <w:t xml:space="preserve">are </w:t>
      </w:r>
      <w:r>
        <w:t xml:space="preserve">thus susceptible. The remaining 19 tested positive for a latent TB infection without ever experiencing symptoms of active TB, and are thus resistant. We </w:t>
      </w:r>
      <w:r w:rsidR="00467B50">
        <w:t xml:space="preserve">isolated </w:t>
      </w:r>
      <w:r>
        <w:t xml:space="preserve">dendritic cells (DCs) </w:t>
      </w:r>
      <w:r w:rsidR="00467B50">
        <w:t xml:space="preserve">and treated them with </w:t>
      </w:r>
      <w:r w:rsidR="00467B50" w:rsidRPr="00467B50">
        <w:rPr>
          <w:i/>
        </w:rPr>
        <w:t xml:space="preserve">Mycobacterium </w:t>
      </w:r>
      <w:r w:rsidR="00C27A99" w:rsidRPr="00467B50">
        <w:rPr>
          <w:i/>
        </w:rPr>
        <w:t>tuberculosis</w:t>
      </w:r>
      <w:r w:rsidR="00467B50">
        <w:t xml:space="preserve"> (MTB) or a mock control.</w:t>
      </w:r>
      <w:r w:rsidR="00C27A99">
        <w:t xml:space="preserve"> To measure genome-wide gene expression levels, we sequenced the RNA, using a processing pipeline designed to minimize the introduction of unwanted technical variation, and obtained </w:t>
      </w:r>
      <w:r w:rsidR="00D85938">
        <w:t xml:space="preserve">a mean of </w:t>
      </w:r>
      <w:r w:rsidR="00C27A99">
        <w:t xml:space="preserve">X </w:t>
      </w:r>
      <w:r w:rsidR="00FE1DFC">
        <w:t>$</w:t>
      </w:r>
      <w:r w:rsidR="00C27A99">
        <w:t>\pm</w:t>
      </w:r>
      <w:r w:rsidR="00FE1DFC">
        <w:t>$</w:t>
      </w:r>
      <w:r w:rsidR="00C27A99">
        <w:t xml:space="preserve"> X </w:t>
      </w:r>
      <w:r w:rsidR="00D85938">
        <w:t>million raw reads per sample.</w:t>
      </w:r>
      <w:r w:rsidR="0095638B">
        <w:t xml:space="preserve"> We performed quality control analyses to remove non-expressed genes (Supplementary </w:t>
      </w:r>
      <w:r w:rsidR="00BB5723">
        <w:t>Fig.</w:t>
      </w:r>
      <w:r w:rsidR="0095638B">
        <w:t xml:space="preserve"> \ref{fig:genes}), identify and remove outliers (</w:t>
      </w:r>
      <w:r w:rsidR="0095638B">
        <w:t xml:space="preserve">Supplementary </w:t>
      </w:r>
      <w:r w:rsidR="00BB5723">
        <w:t>Fig.</w:t>
      </w:r>
      <w:r w:rsidR="0095638B">
        <w:t xml:space="preserve"> \ref{fig:</w:t>
      </w:r>
      <w:r w:rsidR="0095638B">
        <w:t>outliers</w:t>
      </w:r>
      <w:r w:rsidR="0095638B">
        <w:t>}</w:t>
      </w:r>
      <w:r w:rsidR="0095638B">
        <w:t>), and check for confounding batch effects (</w:t>
      </w:r>
      <w:r w:rsidR="0095638B">
        <w:t xml:space="preserve">Supplementary </w:t>
      </w:r>
      <w:r w:rsidR="00BB5723">
        <w:t>Fig.</w:t>
      </w:r>
      <w:r w:rsidR="0095638B">
        <w:t xml:space="preserve"> \ref{fig:</w:t>
      </w:r>
      <w:r w:rsidR="0095638B">
        <w:t>batch</w:t>
      </w:r>
      <w:r w:rsidR="0095638B">
        <w:t>}</w:t>
      </w:r>
      <w:r w:rsidR="0095638B">
        <w:t>).</w:t>
      </w:r>
      <w:r w:rsidR="000633DD">
        <w:t xml:space="preserve"> Ultimately 6 samples were removed from all downstream analyses (Supplementary Table \ref{tab:outliers}).</w:t>
      </w:r>
    </w:p>
    <w:p w:rsidR="00E81F3B" w:rsidRPr="00AB0690" w:rsidRDefault="00E81F3B" w:rsidP="00A53E2F"/>
    <w:p w:rsidR="00C25F28" w:rsidRPr="00C25F28" w:rsidRDefault="00C76F21" w:rsidP="00C25F28">
      <w:r>
        <w:t>Next</w:t>
      </w:r>
      <w:r w:rsidR="00C25F28">
        <w:t xml:space="preserve"> we performed a standard differential expression analysis. Of most interest are genes which </w:t>
      </w:r>
      <w:r w:rsidR="007E498B">
        <w:t>were</w:t>
      </w:r>
      <w:r w:rsidR="00C25F28">
        <w:t xml:space="preserve"> differentially expressed</w:t>
      </w:r>
      <w:r w:rsidR="004F4461">
        <w:t xml:space="preserve"> (DE)</w:t>
      </w:r>
      <w:r w:rsidR="00C25F28">
        <w:t xml:space="preserve"> between susceptible and resistant individuals in the noninfected and infected states (Fig. </w:t>
      </w:r>
      <w:r w:rsidR="00592526">
        <w:t>\ref{fig:limma}).</w:t>
      </w:r>
      <w:r w:rsidR="004F4461">
        <w:t xml:space="preserve"> After correcting for multiple testing, we identified X DE genes in the noninfected state, </w:t>
      </w:r>
      <w:r w:rsidR="00E203A2">
        <w:t>and none in the infected state.</w:t>
      </w:r>
      <w:r w:rsidR="00A53E2F">
        <w:t xml:space="preserve"> &lt;Insert GO results and a few examples&gt;</w:t>
      </w:r>
    </w:p>
    <w:p w:rsidR="00697A68" w:rsidRDefault="00697A68" w:rsidP="00697A68">
      <w:pPr>
        <w:jc w:val="center"/>
      </w:pPr>
      <w:r>
        <w:rPr>
          <w:noProof/>
        </w:rPr>
        <w:lastRenderedPageBreak/>
        <w:drawing>
          <wp:inline distT="0" distB="0" distL="0" distR="0" wp14:anchorId="697EDBED" wp14:editId="42C7F6D4">
            <wp:extent cx="5486400" cy="5486400"/>
            <wp:effectExtent l="0" t="0" r="0" b="0"/>
            <wp:docPr id="1" name="li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ma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68" w:rsidRDefault="00697A68" w:rsidP="00697A68">
      <w:pPr>
        <w:pStyle w:val="LaTeX"/>
      </w:pPr>
      <w:r>
        <w:t>\begin{figure}[ht]</w:t>
      </w:r>
    </w:p>
    <w:p w:rsidR="00697A68" w:rsidRDefault="00697A68" w:rsidP="00697A68">
      <w:pPr>
        <w:pStyle w:val="LaTeX"/>
      </w:pPr>
      <w:r>
        <w:t>\centering</w:t>
      </w:r>
    </w:p>
    <w:p w:rsidR="00697A68" w:rsidRDefault="00697A68" w:rsidP="00697A68">
      <w:pPr>
        <w:pStyle w:val="LaTeX"/>
      </w:pPr>
      <w:r>
        <w:t>\includegraphics[width=\linewidth]{</w:t>
      </w:r>
      <w:r w:rsidR="00C23FC6">
        <w:t>../figure/</w:t>
      </w:r>
      <w:r>
        <w:t>limma</w:t>
      </w:r>
      <w:r>
        <w:t>}</w:t>
      </w:r>
    </w:p>
    <w:p w:rsidR="00697A68" w:rsidRDefault="00697A68" w:rsidP="00697A68">
      <w:pPr>
        <w:pStyle w:val="LaTeX"/>
      </w:pPr>
      <w:r>
        <w:t>\caption{</w:t>
      </w:r>
    </w:p>
    <w:p w:rsidR="00697A68" w:rsidRDefault="003E2289" w:rsidP="00697A68">
      <w:r>
        <w:t xml:space="preserve">Differential expression analysis. </w:t>
      </w:r>
      <w:r w:rsidR="000C46A4">
        <w:t>The top panel contains t</w:t>
      </w:r>
      <w:r>
        <w:t>he distribution of unadjusted p-values after testing for differential expression between susceptible and resistant individuals in the (A) noninfected or (B) infected state.</w:t>
      </w:r>
      <w:r w:rsidR="000C46A4">
        <w:t xml:space="preserve"> The bottom panel contains the corresponding MA plots for the (C) </w:t>
      </w:r>
      <w:r w:rsidR="001660EF">
        <w:t>noninfected</w:t>
      </w:r>
      <w:r w:rsidR="000C46A4">
        <w:t xml:space="preserve"> and (D) infected states. </w:t>
      </w:r>
      <w:r w:rsidR="003E29E9">
        <w:t xml:space="preserve">The </w:t>
      </w:r>
      <w:bookmarkStart w:id="3" w:name="_GoBack"/>
      <w:bookmarkEnd w:id="3"/>
      <w:r w:rsidR="007A56D3">
        <w:t>x-axis is the average gene expression level and the y-axis is the log fold change in expression level between susceptible and resistant individuals. Red dots indicate genes which are significant differentially expressed after applying a multiple testing correction.</w:t>
      </w:r>
    </w:p>
    <w:p w:rsidR="00697A68" w:rsidRDefault="00697A68" w:rsidP="000F6A9A">
      <w:pPr>
        <w:pStyle w:val="LaTeX"/>
      </w:pPr>
      <w:r>
        <w:t>}</w:t>
      </w:r>
    </w:p>
    <w:p w:rsidR="00697A68" w:rsidRDefault="00697A68" w:rsidP="00697A68">
      <w:pPr>
        <w:pStyle w:val="LaTeX"/>
      </w:pPr>
      <w:r>
        <w:t>\label{fig:</w:t>
      </w:r>
      <w:r>
        <w:t>limma</w:t>
      </w:r>
      <w:r>
        <w:t>}</w:t>
      </w:r>
    </w:p>
    <w:p w:rsidR="007B2CBE" w:rsidRDefault="00697A68" w:rsidP="00697A68">
      <w:pPr>
        <w:pStyle w:val="LaTeX"/>
      </w:pPr>
      <w:r>
        <w:lastRenderedPageBreak/>
        <w:t>\end{figure}</w:t>
      </w:r>
    </w:p>
    <w:p w:rsidR="00A53E2F" w:rsidRDefault="00B7733A" w:rsidP="00A53E2F">
      <w:pPr>
        <w:pStyle w:val="Heading2"/>
      </w:pPr>
      <w:r>
        <w:t>Differentially expressed genes are enriched for TB susceptibility loci</w:t>
      </w:r>
    </w:p>
    <w:p w:rsidR="00C95797" w:rsidRPr="00C95797" w:rsidRDefault="00C95797" w:rsidP="00C95797"/>
    <w:p w:rsidR="00B7733A" w:rsidRPr="00B7733A" w:rsidRDefault="00C95797" w:rsidP="00C95797">
      <w:pPr>
        <w:pStyle w:val="Heading2"/>
      </w:pPr>
      <w:r>
        <w:t>Gene expression levels in the noninfected state can predict susceptibility status</w:t>
      </w:r>
    </w:p>
    <w:p w:rsidR="003C1725" w:rsidRDefault="00552AAA" w:rsidP="0053091A">
      <w:pPr>
        <w:pStyle w:val="Heading1"/>
      </w:pPr>
      <w:bookmarkStart w:id="4" w:name="discussion"/>
      <w:bookmarkEnd w:id="2"/>
      <w:r>
        <w:t>Discussion</w:t>
      </w:r>
    </w:p>
    <w:p w:rsidR="000763D9" w:rsidRPr="000763D9" w:rsidRDefault="000763D9" w:rsidP="000763D9">
      <w:r>
        <w:t>To do…</w:t>
      </w:r>
    </w:p>
    <w:p w:rsidR="00B7008F" w:rsidRDefault="00552AAA" w:rsidP="0053091A">
      <w:pPr>
        <w:pStyle w:val="Heading1"/>
      </w:pPr>
      <w:bookmarkStart w:id="5" w:name="methods"/>
      <w:bookmarkEnd w:id="4"/>
      <w:r>
        <w:t>Methods</w:t>
      </w:r>
      <w:bookmarkStart w:id="6" w:name="references"/>
      <w:bookmarkEnd w:id="5"/>
    </w:p>
    <w:p w:rsidR="00580FF7" w:rsidRDefault="00580FF7" w:rsidP="0053091A">
      <w:pPr>
        <w:pStyle w:val="Heading2"/>
      </w:pPr>
      <w:r>
        <w:t>Sample collection</w:t>
      </w:r>
    </w:p>
    <w:p w:rsidR="00B7008F" w:rsidRDefault="00580FF7" w:rsidP="00B7008F">
      <w:r>
        <w:t xml:space="preserve">We </w:t>
      </w:r>
      <w:r w:rsidR="00270A0B">
        <w:t>collected whole blood samples from healthy Caucasian male individuals</w:t>
      </w:r>
      <w:r w:rsidR="00951BE4">
        <w:t xml:space="preserve"> living in France</w:t>
      </w:r>
      <w:r w:rsidR="00270A0B">
        <w:t>. The putatively resistant individuals tested positive for a latent TB infection in an interferon-</w:t>
      </w:r>
      <w:r w:rsidR="00FE6F93">
        <w:t>$</w:t>
      </w:r>
      <w:r w:rsidR="00270A0B">
        <w:t>\gamma</w:t>
      </w:r>
      <w:r w:rsidR="00FE6F93">
        <w:t>$</w:t>
      </w:r>
      <w:r w:rsidR="00270A0B">
        <w:t xml:space="preserve"> release assay, but had never developed active TB. The putatively sensitive individuals had developed active TB in the past, but were currently healthy. </w:t>
      </w:r>
      <w:r w:rsidR="0095410A">
        <w:t xml:space="preserve">Our protocol was approved by the </w:t>
      </w:r>
      <w:r w:rsidR="005460EE">
        <w:t>Institutional</w:t>
      </w:r>
      <w:r w:rsidR="0095410A">
        <w:t xml:space="preserve"> Review Boards of the University of Chicago (10-504-B) and the Institut Pasteur (</w:t>
      </w:r>
      <w:r w:rsidR="0095410A" w:rsidRPr="0095410A">
        <w:t>IRB00006966</w:t>
      </w:r>
      <w:r w:rsidR="0095410A">
        <w:t>).</w:t>
      </w:r>
    </w:p>
    <w:p w:rsidR="00AD66EC" w:rsidRDefault="00AD66EC" w:rsidP="00AD66EC">
      <w:pPr>
        <w:pStyle w:val="Heading2"/>
      </w:pPr>
      <w:r>
        <w:t>Isolation and infection of dendritic cells</w:t>
      </w:r>
    </w:p>
    <w:p w:rsidR="00AD66EC" w:rsidRDefault="00AD66EC" w:rsidP="00AD66EC"/>
    <w:p w:rsidR="00980DAB" w:rsidRDefault="00980DAB" w:rsidP="00980DAB">
      <w:pPr>
        <w:pStyle w:val="Heading2"/>
      </w:pPr>
      <w:r>
        <w:t>RNA extraction and sequencing</w:t>
      </w:r>
    </w:p>
    <w:p w:rsidR="00980DAB" w:rsidRDefault="00B25082" w:rsidP="00AD66EC">
      <w:r>
        <w:t xml:space="preserve">We extracted RNA using the Qiagen miRNeasy Kit and prepared sequencing libraries using the Illumina TruSeq Kit. </w:t>
      </w:r>
      <w:r w:rsidR="0058693C">
        <w:t xml:space="preserve">We sent the master mixes to the University of Chicago Functional Genomics Facility to be sequenced on an Illumina HiSeq 4000. </w:t>
      </w:r>
      <w:r w:rsidR="0041784D">
        <w:t>We designed the batches for RNA extraction, library preparation, and sequencing to balance the experimental factors of interest and thus avoid potential technical confounders.</w:t>
      </w:r>
    </w:p>
    <w:p w:rsidR="00F21CBB" w:rsidRDefault="00F21CBB" w:rsidP="00F21CBB">
      <w:pPr>
        <w:pStyle w:val="Heading2"/>
      </w:pPr>
      <w:r>
        <w:t>Read mapping</w:t>
      </w:r>
    </w:p>
    <w:p w:rsidR="00F21CBB" w:rsidRPr="00F21CBB" w:rsidRDefault="00F21CBB" w:rsidP="00F21CBB">
      <w:r>
        <w:t>We mapped reads to human gen</w:t>
      </w:r>
      <w:r w:rsidR="0091497F">
        <w:t>ome hg38 (GRCh38) using Subread and discarded non-uniquely mapping reads. We assigned mapped reads to</w:t>
      </w:r>
      <w:r w:rsidR="00F6475F">
        <w:t xml:space="preserve"> 19,800</w:t>
      </w:r>
      <w:r w:rsidR="0091497F">
        <w:t xml:space="preserve"> Ensembl protein-coding genes (Ensembl 83,</w:t>
      </w:r>
      <w:r w:rsidR="0091497F" w:rsidRPr="0091497F">
        <w:t xml:space="preserve"> Dec 2015</w:t>
      </w:r>
      <w:r w:rsidR="0091497F">
        <w:t xml:space="preserve">, </w:t>
      </w:r>
      <w:r w:rsidR="0091497F" w:rsidRPr="0091497F">
        <w:t>GRCh38.p5</w:t>
      </w:r>
      <w:r w:rsidR="0091497F">
        <w:t>) using featureCounts.</w:t>
      </w:r>
    </w:p>
    <w:p w:rsidR="00980DAB" w:rsidRDefault="00980DAB" w:rsidP="00980DAB">
      <w:pPr>
        <w:pStyle w:val="Heading2"/>
      </w:pPr>
      <w:r>
        <w:lastRenderedPageBreak/>
        <w:t>Quality control</w:t>
      </w:r>
    </w:p>
    <w:p w:rsidR="002928DD" w:rsidRPr="00980DAB" w:rsidRDefault="00C35C7D" w:rsidP="00980DAB">
      <w:r>
        <w:t xml:space="preserve">First we </w:t>
      </w:r>
      <w:r w:rsidR="00663272">
        <w:t>filtered</w:t>
      </w:r>
      <w:r>
        <w:t xml:space="preserve"> genes</w:t>
      </w:r>
      <w:r w:rsidR="00663272">
        <w:t xml:space="preserve"> by their expression level</w:t>
      </w:r>
      <w:r w:rsidR="00D34891">
        <w:t xml:space="preserve"> by </w:t>
      </w:r>
      <w:r w:rsidR="00663272">
        <w:t>remov</w:t>
      </w:r>
      <w:r w:rsidR="00D34891">
        <w:t>ing</w:t>
      </w:r>
      <w:r w:rsidR="00663272">
        <w:t xml:space="preserve"> </w:t>
      </w:r>
      <w:r w:rsidR="00D34891">
        <w:t>all genes with a median log2 counts per million (cpm)</w:t>
      </w:r>
      <w:r w:rsidR="00663272">
        <w:t xml:space="preserve"> </w:t>
      </w:r>
      <w:r>
        <w:t>less than zero</w:t>
      </w:r>
      <w:r w:rsidR="00663272">
        <w:t xml:space="preserve">. This resulted in a final set of </w:t>
      </w:r>
      <w:r w:rsidRPr="00C35C7D">
        <w:t>11</w:t>
      </w:r>
      <w:r>
        <w:t>,</w:t>
      </w:r>
      <w:r w:rsidRPr="00C35C7D">
        <w:t>336</w:t>
      </w:r>
      <w:r w:rsidR="00663272">
        <w:t xml:space="preserve"> genes</w:t>
      </w:r>
      <w:r>
        <w:t xml:space="preserve"> </w:t>
      </w:r>
      <w:r w:rsidR="009970DE">
        <w:t>for downstream analysis (Supplementary Fig. Sx)</w:t>
      </w:r>
      <w:r w:rsidR="007C3548">
        <w:t>.</w:t>
      </w:r>
      <w:r w:rsidR="00D1016F">
        <w:t xml:space="preserve"> </w:t>
      </w:r>
      <w:r w:rsidR="003A306A">
        <w:t>Next w</w:t>
      </w:r>
      <w:r w:rsidR="0052631F">
        <w:t xml:space="preserve">e used principal components analysis (PCA) and hierarchical clustering to identify </w:t>
      </w:r>
      <w:r w:rsidR="00B56C00">
        <w:t xml:space="preserve">and remove 6 </w:t>
      </w:r>
      <w:r w:rsidR="0052631F">
        <w:t>outliers</w:t>
      </w:r>
      <w:r w:rsidR="00B56C00">
        <w:t xml:space="preserve"> (Supplementary Fig. Sx, Sx, Sx</w:t>
      </w:r>
      <w:r w:rsidR="00507E34">
        <w:t>; Supplementary Table \ref{</w:t>
      </w:r>
      <w:r w:rsidR="000F2999">
        <w:t>tab</w:t>
      </w:r>
      <w:r w:rsidR="001B1307">
        <w:t>:outliers})</w:t>
      </w:r>
      <w:r w:rsidR="00B56C00">
        <w:t>.</w:t>
      </w:r>
    </w:p>
    <w:p w:rsidR="002405DF" w:rsidRDefault="002405DF" w:rsidP="00201A05">
      <w:pPr>
        <w:pStyle w:val="Heading2"/>
      </w:pPr>
      <w:r>
        <w:t>Differential expression analysis</w:t>
      </w:r>
    </w:p>
    <w:p w:rsidR="00C35C7D" w:rsidRDefault="00C35C7D" w:rsidP="00201A05">
      <w:r>
        <w:t xml:space="preserve">We used </w:t>
      </w:r>
      <w:r w:rsidR="00DA6365">
        <w:t>limma</w:t>
      </w:r>
      <w:r w:rsidR="000F6A9A">
        <w:t>+voom</w:t>
      </w:r>
      <w:r w:rsidR="00DA6365">
        <w:t xml:space="preserve"> \cite{Smyth2004</w:t>
      </w:r>
      <w:r w:rsidR="000F6A9A">
        <w:t>, Law2014, Ritchie2015</w:t>
      </w:r>
      <w:r w:rsidR="00DA6365">
        <w:t xml:space="preserve">} to implement </w:t>
      </w:r>
      <w:r>
        <w:t>the following linear model to test for differential expression:</w:t>
      </w:r>
    </w:p>
    <w:p w:rsidR="00201A05" w:rsidRDefault="00C6746E" w:rsidP="00137DFE">
      <w:pPr>
        <w:pStyle w:val="LaTeX"/>
      </w:pPr>
      <w:r w:rsidRPr="00C6746E">
        <w:t>$$ Y\ \sim</w:t>
      </w:r>
      <w:r w:rsidR="00D75F04">
        <w:t xml:space="preserve"> </w:t>
      </w:r>
      <w:r w:rsidRPr="00C6746E">
        <w:t>\beta_0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X_{treat}\beta_{treat}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X_{status}\beta_{status}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X_{treat,status}\beta_{treat,status}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I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\epsilon $$</w:t>
      </w:r>
    </w:p>
    <w:p w:rsidR="00980DAB" w:rsidRDefault="00980DAB" w:rsidP="00201A05"/>
    <w:p w:rsidR="00980DAB" w:rsidRDefault="00EE7DC3" w:rsidP="00EE7DC3">
      <w:pPr>
        <w:pStyle w:val="Heading2"/>
      </w:pPr>
      <w:r>
        <w:t>Comparison to GWAS results</w:t>
      </w:r>
    </w:p>
    <w:p w:rsidR="00EE7DC3" w:rsidRDefault="00EE7DC3" w:rsidP="00EE7DC3"/>
    <w:p w:rsidR="00EE7DC3" w:rsidRDefault="00EE7DC3" w:rsidP="00EE7DC3">
      <w:pPr>
        <w:pStyle w:val="Heading2"/>
      </w:pPr>
      <w:r>
        <w:t>Classifier</w:t>
      </w:r>
    </w:p>
    <w:p w:rsidR="00EE7DC3" w:rsidRDefault="00EE7DC3" w:rsidP="00EE7DC3"/>
    <w:p w:rsidR="00EE7DC3" w:rsidRDefault="00EE7DC3" w:rsidP="00EE7DC3"/>
    <w:p w:rsidR="00C12D99" w:rsidRDefault="00C12D99" w:rsidP="00C12D99">
      <w:pPr>
        <w:pStyle w:val="Heading1"/>
      </w:pPr>
      <w:r w:rsidRPr="00C12D99">
        <w:t>Acknowledgements</w:t>
      </w:r>
    </w:p>
    <w:p w:rsidR="00C12D99" w:rsidRPr="00C12D99" w:rsidRDefault="00895A20" w:rsidP="002D3912">
      <w:r>
        <w:t xml:space="preserve">We thank </w:t>
      </w:r>
      <w:r w:rsidR="00FA1AE0" w:rsidRPr="00FA1AE0">
        <w:t>T. Thye for sharing the GWAS data with us</w:t>
      </w:r>
      <w:r w:rsidR="00FD40BA">
        <w:t xml:space="preserve">. </w:t>
      </w:r>
      <w:r w:rsidR="00FD40BA" w:rsidRPr="00FD40BA">
        <w:t>This study was funded by National Institutes of Health</w:t>
      </w:r>
      <w:r w:rsidR="00B14043">
        <w:t xml:space="preserve"> (NIH)</w:t>
      </w:r>
      <w:r w:rsidR="00FD40BA" w:rsidRPr="00FD40BA">
        <w:t xml:space="preserve"> Grant AI087658 to YG</w:t>
      </w:r>
      <w:r w:rsidR="00C93774">
        <w:t xml:space="preserve"> and L</w:t>
      </w:r>
      <w:r w:rsidR="00FD40BA" w:rsidRPr="00FD40BA">
        <w:t>T</w:t>
      </w:r>
      <w:r w:rsidR="00C93774">
        <w:t>.</w:t>
      </w:r>
      <w:r w:rsidR="00B14043">
        <w:t xml:space="preserve"> JDB was supported by NIH T32GM007197. The content is solely the responsibility of the authors and does not necessarily represent the official views of the </w:t>
      </w:r>
      <w:r w:rsidR="00C93774">
        <w:t>NIH</w:t>
      </w:r>
      <w:r w:rsidR="00B14043">
        <w:t>.</w:t>
      </w:r>
    </w:p>
    <w:p w:rsidR="002405DF" w:rsidRDefault="002405DF" w:rsidP="0053091A">
      <w:pPr>
        <w:pStyle w:val="Heading1"/>
      </w:pPr>
      <w:r>
        <w:t>Author Contributions</w:t>
      </w:r>
    </w:p>
    <w:p w:rsidR="00A70383" w:rsidRDefault="002405DF" w:rsidP="009A1DA8">
      <w:r>
        <w:t>YG, LT</w:t>
      </w:r>
      <w:r w:rsidR="001D1AF1">
        <w:t>,</w:t>
      </w:r>
      <w:r>
        <w:t xml:space="preserve"> and LBB conceived of the study and designed the experiments. LT performed the infection experiments. </w:t>
      </w:r>
      <w:r w:rsidR="002A7A66">
        <w:t>MM</w:t>
      </w:r>
      <w:r>
        <w:t xml:space="preserve"> extracted the RNA </w:t>
      </w:r>
      <w:r w:rsidR="002A7A66">
        <w:t>and</w:t>
      </w:r>
      <w:r>
        <w:t xml:space="preserve"> prepared the sequencing libraries. </w:t>
      </w:r>
      <w:r w:rsidR="002A7A66">
        <w:t xml:space="preserve">JDB </w:t>
      </w:r>
      <w:r w:rsidR="00D63475">
        <w:t>analyzed the results.</w:t>
      </w:r>
      <w:r w:rsidR="002A7A66">
        <w:t xml:space="preserve"> </w:t>
      </w:r>
      <w:r>
        <w:t xml:space="preserve">LBB and YG supervised the project. JDB and </w:t>
      </w:r>
      <w:r w:rsidR="00D63475">
        <w:t xml:space="preserve">YG wrote the </w:t>
      </w:r>
      <w:r w:rsidR="00A20C9F">
        <w:t>original draft</w:t>
      </w:r>
      <w:r w:rsidR="00D63475">
        <w:t>. A</w:t>
      </w:r>
      <w:r w:rsidR="002A7A66">
        <w:t>ll authors reviewed the manuscript.</w:t>
      </w:r>
    </w:p>
    <w:p w:rsidR="002D3912" w:rsidRDefault="002D3912" w:rsidP="009A1DA8"/>
    <w:p w:rsidR="009A1DA8" w:rsidRDefault="009A1DA8" w:rsidP="00137DFE">
      <w:pPr>
        <w:pStyle w:val="LaTeX"/>
      </w:pPr>
      <w:r>
        <w:lastRenderedPageBreak/>
        <w:t>\bibliography{references</w:t>
      </w:r>
      <w:r w:rsidRPr="00903812">
        <w:t>}</w:t>
      </w:r>
    </w:p>
    <w:bookmarkEnd w:id="6"/>
    <w:p w:rsidR="00B27961" w:rsidRDefault="00B27961">
      <w:pPr>
        <w:spacing w:after="200" w:line="240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:rsidR="009A1DA8" w:rsidRDefault="00DB4486" w:rsidP="00DB4486">
      <w:pPr>
        <w:pStyle w:val="Heading1"/>
      </w:pPr>
      <w:r>
        <w:lastRenderedPageBreak/>
        <w:t>Supplementary Information</w:t>
      </w:r>
    </w:p>
    <w:p w:rsidR="00BF1E7D" w:rsidRDefault="00BF1E7D" w:rsidP="00BF1E7D">
      <w:pPr>
        <w:pStyle w:val="Heading2"/>
      </w:pPr>
      <w:r>
        <w:t>Software implementation</w:t>
      </w:r>
    </w:p>
    <w:p w:rsidR="00C14E42" w:rsidRPr="00C14E42" w:rsidRDefault="00C14E42" w:rsidP="00C14E42">
      <w:pPr>
        <w:pStyle w:val="Heading2"/>
      </w:pPr>
      <w:r>
        <w:t>Supplementary Tables</w:t>
      </w:r>
    </w:p>
    <w:tbl>
      <w:tblPr>
        <w:tblStyle w:val="LightList"/>
        <w:tblW w:w="10368" w:type="dxa"/>
        <w:tblLook w:val="04A0" w:firstRow="1" w:lastRow="0" w:firstColumn="1" w:lastColumn="0" w:noHBand="0" w:noVBand="1"/>
      </w:tblPr>
      <w:tblGrid>
        <w:gridCol w:w="3168"/>
        <w:gridCol w:w="5130"/>
        <w:gridCol w:w="2070"/>
      </w:tblGrid>
      <w:tr w:rsidR="004B3941" w:rsidTr="00A32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B3941" w:rsidRDefault="004B3941" w:rsidP="009B7EE2">
            <w:r>
              <w:t>ID</w:t>
            </w:r>
          </w:p>
        </w:tc>
        <w:tc>
          <w:tcPr>
            <w:tcW w:w="5130" w:type="dxa"/>
          </w:tcPr>
          <w:p w:rsidR="004B3941" w:rsidRDefault="004B3941" w:rsidP="009B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4B3941" w:rsidRDefault="004B3941" w:rsidP="009B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PCs</w:t>
            </w:r>
          </w:p>
        </w:tc>
      </w:tr>
      <w:tr w:rsidR="004B3941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B3941" w:rsidRDefault="004B3941" w:rsidP="009B7EE2">
            <w:r>
              <w:t>18-contact-infected</w:t>
            </w:r>
          </w:p>
        </w:tc>
        <w:tc>
          <w:tcPr>
            <w:tcW w:w="5130" w:type="dxa"/>
          </w:tcPr>
          <w:p w:rsidR="004B3941" w:rsidRDefault="00E05B63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after infection</w:t>
            </w:r>
          </w:p>
        </w:tc>
        <w:tc>
          <w:tcPr>
            <w:tcW w:w="2070" w:type="dxa"/>
          </w:tcPr>
          <w:p w:rsidR="004B3941" w:rsidRDefault="004B3941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06-contact-none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Resistant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2, 4, 5</w:t>
            </w:r>
          </w:p>
        </w:tc>
      </w:tr>
      <w:tr w:rsidR="00A3250F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06-contact-infected</w:t>
            </w:r>
          </w:p>
        </w:tc>
        <w:tc>
          <w:tcPr>
            <w:tcW w:w="5130" w:type="dxa"/>
          </w:tcPr>
          <w:p w:rsidR="00A3250F" w:rsidRDefault="00A3250F" w:rsidP="00BA1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after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04-tb-none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Susceptible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3, 5, 6</w:t>
            </w:r>
          </w:p>
        </w:tc>
      </w:tr>
      <w:tr w:rsidR="00A3250F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02-contact-none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3, 5, 6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01-tb-infected</w:t>
            </w:r>
          </w:p>
        </w:tc>
        <w:tc>
          <w:tcPr>
            <w:tcW w:w="5130" w:type="dxa"/>
          </w:tcPr>
          <w:p w:rsidR="00A3250F" w:rsidRDefault="00A3250F" w:rsidP="00BA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Susceptible individual after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77790F" w:rsidRDefault="0077790F" w:rsidP="00137DFE">
      <w:pPr>
        <w:pStyle w:val="LaTeX"/>
      </w:pPr>
      <w:r>
        <w:t>\begin{table}[ht]</w:t>
      </w:r>
    </w:p>
    <w:p w:rsidR="0077790F" w:rsidRDefault="0077790F" w:rsidP="00137DFE">
      <w:pPr>
        <w:pStyle w:val="LaTeX"/>
      </w:pPr>
      <w:r>
        <w:t>\centering</w:t>
      </w:r>
    </w:p>
    <w:p w:rsidR="00C14E42" w:rsidRDefault="00C14E42" w:rsidP="00137DFE">
      <w:pPr>
        <w:pStyle w:val="LaTeX"/>
      </w:pPr>
      <w:r>
        <w:t>\caption{</w:t>
      </w:r>
    </w:p>
    <w:p w:rsidR="00C14E42" w:rsidRDefault="006C5E92" w:rsidP="00C14E42">
      <w:r>
        <w:t>The following outliers were removed from all analyses based on their discordant clustering observed with PCA and hierarchical clustering.</w:t>
      </w:r>
    </w:p>
    <w:p w:rsidR="00C14E42" w:rsidRDefault="00C14E42" w:rsidP="00137DFE">
      <w:pPr>
        <w:pStyle w:val="LaTeX"/>
      </w:pPr>
      <w:r>
        <w:t>}</w:t>
      </w:r>
    </w:p>
    <w:p w:rsidR="0077790F" w:rsidRDefault="0077790F" w:rsidP="00137DFE">
      <w:pPr>
        <w:pStyle w:val="LaTeX"/>
      </w:pPr>
      <w:r>
        <w:t>\begin{tabular}{|l|l|l|}</w:t>
      </w:r>
    </w:p>
    <w:p w:rsidR="0077790F" w:rsidRDefault="0077790F" w:rsidP="00137DFE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ID &amp; Description &amp; PCs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18-contact-infected &amp; Resistant individual after infection &amp; 1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06-contact-none &amp; Resistant individual before infection &amp; 2, 4, 5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06-contact-infected &amp; Resistant individual after infection &amp; 2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04-tb-none &amp; Susceptible individual before infection &amp; 3, 5, 6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02-contact-none &amp; Resistant individual before infection &amp; 3, 5, 6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01-tb-infected &amp; Susceptible individual after infection &amp; 5 \\</w:t>
      </w:r>
    </w:p>
    <w:p w:rsidR="00942E3D" w:rsidRDefault="009903D0" w:rsidP="009903D0">
      <w:pPr>
        <w:pStyle w:val="LaTeX"/>
      </w:pPr>
      <w:r>
        <w:t>\hline</w:t>
      </w:r>
    </w:p>
    <w:p w:rsidR="0077790F" w:rsidRDefault="0077790F" w:rsidP="009903D0">
      <w:pPr>
        <w:pStyle w:val="LaTeX"/>
      </w:pPr>
      <w:r>
        <w:t>\end{tabular}</w:t>
      </w:r>
    </w:p>
    <w:p w:rsidR="00C14E42" w:rsidRDefault="00507E34" w:rsidP="009903D0">
      <w:pPr>
        <w:pStyle w:val="LaTeX"/>
      </w:pPr>
      <w:r>
        <w:t>\label{</w:t>
      </w:r>
      <w:r w:rsidR="00C14E42">
        <w:t>tab:outliers}</w:t>
      </w:r>
    </w:p>
    <w:p w:rsidR="001D0D26" w:rsidRDefault="0077790F" w:rsidP="00137DFE">
      <w:pPr>
        <w:pStyle w:val="LaTeX"/>
      </w:pPr>
      <w:r>
        <w:t>\end{table}</w:t>
      </w:r>
    </w:p>
    <w:p w:rsidR="00942E3D" w:rsidRDefault="00942E3D" w:rsidP="00137DFE">
      <w:pPr>
        <w:pStyle w:val="LaTeX"/>
      </w:pPr>
    </w:p>
    <w:sectPr w:rsidR="00942E3D" w:rsidSect="00FA548C">
      <w:footerReference w:type="default" r:id="rId11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A6" w:rsidRDefault="007346A6" w:rsidP="00224E16">
      <w:pPr>
        <w:spacing w:line="240" w:lineRule="auto"/>
      </w:pPr>
      <w:r>
        <w:separator/>
      </w:r>
    </w:p>
  </w:endnote>
  <w:endnote w:type="continuationSeparator" w:id="0">
    <w:p w:rsidR="007346A6" w:rsidRDefault="007346A6" w:rsidP="00224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9704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E16" w:rsidRDefault="00224E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9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24E16" w:rsidRDefault="0022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A6" w:rsidRDefault="007346A6" w:rsidP="00224E16">
      <w:pPr>
        <w:spacing w:line="240" w:lineRule="auto"/>
      </w:pPr>
      <w:r>
        <w:separator/>
      </w:r>
    </w:p>
  </w:footnote>
  <w:footnote w:type="continuationSeparator" w:id="0">
    <w:p w:rsidR="007346A6" w:rsidRDefault="007346A6" w:rsidP="00224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09C28B"/>
    <w:multiLevelType w:val="multilevel"/>
    <w:tmpl w:val="9A8EBF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0"/>
    <w:multiLevelType w:val="singleLevel"/>
    <w:tmpl w:val="F7F2AE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DE8AA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4FE44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DC9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ABC64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7A14A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3508CF"/>
    <w:multiLevelType w:val="multilevel"/>
    <w:tmpl w:val="53484F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57A819"/>
    <w:multiLevelType w:val="multilevel"/>
    <w:tmpl w:val="FED0FC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AC5"/>
    <w:rsid w:val="00054BB6"/>
    <w:rsid w:val="000633DD"/>
    <w:rsid w:val="000763D9"/>
    <w:rsid w:val="000A62EE"/>
    <w:rsid w:val="000C46A4"/>
    <w:rsid w:val="000E703B"/>
    <w:rsid w:val="000E7D3C"/>
    <w:rsid w:val="000F2999"/>
    <w:rsid w:val="000F6A9A"/>
    <w:rsid w:val="00137DFE"/>
    <w:rsid w:val="001660EF"/>
    <w:rsid w:val="0017209A"/>
    <w:rsid w:val="00197357"/>
    <w:rsid w:val="001B1307"/>
    <w:rsid w:val="001B70A3"/>
    <w:rsid w:val="001D0D26"/>
    <w:rsid w:val="001D1AF1"/>
    <w:rsid w:val="00201A05"/>
    <w:rsid w:val="00224E16"/>
    <w:rsid w:val="002405DF"/>
    <w:rsid w:val="00244BF2"/>
    <w:rsid w:val="00270A0B"/>
    <w:rsid w:val="002928DD"/>
    <w:rsid w:val="002A7A66"/>
    <w:rsid w:val="002D15F6"/>
    <w:rsid w:val="002D3912"/>
    <w:rsid w:val="00345317"/>
    <w:rsid w:val="00370968"/>
    <w:rsid w:val="00376917"/>
    <w:rsid w:val="003A306A"/>
    <w:rsid w:val="003C1725"/>
    <w:rsid w:val="003E2289"/>
    <w:rsid w:val="003E29E9"/>
    <w:rsid w:val="0041784D"/>
    <w:rsid w:val="004221E5"/>
    <w:rsid w:val="004422A3"/>
    <w:rsid w:val="00467B50"/>
    <w:rsid w:val="004B0011"/>
    <w:rsid w:val="004B3941"/>
    <w:rsid w:val="004E29B3"/>
    <w:rsid w:val="004F4461"/>
    <w:rsid w:val="004F60F7"/>
    <w:rsid w:val="00507E34"/>
    <w:rsid w:val="00511079"/>
    <w:rsid w:val="0052631F"/>
    <w:rsid w:val="0053091A"/>
    <w:rsid w:val="005460EE"/>
    <w:rsid w:val="00552AAA"/>
    <w:rsid w:val="00563C8E"/>
    <w:rsid w:val="005668DF"/>
    <w:rsid w:val="00580AD8"/>
    <w:rsid w:val="00580FF7"/>
    <w:rsid w:val="0058693C"/>
    <w:rsid w:val="00590D07"/>
    <w:rsid w:val="00592526"/>
    <w:rsid w:val="00600967"/>
    <w:rsid w:val="00632B81"/>
    <w:rsid w:val="00643898"/>
    <w:rsid w:val="00647283"/>
    <w:rsid w:val="00663272"/>
    <w:rsid w:val="00671E0A"/>
    <w:rsid w:val="0068489D"/>
    <w:rsid w:val="00697A68"/>
    <w:rsid w:val="006A58CF"/>
    <w:rsid w:val="006B0E4E"/>
    <w:rsid w:val="006B29BF"/>
    <w:rsid w:val="006C5E92"/>
    <w:rsid w:val="00721798"/>
    <w:rsid w:val="007346A6"/>
    <w:rsid w:val="0077790F"/>
    <w:rsid w:val="00784D58"/>
    <w:rsid w:val="007A56D3"/>
    <w:rsid w:val="007B2CBE"/>
    <w:rsid w:val="007C3548"/>
    <w:rsid w:val="007D6425"/>
    <w:rsid w:val="007E498B"/>
    <w:rsid w:val="008566D9"/>
    <w:rsid w:val="00895A20"/>
    <w:rsid w:val="008B7742"/>
    <w:rsid w:val="008D6863"/>
    <w:rsid w:val="008D6A14"/>
    <w:rsid w:val="009046AF"/>
    <w:rsid w:val="0091497F"/>
    <w:rsid w:val="00942E3D"/>
    <w:rsid w:val="00951BE4"/>
    <w:rsid w:val="0095410A"/>
    <w:rsid w:val="0095638B"/>
    <w:rsid w:val="00980DAB"/>
    <w:rsid w:val="009903D0"/>
    <w:rsid w:val="009970DE"/>
    <w:rsid w:val="009A1DA8"/>
    <w:rsid w:val="009B7EE2"/>
    <w:rsid w:val="009E4D11"/>
    <w:rsid w:val="00A20C9F"/>
    <w:rsid w:val="00A24AC0"/>
    <w:rsid w:val="00A3250F"/>
    <w:rsid w:val="00A53E2F"/>
    <w:rsid w:val="00A70383"/>
    <w:rsid w:val="00AB0690"/>
    <w:rsid w:val="00AD66EC"/>
    <w:rsid w:val="00B13C74"/>
    <w:rsid w:val="00B14043"/>
    <w:rsid w:val="00B25082"/>
    <w:rsid w:val="00B27961"/>
    <w:rsid w:val="00B56C00"/>
    <w:rsid w:val="00B7008F"/>
    <w:rsid w:val="00B7474D"/>
    <w:rsid w:val="00B7733A"/>
    <w:rsid w:val="00B80146"/>
    <w:rsid w:val="00B836E1"/>
    <w:rsid w:val="00B8589F"/>
    <w:rsid w:val="00B86B75"/>
    <w:rsid w:val="00B942F6"/>
    <w:rsid w:val="00BB5723"/>
    <w:rsid w:val="00BB6396"/>
    <w:rsid w:val="00BC48D5"/>
    <w:rsid w:val="00BF1E7D"/>
    <w:rsid w:val="00C12D99"/>
    <w:rsid w:val="00C14E42"/>
    <w:rsid w:val="00C23FC6"/>
    <w:rsid w:val="00C25F28"/>
    <w:rsid w:val="00C27A99"/>
    <w:rsid w:val="00C32006"/>
    <w:rsid w:val="00C35C7D"/>
    <w:rsid w:val="00C36279"/>
    <w:rsid w:val="00C3793C"/>
    <w:rsid w:val="00C647D7"/>
    <w:rsid w:val="00C6746E"/>
    <w:rsid w:val="00C76F21"/>
    <w:rsid w:val="00C847C4"/>
    <w:rsid w:val="00C91C23"/>
    <w:rsid w:val="00C93774"/>
    <w:rsid w:val="00C95797"/>
    <w:rsid w:val="00CA37CE"/>
    <w:rsid w:val="00CB5965"/>
    <w:rsid w:val="00D1016F"/>
    <w:rsid w:val="00D34891"/>
    <w:rsid w:val="00D441DB"/>
    <w:rsid w:val="00D63475"/>
    <w:rsid w:val="00D75F04"/>
    <w:rsid w:val="00D85938"/>
    <w:rsid w:val="00DA6365"/>
    <w:rsid w:val="00DB4486"/>
    <w:rsid w:val="00E00A65"/>
    <w:rsid w:val="00E05B63"/>
    <w:rsid w:val="00E06DBC"/>
    <w:rsid w:val="00E203A2"/>
    <w:rsid w:val="00E315A3"/>
    <w:rsid w:val="00E81F3B"/>
    <w:rsid w:val="00EA00B2"/>
    <w:rsid w:val="00EE7DC3"/>
    <w:rsid w:val="00F21CBB"/>
    <w:rsid w:val="00F2206C"/>
    <w:rsid w:val="00F6475F"/>
    <w:rsid w:val="00F65D2C"/>
    <w:rsid w:val="00F71223"/>
    <w:rsid w:val="00F862DC"/>
    <w:rsid w:val="00FA1AE0"/>
    <w:rsid w:val="00FA548C"/>
    <w:rsid w:val="00FD40BA"/>
    <w:rsid w:val="00FE1DFC"/>
    <w:rsid w:val="00FE6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A53E2F"/>
    <w:pPr>
      <w:spacing w:after="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A53E2F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53E2F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CA37CE"/>
    <w:pPr>
      <w:keepNext/>
      <w:keepLines/>
      <w:spacing w:after="0" w:line="360" w:lineRule="auto"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rsid w:val="00F862D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next w:val="Normal"/>
    <w:link w:val="BodyTextChar"/>
    <w:rsid w:val="00B836E1"/>
    <w:p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</w:pPr>
  </w:style>
  <w:style w:type="character" w:customStyle="1" w:styleId="BodyTextChar">
    <w:name w:val="Body Text Char"/>
    <w:basedOn w:val="DefaultParagraphFont"/>
    <w:link w:val="ImageCaption"/>
    <w:rsid w:val="00B836E1"/>
    <w:rPr>
      <w:rFonts w:ascii="Arial" w:hAnsi="Arial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2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2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671E0A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244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4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24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24E16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224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24E16"/>
    <w:rPr>
      <w:rFonts w:ascii="Arial" w:hAnsi="Arial"/>
    </w:rPr>
  </w:style>
  <w:style w:type="character" w:styleId="LineNumber">
    <w:name w:val="line number"/>
    <w:basedOn w:val="DefaultParagraphFont"/>
    <w:semiHidden/>
    <w:unhideWhenUsed/>
    <w:rsid w:val="008B7742"/>
  </w:style>
  <w:style w:type="character" w:styleId="Hyperlink">
    <w:name w:val="Hyperlink"/>
    <w:basedOn w:val="DefaultParagraphFont"/>
    <w:rsid w:val="00FA548C"/>
    <w:rPr>
      <w:color w:val="0000FF" w:themeColor="hyperlink"/>
      <w:u w:val="single"/>
    </w:rPr>
  </w:style>
  <w:style w:type="table" w:styleId="TableGrid">
    <w:name w:val="Table Grid"/>
    <w:basedOn w:val="TableNormal"/>
    <w:rsid w:val="004B39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rsid w:val="004B394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aTeX">
    <w:name w:val="LaTeX"/>
    <w:basedOn w:val="Normal"/>
    <w:qFormat/>
    <w:rsid w:val="00C32006"/>
    <w:pPr>
      <w:spacing w:line="240" w:lineRule="auto"/>
      <w:jc w:val="left"/>
    </w:pPr>
    <w:rPr>
      <w:rFonts w:ascii="Consolas" w:hAnsi="Consolas" w:cs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file:///Y:\repos\tb-suscept\figure\limma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0261562-EBFF-48EA-A1E1-B0DCF6D9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 effects and the effective design of single-cell gene expression studies</vt:lpstr>
    </vt:vector>
  </TitlesOfParts>
  <Company/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effects and the effective design of single-cell gene expression studies</dc:title>
  <dc:creator/>
  <cp:lastModifiedBy>John Blischak</cp:lastModifiedBy>
  <cp:revision>126</cp:revision>
  <dcterms:created xsi:type="dcterms:W3CDTF">2016-07-08T21:38:00Z</dcterms:created>
  <dcterms:modified xsi:type="dcterms:W3CDTF">2016-08-29T17:17:00Z</dcterms:modified>
</cp:coreProperties>
</file>