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p w:rsidR="005A7C2F" w:rsidRDefault="005A7C2F" w:rsidP="00A143EE">
      <w:pPr>
        <w:pStyle w:val="Abstract"/>
      </w:pPr>
      <w:bookmarkStart w:id="1" w:name="introduction"/>
      <w:bookmarkEnd w:id="0"/>
      <w:r>
        <w:lastRenderedPageBreak/>
        <w:t xml:space="preserve">Interestingly, we identified 645 genes which were differentially expressed between susceptible and resistant individuals in the noninfected state, including </w:t>
      </w:r>
      <w:r w:rsidRPr="00AD43A1">
        <w:rPr>
          <w:i/>
        </w:rPr>
        <w:t>ATPV1B2</w:t>
      </w:r>
      <w:r>
        <w:t xml:space="preserve">, </w:t>
      </w:r>
      <w:r w:rsidRPr="00AD43A1">
        <w:rPr>
          <w:i/>
        </w:rPr>
        <w:t>FEZ2</w:t>
      </w:r>
      <w:r>
        <w:t>,</w:t>
      </w:r>
      <w:r w:rsidR="002B0378">
        <w:t xml:space="preserve"> and</w:t>
      </w:r>
      <w:r>
        <w:t xml:space="preserve"> </w:t>
      </w:r>
      <w:r w:rsidRPr="00AD43A1">
        <w:rPr>
          <w:i/>
        </w:rPr>
        <w:t>PSMA2</w:t>
      </w:r>
      <w:r>
        <w:t>. Furthermore, we found that these differentially expressed genes were enriched for low GWAS p-values and could be used to classify susceptible and resistant individuals.</w:t>
      </w:r>
    </w:p>
    <w:p w:rsidR="00AB0690" w:rsidRDefault="00552AAA" w:rsidP="00AB0690">
      <w:pPr>
        <w:pStyle w:val="Heading1"/>
      </w:pPr>
      <w:r>
        <w:t>Introduction</w:t>
      </w:r>
    </w:p>
    <w:p w:rsidR="00B364E7" w:rsidRDefault="00B364E7" w:rsidP="00B364E7">
      <w:r>
        <w:t xml:space="preserve">Tuberculosis (TB) is a major public health issue. </w:t>
      </w:r>
      <w:r w:rsidR="00C325CB">
        <w:t>Over a million people</w:t>
      </w:r>
      <w:r>
        <w:t xml:space="preserve"> die of TB annually, and millions more </w:t>
      </w:r>
      <w:r w:rsidR="00C325CB">
        <w:t xml:space="preserve">currently </w:t>
      </w:r>
      <w:r>
        <w:t>live with the disease</w:t>
      </w:r>
      <w:r w:rsidR="00176326">
        <w:t xml:space="preserve"> \cite{</w:t>
      </w:r>
      <w:r w:rsidR="00CD01B4">
        <w:t>WHO2015</w:t>
      </w:r>
      <w:r w:rsidR="003F001D">
        <w:t>a</w:t>
      </w:r>
      <w:r w:rsidR="00CD01B4">
        <w:t>,</w:t>
      </w:r>
      <w:r w:rsidR="00806450">
        <w:t xml:space="preserve"> WHO2015b,</w:t>
      </w:r>
      <w:r w:rsidR="00CD01B4">
        <w:t xml:space="preserve"> </w:t>
      </w:r>
      <w:r w:rsidR="00176326" w:rsidRPr="00176326">
        <w:t>Glaziou2015</w:t>
      </w:r>
      <w:r w:rsidR="00176326">
        <w:t>}</w:t>
      </w:r>
      <w:r>
        <w:t>. Successful treatment requires months of antibiotic therapy</w:t>
      </w:r>
      <w:r w:rsidR="005F3731">
        <w:t xml:space="preserve"> \cite{</w:t>
      </w:r>
      <w:r w:rsidR="00285841" w:rsidRPr="00285841">
        <w:t>Sotgiu2015</w:t>
      </w:r>
      <w:r w:rsidR="005F3731">
        <w:t>}</w:t>
      </w:r>
      <w:r>
        <w:t xml:space="preserve">, and the </w:t>
      </w:r>
      <w:r w:rsidR="0034519C">
        <w:t>difficulty of adhering to</w:t>
      </w:r>
      <w:r>
        <w:t xml:space="preserve"> the full treatment regimen has lead to the emergence of drug-resistant strains of </w:t>
      </w:r>
      <w:r w:rsidRPr="00B364E7">
        <w:rPr>
          <w:i/>
        </w:rPr>
        <w:t>Mycobacterium tuberculosis</w:t>
      </w:r>
      <w:r>
        <w:t xml:space="preserve"> (MTB)</w:t>
      </w:r>
      <w:r w:rsidR="005F3731">
        <w:t xml:space="preserve"> \cite{</w:t>
      </w:r>
      <w:r w:rsidR="00DF0526" w:rsidRPr="00DF0526">
        <w:t>Seung2015</w:t>
      </w:r>
      <w:r w:rsidR="005F3731">
        <w:t>}</w:t>
      </w:r>
      <w:r>
        <w:t>.</w:t>
      </w:r>
    </w:p>
    <w:p w:rsidR="00B364E7" w:rsidRDefault="00B364E7" w:rsidP="00B364E7"/>
    <w:p w:rsidR="00B364E7" w:rsidRDefault="00B364E7" w:rsidP="00B364E7">
      <w:r>
        <w:t>Approximately a third of the world’s population has been infected with MTB, but most are asymptomatic. While these naturally resistant individuals are able to avoid active disease, MTB persists in a dormant state inside their innate immune cells, known as a latent TB infection</w:t>
      </w:r>
      <w:r w:rsidR="001B49A2">
        <w:t xml:space="preserve"> \cite{</w:t>
      </w:r>
      <w:r w:rsidR="008D6DEE" w:rsidRPr="008D6DEE">
        <w:t>Mu</w:t>
      </w:r>
      <w:r w:rsidR="00BB0BFF">
        <w:t>n</w:t>
      </w:r>
      <w:r w:rsidR="008D6DEE" w:rsidRPr="008D6DEE">
        <w:t>oz2015</w:t>
      </w:r>
      <w:r w:rsidR="001B49A2">
        <w:t>}</w:t>
      </w:r>
      <w:r>
        <w:t>. In contrast, approximately 10% of individuals will develop active TB after infection with MTB</w:t>
      </w:r>
      <w:r w:rsidR="00233831">
        <w:t xml:space="preserve"> \cite{North2004,</w:t>
      </w:r>
      <w:r w:rsidR="00233831" w:rsidRPr="00233831">
        <w:t xml:space="preserve"> OGarra2013</w:t>
      </w:r>
      <w:r w:rsidR="00233831">
        <w:t>}</w:t>
      </w:r>
      <w:r>
        <w:t xml:space="preserve">. Unfortunately, we are </w:t>
      </w:r>
      <w:r w:rsidR="00AD4A62">
        <w:t>currently unable to predict if an individual is susceptible.</w:t>
      </w:r>
      <w:r w:rsidR="00167586">
        <w:t xml:space="preserve"> While twin and family studies have indicated a heritable component of TB susceptibility</w:t>
      </w:r>
      <w:r w:rsidR="00215DA1">
        <w:t xml:space="preserve"> \cite{</w:t>
      </w:r>
      <w:r w:rsidR="00215DA1" w:rsidRPr="00215DA1">
        <w:t>Kallmann1943</w:t>
      </w:r>
      <w:r w:rsidR="00215DA1">
        <w:t xml:space="preserve">, </w:t>
      </w:r>
      <w:r w:rsidR="00215DA1" w:rsidRPr="00215DA1">
        <w:t>Comstock1978</w:t>
      </w:r>
      <w:r w:rsidR="00215DA1">
        <w:t xml:space="preserve">, </w:t>
      </w:r>
      <w:r w:rsidR="00215DA1" w:rsidRPr="00215DA1">
        <w:t>Cobat2010</w:t>
      </w:r>
      <w:r w:rsidR="00215DA1">
        <w:t xml:space="preserve">, </w:t>
      </w:r>
      <w:r w:rsidR="00B74212" w:rsidRPr="00B74212">
        <w:t>Moller2010</w:t>
      </w:r>
      <w:r w:rsidR="00215DA1">
        <w:t>}</w:t>
      </w:r>
      <w:r w:rsidR="00167586">
        <w:t>, genome wide association studies (GWAS) have only identified a few loci with low effect size</w:t>
      </w:r>
      <w:r w:rsidR="007C6A51">
        <w:t xml:space="preserve"> \cite{</w:t>
      </w:r>
      <w:r w:rsidR="00BE4C30" w:rsidRPr="00BE4C30">
        <w:t>Thye2010</w:t>
      </w:r>
      <w:r w:rsidR="00BE4C30">
        <w:t xml:space="preserve">, </w:t>
      </w:r>
      <w:r w:rsidR="007C6A51" w:rsidRPr="007C6A51">
        <w:t>Mahasirimongkol2012</w:t>
      </w:r>
      <w:r w:rsidR="007C6A51">
        <w:t xml:space="preserve">, </w:t>
      </w:r>
      <w:r w:rsidR="002B0AD4" w:rsidRPr="002B0AD4">
        <w:t>Thye2012</w:t>
      </w:r>
      <w:r w:rsidR="002B0AD4">
        <w:t>,</w:t>
      </w:r>
      <w:r w:rsidR="007C6A51">
        <w:t xml:space="preserve"> </w:t>
      </w:r>
      <w:r w:rsidR="007C6A51" w:rsidRPr="007C6A51">
        <w:t>Png2012</w:t>
      </w:r>
      <w:r w:rsidR="007C6A51">
        <w:t xml:space="preserve">, </w:t>
      </w:r>
      <w:r w:rsidR="007C6A51" w:rsidRPr="007C6A51">
        <w:t>Chimusa2014</w:t>
      </w:r>
      <w:r w:rsidR="007C6A51">
        <w:t xml:space="preserve">, </w:t>
      </w:r>
      <w:r w:rsidR="007C6A51" w:rsidRPr="007C6A51">
        <w:t>Curtis2015</w:t>
      </w:r>
      <w:r w:rsidR="00403E32">
        <w:t xml:space="preserve">, </w:t>
      </w:r>
      <w:r w:rsidR="00403E32" w:rsidRPr="00403E32">
        <w:t>Sobota2016</w:t>
      </w:r>
      <w:r w:rsidR="007C6A51">
        <w:t>}</w:t>
      </w:r>
      <w:r w:rsidR="00167586">
        <w:t>. Due to the highly polygenic architecture, it may be informative to examine differences between susceptible and resistant individuals at a higher level of organization, e.g. gene regulatory networks. In fact, past studies have successfully identified gene expression differences in innate immune cells isolated from individuals known be susceptible or resistant to an infectious disease \cite{Thuong2008, Bryant2014}.</w:t>
      </w:r>
    </w:p>
    <w:p w:rsidR="00D72715" w:rsidRDefault="00D72715" w:rsidP="00B364E7"/>
    <w:p w:rsidR="0079306E" w:rsidRPr="00395BF7" w:rsidRDefault="0079306E" w:rsidP="00B364E7">
      <w:r>
        <w:t xml:space="preserve">These differences in gene expression in innate immune cells have the potential to </w:t>
      </w:r>
      <w:r w:rsidR="00F21A81">
        <w:t>classify individuals based on their susceptibility to develop an active TB infection.</w:t>
      </w:r>
      <w:r w:rsidR="00395BF7">
        <w:t xml:space="preserve"> To our knowledge, there </w:t>
      </w:r>
      <w:r w:rsidR="00387329">
        <w:t>has</w:t>
      </w:r>
      <w:r w:rsidR="00395BF7">
        <w:t xml:space="preserve"> been no stud</w:t>
      </w:r>
      <w:r w:rsidR="00387329">
        <w:t>y</w:t>
      </w:r>
      <w:r w:rsidR="00395BF7">
        <w:t xml:space="preserve"> report</w:t>
      </w:r>
      <w:r w:rsidR="00387329">
        <w:t>ing such an</w:t>
      </w:r>
      <w:r w:rsidR="00395BF7">
        <w:t xml:space="preserve"> attempt. In this study, we isolated </w:t>
      </w:r>
      <w:r w:rsidR="002B140A">
        <w:t>innate immune cells</w:t>
      </w:r>
      <w:r w:rsidR="00395BF7">
        <w:t xml:space="preserve"> from individuals that are resistant or susceptible to TB and infected them with</w:t>
      </w:r>
      <w:r w:rsidR="00395BF7" w:rsidRPr="00395BF7">
        <w:t xml:space="preserve"> MTB.</w:t>
      </w:r>
      <w:r w:rsidR="00395BF7">
        <w:t xml:space="preserve"> We </w:t>
      </w:r>
      <w:r w:rsidR="00395BF7">
        <w:lastRenderedPageBreak/>
        <w:t xml:space="preserve">discovered that the gene expression differences between resistant and susceptible </w:t>
      </w:r>
      <w:r w:rsidR="002B140A">
        <w:t>innate immune cells</w:t>
      </w:r>
      <w:r w:rsidR="00395BF7">
        <w:t xml:space="preserve"> were present primarily in the noninfected state, that these differentially expressed genes were enriched for nearby SNPs with low p-values in TB susceptibility GWAS, and furthermore that these gene expression levels could be used to classify individuals based on their susceptibility status.</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w:t>
      </w:r>
      <w:r w:rsidR="0032746E">
        <w:t>3,486</w:t>
      </w:r>
      <w:r w:rsidR="0077498F">
        <w:t xml:space="preserve"> genes were differentially expressed</w:t>
      </w:r>
      <w:r w:rsidR="00600649">
        <w:t xml:space="preserve"> (DE)</w:t>
      </w:r>
      <w:r w:rsidR="0077498F">
        <w:t xml:space="preserve"> between the noninfected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noninfected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noninfected </w:t>
      </w:r>
      <w:r w:rsidR="00D276E7">
        <w:t>or</w:t>
      </w:r>
      <w:r w:rsidR="00C25F28">
        <w:t xml:space="preserve"> infected states (Fig. </w:t>
      </w:r>
      <w:r w:rsidR="00592526">
        <w:t>\ref{fig:limma}).</w:t>
      </w:r>
      <w:r w:rsidR="00600649">
        <w:t xml:space="preserve"> </w:t>
      </w:r>
      <w:r w:rsidR="006F2060">
        <w:t>645</w:t>
      </w:r>
      <w:r w:rsidR="00600649">
        <w:t xml:space="preserve"> genes were DE between resistant and susceptible </w:t>
      </w:r>
      <w:r w:rsidR="00600649">
        <w:lastRenderedPageBreak/>
        <w:t xml:space="preserve">individuals in the noninfected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t>TNFRSF25</w:t>
      </w:r>
      <w:r w:rsidR="00600649">
        <w:t xml:space="preserve">, </w:t>
      </w:r>
      <w:r w:rsidR="0051558B">
        <w:t xml:space="preserve">and </w:t>
      </w:r>
      <w:r w:rsidR="0051558B" w:rsidRPr="00AD43A1">
        <w:rPr>
          <w:i/>
        </w:rPr>
        <w:t>TRIM38</w:t>
      </w:r>
      <w:r w:rsidR="00600649">
        <w:t>. 0 genes were DE between resistant and susceptible individuals in the noninfected state at a q-value of 10%.</w:t>
      </w:r>
    </w:p>
    <w:p w:rsidR="00697A68" w:rsidRDefault="00697A68" w:rsidP="00697A68">
      <w:pPr>
        <w:jc w:val="center"/>
      </w:pPr>
      <w:r>
        <w:rPr>
          <w:noProof/>
        </w:rPr>
        <w:drawing>
          <wp:inline distT="0" distB="0" distL="0" distR="0" wp14:anchorId="3270857B" wp14:editId="21BD8778">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w:t>
      </w:r>
      <w:r w:rsidR="007A56D3">
        <w:lastRenderedPageBreak/>
        <w:t xml:space="preserve">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\label{fig:limma}</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\ref{fig:gwas})</w:t>
      </w:r>
      <w:r w:rsidR="003B2BDB">
        <w:t>.</w:t>
      </w:r>
      <w:r w:rsidR="00957223">
        <w:t xml:space="preserve"> We fit </w:t>
      </w:r>
      <w:r w:rsidR="002C7157">
        <w:t>a</w:t>
      </w:r>
      <w:r w:rsidR="00957223">
        <w:t xml:space="preserve">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noninfected state (Fig. \ref{fig:gwas}a).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lastRenderedPageBreak/>
        <w:drawing>
          <wp:inline distT="0" distB="0" distL="0" distR="0" wp14:anchorId="7F02BA84" wp14:editId="26BA5570">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t>\caption{</w:t>
      </w:r>
    </w:p>
    <w:p w:rsidR="00F04D3D" w:rsidRDefault="00F04D3D" w:rsidP="00F04D3D">
      <w:r>
        <w:t xml:space="preserve">Comparison of differential expression and GWAS results. (a) </w:t>
      </w:r>
      <w:r w:rsidR="00816E45">
        <w:t xml:space="preserve">The relationship between p-values </w:t>
      </w:r>
      <w:r w:rsidR="0081487E">
        <w:t xml:space="preserve">from the GWAS in The Gambia </w:t>
      </w:r>
      <w:r w:rsidR="00816E45">
        <w:t>\cite{Thye2010}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noninfected state </w:t>
      </w:r>
      <w:r>
        <w:t>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noninfected state at a q</w:t>
      </w:r>
      <w:r w:rsidR="005A5A4C">
        <w:t>-value less than 5</w:t>
      </w:r>
      <w:r w:rsidR="00B35023">
        <w:t>%</w:t>
      </w:r>
      <w:r w:rsidR="005C5B66">
        <w:t xml:space="preserve"> (see Methods for a full description of how we </w:t>
      </w:r>
      <w:r w:rsidR="005C5B66">
        <w:lastRenderedPageBreak/>
        <w:t>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EB02E8">
        <w:t>b</w:t>
      </w:r>
      <w:r w:rsidR="00BA020A">
        <w:t>)</w:t>
      </w:r>
      <w:r w:rsidR="00AA52A6">
        <w:t>.</w:t>
      </w:r>
    </w:p>
    <w:p w:rsidR="00D42E3F" w:rsidRDefault="00545B21" w:rsidP="00545B21">
      <w:pPr>
        <w:jc w:val="center"/>
      </w:pPr>
      <w:r>
        <w:rPr>
          <w:noProof/>
        </w:rPr>
        <w:drawing>
          <wp:inline distT="0" distB="0" distL="0" distR="0" wp14:anchorId="556C6A5A" wp14:editId="3B38CF2B">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D42E3F" w:rsidP="00D42E3F">
      <w:pPr>
        <w:pStyle w:val="LaTeX"/>
      </w:pPr>
      <w:r>
        <w:t>\includegraphics[width=\linewidth]{../figure/classifier</w:t>
      </w:r>
      <w:r w:rsidR="00E12815">
        <w:t>-svm</w:t>
      </w:r>
      <w:r w:rsidR="0078541A">
        <w:t>.pdf</w:t>
      </w:r>
      <w:r>
        <w:t>}</w:t>
      </w:r>
    </w:p>
    <w:p w:rsidR="00D42E3F" w:rsidRDefault="00D42E3F" w:rsidP="00D42E3F">
      <w:pPr>
        <w:pStyle w:val="LaTeX"/>
      </w:pPr>
      <w:r>
        <w:t>\caption{</w:t>
      </w:r>
    </w:p>
    <w:p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xml:space="preserve">) The estimates of predicted probability of TB resistance </w:t>
      </w:r>
      <w:r>
        <w:lastRenderedPageBreak/>
        <w:t>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CB78EE" w:rsidRDefault="00022417" w:rsidP="000763D9">
      <w:r>
        <w:t xml:space="preserve">We obtained dendritic cells (DCs) from individuals that were known to be susceptible or resistant to developing active tuberculosis (TB) and measured genome-wide gene expression levels </w:t>
      </w:r>
      <w:r w:rsidR="00CA5C54">
        <w:t>in noninfected</w:t>
      </w:r>
      <w:r w:rsidR="0028659C">
        <w:t xml:space="preserve"> DCs and DCs</w:t>
      </w:r>
      <w:r w:rsidR="00CA5C54">
        <w:t xml:space="preserve"> infected</w:t>
      </w:r>
      <w:r w:rsidR="00FC0073">
        <w:t xml:space="preserve"> with</w:t>
      </w:r>
      <w:r w:rsidR="00CA5C54">
        <w:t xml:space="preserve"> </w:t>
      </w:r>
      <w:r w:rsidRPr="00E13CE8">
        <w:rPr>
          <w:i/>
        </w:rPr>
        <w:t>Mycobacterium tuberculosis</w:t>
      </w:r>
      <w:r>
        <w:t xml:space="preserve"> (MTB) </w:t>
      </w:r>
      <w:r w:rsidR="0028659C">
        <w:t>for 18 hours</w:t>
      </w:r>
      <w:r>
        <w:t>.</w:t>
      </w:r>
      <w:r w:rsidR="00782098">
        <w:t xml:space="preserve"> </w:t>
      </w:r>
      <w:r w:rsidR="000053C7">
        <w:t>As expected, there were large changes in gene expression due to MTB infection inf both resistant and susceptible individuals (Supplementary Fig. \ref{fig:limma-supp}). More i</w:t>
      </w:r>
      <w:r w:rsidR="00CE6B8D">
        <w:t>nterestingly</w:t>
      </w:r>
      <w:r w:rsidR="00B31A3D">
        <w:t>, we identified 645</w:t>
      </w:r>
      <w:r w:rsidR="00782098">
        <w:t xml:space="preserve"> genes which were differentially expressed between susceptible and resistant individuals in t</w:t>
      </w:r>
      <w:r w:rsidR="000053C7">
        <w:t>he noninfected state; whereas, we did not observe any differentially expressed genes between susceptible and resistant individuals in the infected state</w:t>
      </w:r>
      <w:r w:rsidR="00782098">
        <w:t xml:space="preserve"> (Fig. \ref{fig:limma}</w:t>
      </w:r>
      <w:r w:rsidR="00CA5C54">
        <w:t>)</w:t>
      </w:r>
      <w:r w:rsidR="00B155AF">
        <w:t>.</w:t>
      </w:r>
      <w:r w:rsidR="009D3352">
        <w:t xml:space="preserve"> This suggests that the differences in the transcriptomes between DCs of resistant and susceptible individuals are present pre-infection and affect the initial response to MTB, but by 18 hours their gene expression profiles have converged to the same gene regulatory network to fight the active infection. While we chose to measure gene expression 18 hours post-infection because this timepoint was previously found to have </w:t>
      </w:r>
      <w:r w:rsidR="00293C88">
        <w:t>a</w:t>
      </w:r>
      <w:r w:rsidR="009D3352">
        <w:t xml:space="preserve"> large change in genome-wide gene expression levels</w:t>
      </w:r>
      <w:r w:rsidR="00E91A35">
        <w:t xml:space="preserve"> \cite{</w:t>
      </w:r>
      <w:r w:rsidR="00E91A35" w:rsidRPr="00E91A35">
        <w:t>Tailleux2008</w:t>
      </w:r>
      <w:r w:rsidR="00E91A35">
        <w:t>}</w:t>
      </w:r>
      <w:r w:rsidR="009D3352">
        <w:t>, future studies investigating the difference in the innate immune response between individuals resistant and susceptible to TB may want to focus on earlier timepoints when these differences may still persist.</w:t>
      </w:r>
    </w:p>
    <w:p w:rsidR="00E5759D" w:rsidRDefault="00E5759D" w:rsidP="000763D9"/>
    <w:p w:rsidR="00E5759D" w:rsidRDefault="00E5759D" w:rsidP="000763D9">
      <w:r>
        <w:t xml:space="preserve">Autophagy </w:t>
      </w:r>
      <w:r w:rsidR="000D7346">
        <w:t>is a defense mechanism \cite{</w:t>
      </w:r>
      <w:r w:rsidR="00EC5980" w:rsidRPr="00EC5980">
        <w:t>Deretic2014</w:t>
      </w:r>
      <w:r w:rsidR="009741E6">
        <w:t xml:space="preserve">, </w:t>
      </w:r>
      <w:r w:rsidR="009741E6" w:rsidRPr="009741E6">
        <w:t>Castrejon-Jimenez2015</w:t>
      </w:r>
      <w:r w:rsidR="000D7346">
        <w:t>}.</w:t>
      </w:r>
      <w:r>
        <w:t xml:space="preserve"> FEZ2 </w:t>
      </w:r>
      <w:r w:rsidR="000D7346">
        <w:t xml:space="preserve">suppresses autophagy </w:t>
      </w:r>
      <w:r>
        <w:t>\cite{Spang2014}</w:t>
      </w:r>
      <w:r w:rsidR="000D7346">
        <w:t>.</w:t>
      </w:r>
      <w:r w:rsidR="00440C5A">
        <w:t xml:space="preserve"> Other RAB GTPases</w:t>
      </w:r>
    </w:p>
    <w:p w:rsidR="00B155AF" w:rsidRDefault="00B155AF" w:rsidP="000763D9"/>
    <w:p w:rsidR="00440C5A" w:rsidRDefault="00440C5A" w:rsidP="000763D9">
      <w:r>
        <w:t>Acidification with ATPv subunits</w:t>
      </w:r>
    </w:p>
    <w:p w:rsidR="00440C5A" w:rsidRDefault="00440C5A" w:rsidP="000763D9"/>
    <w:p w:rsidR="00440C5A" w:rsidRDefault="00440C5A" w:rsidP="000763D9">
      <w:r>
        <w:t>MHC presentation with proteasome subunits</w:t>
      </w:r>
    </w:p>
    <w:p w:rsidR="00440C5A" w:rsidRDefault="00440C5A" w:rsidP="000763D9"/>
    <w:p w:rsidR="00CB78EE" w:rsidRPr="00CB78EE" w:rsidRDefault="00CB78EE" w:rsidP="000763D9">
      <w:r>
        <w:t xml:space="preserve">To our knowledge, our study is only the second to perform an </w:t>
      </w:r>
      <w:r>
        <w:rPr>
          <w:i/>
        </w:rPr>
        <w:t>in vitro</w:t>
      </w:r>
      <w:r>
        <w:t xml:space="preserve"> MTB infection of innate immune cells isolated from individuals known to be susceptible to MTB. However, there are substantial differences between our study and that of Thuong et al., 2008 \cite{Thuong2008}. </w:t>
      </w:r>
      <w:r w:rsidR="005A1670">
        <w:t>First, they isolated and infected macrophages, the primary target host cell in which MTB resides; whereas, we infected DCs, which play a larger role in stimulating the adaptive immune response to MTB. Second, the susceptible individuals in their study had an active TB infection at the time there cells were isolated; whereas, our individuals had recovered from a past TB infe</w:t>
      </w:r>
      <w:r w:rsidR="009902CA">
        <w:t>ction. Third, we collected samples from a larger number resistant individuals (19 versus 4), increasing our power to distinguish between the gene expression profiles of susceptible and resistant individuals. Thus while similarly motivated, our results complement those of Thuong et al. rather than replicate them.</w:t>
      </w:r>
    </w:p>
    <w:p w:rsidR="00022417" w:rsidRDefault="00022417" w:rsidP="000763D9"/>
    <w:p w:rsidR="001375C9" w:rsidRDefault="00C954A2" w:rsidP="000763D9">
      <w:r>
        <w:t xml:space="preserve">Promisingly we observed that the genes that are differentially expressed in our </w:t>
      </w:r>
      <w:r>
        <w:rPr>
          <w:i/>
        </w:rPr>
        <w:t>in vitro</w:t>
      </w:r>
      <w:r>
        <w:t xml:space="preserve"> experimental system, either by susceptibility status or the effect of treatment, are </w:t>
      </w:r>
      <w:r w:rsidR="00FA27F0">
        <w:t>enriched for lower GWAS p-values (Fig. \ref{fig:gwas})</w:t>
      </w:r>
      <w:r>
        <w:t xml:space="preserve">. This suggests that such </w:t>
      </w:r>
      <w:r>
        <w:rPr>
          <w:i/>
        </w:rPr>
        <w:t>in vitro</w:t>
      </w:r>
      <w:r>
        <w:t xml:space="preserve"> approaches are informative for interrogating the genetic basis of disease susceptibility. That being said, we recognized multiple caveats with this analysis. First, assigning SNPs to their nearest gene on the linear chromosome was an imperfect assumption since regulatory variants can have longer range effects. Second, the negative slopes of the least squares regression line were quite small because there were many SNPs with low p-values nearby genes with low effect sizes in our experiment. </w:t>
      </w:r>
      <w:r w:rsidR="006D0822">
        <w:t>It is possible that these variants contribute to TB susceptibility by affecting gene expression in other cell types or environmental conditions.</w:t>
      </w:r>
    </w:p>
    <w:p w:rsidR="001375C9" w:rsidRDefault="001375C9" w:rsidP="000763D9"/>
    <w:p w:rsidR="00D25BB6" w:rsidRPr="007C0EF3" w:rsidRDefault="001375C9" w:rsidP="000763D9">
      <w:r>
        <w:t>Not only did this analysis identify a global enrichment of TB susceptibility loci, by</w:t>
      </w:r>
      <w:r w:rsidR="00F43875">
        <w:t xml:space="preserve"> intersectin</w:t>
      </w:r>
      <w:r>
        <w:t>g</w:t>
      </w:r>
      <w:r w:rsidR="00F43875">
        <w:t xml:space="preserve"> our DE results and the GWAS </w:t>
      </w:r>
      <w:r>
        <w:t>we were able to</w:t>
      </w:r>
      <w:r w:rsidR="00F43875">
        <w:t xml:space="preserve"> identify two genes which were marginally significant in both.</w:t>
      </w:r>
      <w:r>
        <w:t xml:space="preserve"> Interestingly, both of these genes have prior evidence of playing important roles in MTB infection.</w:t>
      </w:r>
      <w:r w:rsidR="00F43875">
        <w:t xml:space="preserve"> </w:t>
      </w:r>
      <w:r w:rsidR="007E13C5" w:rsidRPr="003A25EC">
        <w:rPr>
          <w:i/>
        </w:rPr>
        <w:t>CCL1</w:t>
      </w:r>
      <w:r w:rsidR="007E13C5">
        <w:t xml:space="preserve"> </w:t>
      </w:r>
      <w:r w:rsidR="003662A4">
        <w:t>is a chemokine that stimulates migration of monocytes</w:t>
      </w:r>
      <w:r w:rsidR="00E3712E">
        <w:t xml:space="preserve"> \cite{Miller1992}</w:t>
      </w:r>
      <w:r w:rsidR="003662A4">
        <w:t xml:space="preserve">. In our study, it was upregulated in susceptible individuals compared to resistant in both the noninfected and infected states (but did not reach statistical significance in either) and was statistically significantly upregulated with MTB treatment. The previous differential expression </w:t>
      </w:r>
      <w:r w:rsidR="003662A4">
        <w:lastRenderedPageBreak/>
        <w:t>study of TB susceptibility mentioned above</w:t>
      </w:r>
      <w:r w:rsidR="00763C86">
        <w:t xml:space="preserve"> found that </w:t>
      </w:r>
      <w:r w:rsidR="00763C86">
        <w:rPr>
          <w:i/>
        </w:rPr>
        <w:t>CCL1</w:t>
      </w:r>
      <w:r w:rsidR="00763C86">
        <w:t xml:space="preserve"> was upregulated to a greater extent 4 hours post MTB-infection in macrophages isolated from individuals with an active TB infection (i.e. susceptible) compared to individuals with a latent TB infection (i.e. resistant) \cite{Thuong2008}.</w:t>
      </w:r>
      <w:r w:rsidR="00B25140">
        <w:t xml:space="preserve"> Additionally they performed a candidate gene association study and found that SNPs nearby </w:t>
      </w:r>
      <w:r w:rsidR="00B25140" w:rsidRPr="009F3E99">
        <w:rPr>
          <w:i/>
        </w:rPr>
        <w:t>CCL1</w:t>
      </w:r>
      <w:r w:rsidR="00B25140">
        <w:t xml:space="preserve"> were associated with TB susceptibility. </w:t>
      </w:r>
      <w:r w:rsidR="009F3E99">
        <w:t xml:space="preserve">In a previous study from our lab, we discovered that </w:t>
      </w:r>
      <w:r w:rsidR="009F3E99">
        <w:rPr>
          <w:i/>
        </w:rPr>
        <w:t>CCL1</w:t>
      </w:r>
      <w:r w:rsidR="009F3E99">
        <w:t xml:space="preserve"> was one of only 288 genes that were differentially expressed in macrophages 48 hours post-infection with MTB and related mycobacterial species but not unrelated virulent bacteria \cite{Blischak2015}.</w:t>
      </w:r>
      <w:r w:rsidR="00494CC4" w:rsidRPr="003A25EC">
        <w:t xml:space="preserve"> </w:t>
      </w:r>
      <w:r w:rsidR="00494CC4" w:rsidRPr="003A25EC">
        <w:rPr>
          <w:i/>
        </w:rPr>
        <w:t>UNC13A</w:t>
      </w:r>
      <w:r w:rsidR="002C3253">
        <w:t xml:space="preserve"> is involved in vesicle formation</w:t>
      </w:r>
      <w:r w:rsidR="00352419">
        <w:t xml:space="preserve"> \cite{Sudhof2004}</w:t>
      </w:r>
      <w:bookmarkStart w:id="4" w:name="_GoBack"/>
      <w:bookmarkEnd w:id="4"/>
      <w:r w:rsidR="002C3253">
        <w:t xml:space="preserve">. </w:t>
      </w:r>
      <w:r w:rsidR="003D2DAB">
        <w:t>In our study, it was downregulated in susceptible individuals compared to resistant in both the noninfected and infected states (but did not reach statistical significance in either) and was statistically significantly upregulated with MTB treatment.</w:t>
      </w:r>
      <w:r w:rsidR="00FA27F0">
        <w:t xml:space="preserve"> In our past study mapping expression quantitative trait loci (eQTLs) in</w:t>
      </w:r>
      <w:r w:rsidR="00A35CFB">
        <w:t xml:space="preserve"> DCs 18 hours post-infection with MTB, </w:t>
      </w:r>
      <w:r w:rsidR="00A35CFB">
        <w:rPr>
          <w:i/>
        </w:rPr>
        <w:t>UNC13A</w:t>
      </w:r>
      <w:r w:rsidR="00A35CFB">
        <w:t xml:space="preserve"> was one of only 98 genes which was associated with an eQTL post-infection but not pre-infection, which we called an MTB-specific eQTL \cite{Barreiro2012}. </w:t>
      </w:r>
      <w:r w:rsidR="007C0EF3">
        <w:t xml:space="preserve">Thus our new results increased the evidence that </w:t>
      </w:r>
      <w:r w:rsidR="007C0EF3">
        <w:rPr>
          <w:i/>
        </w:rPr>
        <w:t>CCL1</w:t>
      </w:r>
      <w:r w:rsidR="007C0EF3">
        <w:t xml:space="preserve"> and </w:t>
      </w:r>
      <w:r w:rsidR="007C0EF3">
        <w:rPr>
          <w:i/>
        </w:rPr>
        <w:t>UNC13A</w:t>
      </w:r>
      <w:r w:rsidR="007C0EF3">
        <w:t xml:space="preserve"> play important roles in TB susceptibility.</w:t>
      </w:r>
    </w:p>
    <w:p w:rsidR="00D25BB6" w:rsidRDefault="00D25BB6" w:rsidP="000763D9"/>
    <w:p w:rsidR="00EB3993" w:rsidRDefault="0045091B" w:rsidP="000763D9">
      <w:r>
        <w:t>Previous attempts to use gene expression based classifiers in the context of TB have focused on predicting the status of an infection from whole blood samples</w:t>
      </w:r>
      <w:r w:rsidR="00A1584A">
        <w:t xml:space="preserve"> \cite{Berry2010, </w:t>
      </w:r>
      <w:r w:rsidR="00A1584A" w:rsidRPr="00A1584A">
        <w:t>OGarra2013</w:t>
      </w:r>
      <w:r w:rsidR="000F19D5">
        <w:t xml:space="preserve">, </w:t>
      </w:r>
      <w:r w:rsidR="000F19D5" w:rsidRPr="000F19D5">
        <w:t>Blankley2014</w:t>
      </w:r>
      <w:r w:rsidR="00A1584A">
        <w:t>}</w:t>
      </w:r>
      <w:r>
        <w:t>. In this application, the goal is either to detect individuals in an early stage of an active TB infection when antibiotic intervention would be most effective or to monitor the effectiveness of a treatment regimen</w:t>
      </w:r>
      <w:r w:rsidR="00A2522B">
        <w:t xml:space="preserve"> \cite{</w:t>
      </w:r>
      <w:r w:rsidR="00A2522B" w:rsidRPr="00A2522B">
        <w:t>Maertzdorf2015</w:t>
      </w:r>
      <w:r w:rsidR="00A2522B">
        <w:t>}</w:t>
      </w:r>
      <w:r>
        <w:t xml:space="preserve">. In contrast, our aim was not to distinguish between an active or latent infection, but instead to be able to determine susceptibility status before individuals have an active TB infection. Even with our small sample size, we were able to successfully train a classier with high sensitivity and decent specificity. </w:t>
      </w:r>
      <w:r w:rsidR="00B20CFF">
        <w:t xml:space="preserve">Because such a classification of susceptibility status could affect the decision of whether or not to take antibiotics to treat a latent TB infection, false negatives (susceptible individuals mistakenly classified as resistant) would be much more harmful than false positives (resistant individuals mistakenly classified as susceptible), which is why we emphasized sensitivity over specificity. Importantly, when we applied our classifier to an independent set of noninfected DCs isolated from healthy individuals of unknown susceptibility status, our model predicted ~11% of the individuals were susceptible TB, which reassuringly is similar to the average in the general </w:t>
      </w:r>
      <w:r w:rsidR="00B20CFF">
        <w:lastRenderedPageBreak/>
        <w:t xml:space="preserve">population of </w:t>
      </w:r>
      <w:r w:rsidR="00B018A3">
        <w:t>~</w:t>
      </w:r>
      <w:r w:rsidR="00B20CFF">
        <w:t>10%. Despite this success, our results must be interpreted cautiously as a proof-of-principle due to our very small sample size of only 5 susceptible individuals. Thus o</w:t>
      </w:r>
      <w:r w:rsidR="00EB3993">
        <w:t>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3"/>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\cite{Barreiro2012}. Briefly, w</w:t>
      </w:r>
      <w:r w:rsidR="00074F4A">
        <w:t xml:space="preserve">e isolated </w:t>
      </w:r>
      <w:r w:rsidR="00BF18FF">
        <w:t xml:space="preserve">mononuclear cells </w:t>
      </w:r>
      <w:r w:rsidR="00074F4A">
        <w:t xml:space="preserve">from the whole blood samples </w:t>
      </w:r>
      <w:r w:rsidR="00BF18FF">
        <w:t xml:space="preserve">using Ficoll-Paque centrifugation, extracted monocytes via CD14 positive selection, and differentiated the monocytes into dendritic 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lastRenderedPageBreak/>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Subread </w:t>
      </w:r>
      <w:r w:rsidR="00347EC2">
        <w:t xml:space="preserve">\cite{Liao2013} </w:t>
      </w:r>
      <w:r w:rsidR="0091497F">
        <w:t>and discarded non-uniquely mapping reads. We</w:t>
      </w:r>
      <w:r w:rsidR="0008458C">
        <w:t xml:space="preserve"> downloaded the exon coordinates of 19,800 Ensembl protein-coding genes (Ensembl 83,</w:t>
      </w:r>
      <w:r w:rsidR="0008458C" w:rsidRPr="0091497F">
        <w:t xml:space="preserve"> Dec 2015</w:t>
      </w:r>
      <w:r w:rsidR="0008458C">
        <w:t xml:space="preserve">, </w:t>
      </w:r>
      <w:r w:rsidR="0008458C" w:rsidRPr="0091497F">
        <w:t>GRCh38.p5</w:t>
      </w:r>
      <w:r w:rsidR="0008458C">
        <w:t xml:space="preserve">) using the R/Bioconductor </w:t>
      </w:r>
      <w:r w:rsidR="00D70045">
        <w:t xml:space="preserve">\cite{Huber2015} </w:t>
      </w:r>
      <w:r w:rsidR="0008458C">
        <w:t xml:space="preserve">package biomaRt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featureCounts</w:t>
      </w:r>
      <w:r w:rsidR="00347EC2">
        <w:t xml:space="preserve"> \cite{</w:t>
      </w:r>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23292C">
        <w:t>, Supplementary Data S1</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\ref{fig:process})</w:t>
      </w:r>
      <w:r w:rsidR="001A2E28">
        <w:t xml:space="preserve">. Infection batch correlated with PCs 3 and 5; however, we verified that this variation was not </w:t>
      </w:r>
      <w:r w:rsidR="001A2E28">
        <w:lastRenderedPageBreak/>
        <w:t>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 xml:space="preserve">effect of treatment in susceptible individuals, and $I$ is the random effect of individual. The random individual effect was implemented using the limma function duplicateCorrelation </w:t>
      </w:r>
      <w:r w:rsidR="00723BBA">
        <w:t>\</w:t>
      </w:r>
      <w:r>
        <w:t>cite</w:t>
      </w:r>
      <w:r w:rsidR="00723BBA">
        <w:t>{Smyth2005}</w:t>
      </w:r>
      <w:r>
        <w:t>. To jointly model the data with voom and duplicateCorrelation, we followed the recommended best practice of running both voom and duplicateCorrelation twice in succession</w:t>
      </w:r>
      <w:r w:rsidR="00F96259">
        <w:t xml:space="preserve"> </w:t>
      </w:r>
      <w:r w:rsidR="00583608">
        <w:t>\</w:t>
      </w:r>
      <w:r w:rsidR="00F96259">
        <w:t>cite</w:t>
      </w:r>
      <w:r w:rsidR="00583608">
        <w:t>{</w:t>
      </w:r>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w:t>
      </w:r>
      <w:r>
        <w:lastRenderedPageBreak/>
        <w:t>the SNPs located within 50 kb up or downstream of its transcription start site.</w:t>
      </w:r>
      <w:r w:rsidR="005D2FB8">
        <w:t xml:space="preserve"> Specifically, we obtained the genomic coordinates of the SNPs with the R/Bioconductor</w:t>
      </w:r>
      <w:r w:rsidR="004F1D96">
        <w:t xml:space="preserve"> \cite{Huber2015}</w:t>
      </w:r>
      <w:r w:rsidR="005D2FB8">
        <w:t xml:space="preserve"> package </w:t>
      </w:r>
      <w:r w:rsidR="005D2FB8" w:rsidRPr="005D2FB8">
        <w:t>SNPlocs.Hsapiens.dbSNP144.GRCh38</w:t>
      </w:r>
      <w:r w:rsidR="005D2FB8">
        <w:t xml:space="preserve"> and </w:t>
      </w:r>
      <w:r w:rsidR="006C0E75">
        <w:t>matched SNPs to nearby genes using GenomicRanges</w:t>
      </w:r>
      <w:r w:rsidR="004F1D96">
        <w:t xml:space="preserve"> \cite{</w:t>
      </w:r>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5476D7">
        <w:t>, Supplementary Data S3</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limma function removeBatchEffect \cite{Ri</w:t>
      </w:r>
      <w:r w:rsidR="00EC6F33">
        <w:t>tchie2015} (Supplementary Fig. \ref{</w:t>
      </w:r>
      <w:r w:rsidR="00A5616F">
        <w:t>fig:</w:t>
      </w:r>
      <w:r w:rsidR="00EC6F33">
        <w:t>combined-pca}</w:t>
      </w:r>
      <w:r w:rsidR="00AD494C">
        <w:t>).</w:t>
      </w:r>
    </w:p>
    <w:p w:rsidR="00D41B60" w:rsidRDefault="00D41B60" w:rsidP="00EE7DC3"/>
    <w:p w:rsidR="00D41B60" w:rsidRDefault="00D41B60" w:rsidP="00EE7DC3">
      <w:r>
        <w:t xml:space="preserve">To identify genes </w:t>
      </w:r>
      <w:r w:rsidR="00370A5B">
        <w:t>to use in the classifier, we performed a differential expression analysis on the normalized, batch-corrected data from the current study using the same approach described above (with the exception that we no longer used voom</w:t>
      </w:r>
      <w:r w:rsidR="001A43B7">
        <w:t xml:space="preserve"> \cite{Law2014}</w:t>
      </w:r>
      <w:r w:rsidR="00370A5B">
        <w:t xml:space="preserve"> since the data were no </w:t>
      </w:r>
      <w:r w:rsidR="00370A5B">
        <w:lastRenderedPageBreak/>
        <w:t xml:space="preserve">longer counts). </w:t>
      </w:r>
      <w:r w:rsidR="00340E0D">
        <w:t>Specifically, w</w:t>
      </w:r>
      <w:r w:rsidR="00D113E8">
        <w:t>e tested for differential expression between susceptible and resistant individuals in the no</w:t>
      </w:r>
      <w:r w:rsidR="00CC1939">
        <w:t xml:space="preserve">ninfected state and identified </w:t>
      </w:r>
      <w:r w:rsidR="00340E0D">
        <w:t>sets of genes to use in the classifer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r w:rsidR="00132DA2">
        <w:t>We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F0637C">
        <w:t>, Supplementary Data S4</w:t>
      </w:r>
      <w:r w:rsidR="00A12A84">
        <w:t>)</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expression levels in the noninfected state across both studies (Supplementary Fig. \ref{fig:class-exp}).</w:t>
      </w:r>
    </w:p>
    <w:p w:rsidR="00393355" w:rsidRDefault="00393355" w:rsidP="00393355">
      <w:pPr>
        <w:pStyle w:val="Heading2"/>
      </w:pPr>
      <w:r>
        <w:t>Software implementation</w:t>
      </w:r>
    </w:p>
    <w:p w:rsidR="00393355" w:rsidRPr="00393355" w:rsidRDefault="00393355" w:rsidP="00393355">
      <w:r>
        <w:t>We automated our anal</w:t>
      </w:r>
      <w:r w:rsidR="009A24AA">
        <w:t>y</w:t>
      </w:r>
      <w:r w:rsidR="009E1925">
        <w:t>sis using Python</w:t>
      </w:r>
      <w:r w:rsidR="009C1B81">
        <w:t xml:space="preserve"> (</w:t>
      </w:r>
      <w:r w:rsidR="009C1B81" w:rsidRPr="009C1B81">
        <w:t>https://www.python.org/</w:t>
      </w:r>
      <w:r w:rsidR="009C1B81">
        <w:t>)</w:t>
      </w:r>
      <w:r w:rsidR="009E1925">
        <w:t xml:space="preserve"> and Snakemake \</w:t>
      </w:r>
      <w:r w:rsidR="009A24AA">
        <w:t>cite</w:t>
      </w:r>
      <w:r w:rsidR="009E1925">
        <w:t>{</w:t>
      </w:r>
      <w:r w:rsidR="009E1925" w:rsidRPr="009E1925">
        <w:t>Koster2012</w:t>
      </w:r>
      <w:r w:rsidR="009E1925">
        <w:t>}</w:t>
      </w:r>
      <w:r>
        <w:t>. Our processing pipeline used the general bioinformatics software FastQC</w:t>
      </w:r>
      <w:r w:rsidR="00F126C0">
        <w:t xml:space="preserve"> (</w:t>
      </w:r>
      <w:r w:rsidR="00F126C0" w:rsidRPr="00F126C0">
        <w:t>http://www.bioinformatics.babraham.ac.uk/projects/fastqc/</w:t>
      </w:r>
      <w:r w:rsidR="00F126C0">
        <w:t>)</w:t>
      </w:r>
      <w:r>
        <w:t>, MultiQC</w:t>
      </w:r>
      <w:r w:rsidR="00AD7EB3">
        <w:t xml:space="preserve"> \cite{Ewels2016}</w:t>
      </w:r>
      <w:r>
        <w:t>, samtools</w:t>
      </w:r>
      <w:r w:rsidR="00271127">
        <w:t xml:space="preserve"> \cite{Li2009}</w:t>
      </w:r>
      <w:r>
        <w:t>, and bioawk</w:t>
      </w:r>
      <w:r w:rsidR="00F126C0">
        <w:t xml:space="preserve"> (</w:t>
      </w:r>
      <w:r w:rsidR="00F126C0" w:rsidRPr="00F126C0">
        <w:t>https://github.com/lh3/bioawk</w:t>
      </w:r>
      <w:r w:rsidR="00F126C0">
        <w:t>)</w:t>
      </w:r>
      <w:r>
        <w:t>. We used R</w:t>
      </w:r>
      <w:r w:rsidR="00335B07">
        <w:t xml:space="preserve"> \cite{R2015}</w:t>
      </w:r>
      <w:r>
        <w:t xml:space="preserve"> for all statistics and data visualization. The computational resources were provided by the </w:t>
      </w:r>
      <w:r w:rsidR="00820F71">
        <w:lastRenderedPageBreak/>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rsidR="001A4DEF">
        <w:t xml:space="preserve"> \</w:t>
      </w:r>
      <w:r>
        <w:t>cite</w:t>
      </w:r>
      <w:r w:rsidR="001A4DEF">
        <w:t>{Edgar2002}</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w:t>
      </w:r>
      <w:r w:rsidR="00A62131">
        <w:t>RNA-seq gene counts</w:t>
      </w:r>
      <w:r>
        <w:t xml:space="preserve"> and other summary data sets are </w:t>
      </w:r>
      <w:r w:rsidR="00F47329">
        <w:t xml:space="preserve">included as Supplementary Data and are also </w:t>
      </w:r>
      <w:r>
        <w:t xml:space="preserve">available </w:t>
      </w:r>
      <w:r w:rsidR="00F47329">
        <w:t xml:space="preserve">for download </w:t>
      </w:r>
      <w:r>
        <w:t xml:space="preserve">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\begin{figure}[ht]</w:t>
      </w:r>
    </w:p>
    <w:p w:rsidR="00A07AC1" w:rsidRDefault="00A07AC1" w:rsidP="00A07AC1">
      <w:pPr>
        <w:pStyle w:val="LaTeX"/>
      </w:pPr>
      <w:r>
        <w:t>\centering</w:t>
      </w:r>
    </w:p>
    <w:p w:rsidR="00A07AC1" w:rsidRDefault="00A07AC1" w:rsidP="00A07AC1">
      <w:pPr>
        <w:pStyle w:val="LaTeX"/>
      </w:pPr>
      <w:r>
        <w:t>\includegraphics[width=\linewidth]{../figure/processing.pdf}</w:t>
      </w:r>
    </w:p>
    <w:p w:rsidR="00A07AC1" w:rsidRDefault="00A07AC1" w:rsidP="00A07AC1">
      <w:pPr>
        <w:pStyle w:val="LaTeX"/>
      </w:pPr>
      <w:r>
        <w:t>\caption{</w:t>
      </w:r>
    </w:p>
    <w:p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\label{fig:process}</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\label{fig:</w:t>
      </w:r>
      <w:r w:rsidR="006C4950">
        <w:t>batch</w:t>
      </w:r>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\begin{figure}[ht]</w:t>
      </w:r>
    </w:p>
    <w:p w:rsidR="002D4008" w:rsidRDefault="002D4008" w:rsidP="002D4008">
      <w:pPr>
        <w:pStyle w:val="LaTeX"/>
      </w:pPr>
      <w:r>
        <w:t>\centering</w:t>
      </w:r>
    </w:p>
    <w:p w:rsidR="002D4008" w:rsidRDefault="002D4008" w:rsidP="002D4008">
      <w:pPr>
        <w:pStyle w:val="LaTeX"/>
      </w:pPr>
      <w:r>
        <w:t>\includegraphics[width=\linewidth]{../figure/gwas-n-snps.pdf}</w:t>
      </w:r>
    </w:p>
    <w:p w:rsidR="002D4008" w:rsidRDefault="002D4008" w:rsidP="002D4008">
      <w:pPr>
        <w:pStyle w:val="LaTeX"/>
      </w:pPr>
      <w:r>
        <w:t>\caption{</w:t>
      </w:r>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\label{fig:</w:t>
      </w:r>
      <w:r w:rsidR="006F2AA7">
        <w:t>gwas-n-snps</w:t>
      </w:r>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\begin{figure}[ht]</w:t>
      </w:r>
    </w:p>
    <w:p w:rsidR="00BB1A39" w:rsidRDefault="00BB1A39" w:rsidP="00BB1A39">
      <w:pPr>
        <w:pStyle w:val="LaTeX"/>
      </w:pPr>
      <w:r>
        <w:t>\centering</w:t>
      </w:r>
    </w:p>
    <w:p w:rsidR="00BB1A39" w:rsidRDefault="00BB1A39" w:rsidP="00BB1A39">
      <w:pPr>
        <w:pStyle w:val="LaTeX"/>
      </w:pPr>
      <w:r>
        <w:t>\includegraphics[width=\linewidth]{../figure/</w:t>
      </w:r>
      <w:r w:rsidR="00C61C61">
        <w:t>combine</w:t>
      </w:r>
      <w:r w:rsidR="006B1689">
        <w:t>d</w:t>
      </w:r>
      <w:r w:rsidR="00C61C61">
        <w:t>-distribution</w:t>
      </w:r>
      <w:r w:rsidR="00D63175">
        <w:t>s</w:t>
      </w:r>
      <w:r>
        <w:t>.pdf}</w:t>
      </w:r>
    </w:p>
    <w:p w:rsidR="00BB1A39" w:rsidRDefault="00BB1A39" w:rsidP="00BB1A39">
      <w:pPr>
        <w:pStyle w:val="LaTeX"/>
      </w:pPr>
      <w:r>
        <w:t>\caption{</w:t>
      </w:r>
    </w:p>
    <w:p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rsidR="008A2B63" w:rsidRDefault="008A2B63" w:rsidP="008A2B63">
      <w:pPr>
        <w:pStyle w:val="LaTeX"/>
      </w:pPr>
      <w:r>
        <w:t>}</w:t>
      </w:r>
    </w:p>
    <w:p w:rsidR="00BB1A39" w:rsidRDefault="00BB1A39" w:rsidP="00BB1A39">
      <w:pPr>
        <w:pStyle w:val="LaTeX"/>
      </w:pPr>
      <w:r>
        <w:t>\label{fig:combine</w:t>
      </w:r>
      <w:r w:rsidR="006B1689">
        <w:t>d</w:t>
      </w:r>
      <w:r>
        <w:t>-dist}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\begin{figure}[ht]</w:t>
      </w:r>
    </w:p>
    <w:p w:rsidR="00031079" w:rsidRDefault="00031079" w:rsidP="00031079">
      <w:pPr>
        <w:pStyle w:val="LaTeX"/>
      </w:pPr>
      <w:r>
        <w:t>\centering</w:t>
      </w:r>
    </w:p>
    <w:p w:rsidR="00031079" w:rsidRDefault="00031079" w:rsidP="00031079">
      <w:pPr>
        <w:pStyle w:val="LaTeX"/>
      </w:pPr>
      <w:r>
        <w:t>\includegraphics[width=\linewidth]{../figure/combine</w:t>
      </w:r>
      <w:r w:rsidR="006B1689">
        <w:t>d</w:t>
      </w:r>
      <w:r>
        <w:t>-pca.pdf}</w:t>
      </w:r>
    </w:p>
    <w:p w:rsidR="00031079" w:rsidRDefault="00031079" w:rsidP="00031079">
      <w:pPr>
        <w:pStyle w:val="LaTeX"/>
      </w:pPr>
      <w:r>
        <w:lastRenderedPageBreak/>
        <w:t>\caption{</w:t>
      </w:r>
    </w:p>
    <w:p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\label{fig:combine</w:t>
      </w:r>
      <w:r w:rsidR="006B1689">
        <w:t>d</w:t>
      </w:r>
      <w:r>
        <w:t>-pca}</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\begin{figure}[ht]</w:t>
      </w:r>
    </w:p>
    <w:p w:rsidR="006F2AA7" w:rsidRDefault="006F2AA7" w:rsidP="006F2AA7">
      <w:pPr>
        <w:pStyle w:val="LaTeX"/>
      </w:pPr>
      <w:r>
        <w:t>\centering</w:t>
      </w:r>
    </w:p>
    <w:p w:rsidR="006F2AA7" w:rsidRDefault="006F2AA7" w:rsidP="006F2AA7">
      <w:pPr>
        <w:pStyle w:val="LaTeX"/>
      </w:pPr>
      <w:r>
        <w:t>\includegraphics[width=\linewidth]{../figure/</w:t>
      </w:r>
      <w:r w:rsidR="00F92401">
        <w:t>classifier-compare</w:t>
      </w:r>
      <w:r>
        <w:t>.pdf}</w:t>
      </w:r>
    </w:p>
    <w:p w:rsidR="006F2AA7" w:rsidRDefault="006F2AA7" w:rsidP="006F2AA7">
      <w:pPr>
        <w:pStyle w:val="LaTeX"/>
      </w:pPr>
      <w:r>
        <w:t>\caption{</w:t>
      </w:r>
    </w:p>
    <w:p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\label{fig:</w:t>
      </w:r>
      <w:r w:rsidR="00F92401">
        <w:t>class-compare</w:t>
      </w:r>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\begin{figure}[ht]</w:t>
      </w:r>
    </w:p>
    <w:p w:rsidR="0000254B" w:rsidRDefault="0000254B" w:rsidP="0000254B">
      <w:pPr>
        <w:pStyle w:val="LaTeX"/>
      </w:pPr>
      <w:r>
        <w:t>\centering</w:t>
      </w:r>
    </w:p>
    <w:p w:rsidR="0000254B" w:rsidRDefault="0000254B" w:rsidP="0000254B">
      <w:pPr>
        <w:pStyle w:val="LaTeX"/>
      </w:pPr>
      <w:r>
        <w:t>\includegraphics[width=\linewidth]{../figure/</w:t>
      </w:r>
      <w:r w:rsidR="001F03E0">
        <w:t>classifier-en</w:t>
      </w:r>
      <w:r>
        <w:t>.pdf}</w:t>
      </w:r>
    </w:p>
    <w:p w:rsidR="0000254B" w:rsidRDefault="0000254B" w:rsidP="0000254B">
      <w:pPr>
        <w:pStyle w:val="LaTeX"/>
      </w:pPr>
      <w:r>
        <w:t>\caption{</w:t>
      </w:r>
    </w:p>
    <w:p w:rsidR="00407206" w:rsidRDefault="00407206" w:rsidP="00407206">
      <w:r>
        <w:t>Classifying TB susceptible individuals using an elastic net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\label{fig:</w:t>
      </w:r>
      <w:r w:rsidR="001F03E0">
        <w:t>class-en</w:t>
      </w:r>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\begin{figure}[ht]</w:t>
      </w:r>
    </w:p>
    <w:p w:rsidR="00043BCC" w:rsidRDefault="00043BCC" w:rsidP="00043BCC">
      <w:pPr>
        <w:pStyle w:val="LaTeX"/>
      </w:pPr>
      <w:r>
        <w:t>\centering</w:t>
      </w:r>
    </w:p>
    <w:p w:rsidR="00043BCC" w:rsidRDefault="00043BCC" w:rsidP="00043BCC">
      <w:pPr>
        <w:pStyle w:val="LaTeX"/>
      </w:pPr>
      <w:r>
        <w:t>\includegraphics[width=\linewidth]{../figure/classifier-rf.pdf}</w:t>
      </w:r>
    </w:p>
    <w:p w:rsidR="00043BCC" w:rsidRDefault="00043BCC" w:rsidP="00043BCC">
      <w:pPr>
        <w:pStyle w:val="LaTeX"/>
      </w:pPr>
      <w:r>
        <w:t>\caption{</w:t>
      </w:r>
    </w:p>
    <w:p w:rsidR="00407206" w:rsidRDefault="00407206" w:rsidP="00407206">
      <w:r>
        <w:t>Classifying TB susceptible individuals using a random forest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\label{fig:class-rf}</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\begin{figure}[ht]</w:t>
      </w:r>
    </w:p>
    <w:p w:rsidR="00A83FF4" w:rsidRDefault="00A83FF4" w:rsidP="00A83FF4">
      <w:pPr>
        <w:pStyle w:val="LaTeX"/>
      </w:pPr>
      <w:r>
        <w:t>\centering</w:t>
      </w:r>
    </w:p>
    <w:p w:rsidR="00A83FF4" w:rsidRDefault="00A83FF4" w:rsidP="00A83FF4">
      <w:pPr>
        <w:pStyle w:val="LaTeX"/>
      </w:pPr>
      <w:r>
        <w:t>\includegraphics[width=\linewidth]{../figure/classifier-exp.pdf}</w:t>
      </w:r>
    </w:p>
    <w:p w:rsidR="00A83FF4" w:rsidRDefault="00A83FF4" w:rsidP="00A83FF4">
      <w:pPr>
        <w:pStyle w:val="LaTeX"/>
      </w:pPr>
      <w:r>
        <w:t>\caption{</w:t>
      </w:r>
    </w:p>
    <w:p w:rsidR="00215E82" w:rsidRDefault="00215E82" w:rsidP="00A83FF4">
      <w:r>
        <w:t>Comparing gene expression between the two studies. After normalization and batch-correction, the median expression levels of the 99 genes used in the classifier were similar between the samples in the current study and those in Barreiro et al., 2012 \cite{Barreiro2012}.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\label{fig:class-exp}</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Supplementary Data S1 contains the gene expression counts for the 11,336 genes after filtering lowly expressed genes for all 50 samples. Each row is a gene labeled with its Ensembl gene ID. Each column is a sample. Each sample is labeled according to the pattern “x##-status-treatment”, where x is “r” for resistant or “s” for susceptible, ## is the ID number, status is “resist” for resistant or “suscep” for susceptible, and treatment is “noninf” for noninfected or “infect” for infected. (tds)</w:t>
      </w:r>
    </w:p>
    <w:p w:rsidR="00332AA7" w:rsidRDefault="00332AA7" w:rsidP="00332AA7">
      <w:pPr>
        <w:pStyle w:val="Heading3"/>
      </w:pPr>
      <w:r>
        <w:t>Supplementary Data S2</w:t>
      </w:r>
    </w:p>
    <w:p w:rsidR="00332AA7" w:rsidRDefault="00332AA7" w:rsidP="00332AA7">
      <w:r>
        <w:t>Supplementary Data S2 contains the results of the differential expression analysis with limma (Fig. \ref{fig:limma}). The workbook contains 4 sheets corresponding to the 4 tests performed. “status_ni” is the test between resistant and susceptible individuals in the noninfected state, “status_ii” is the test between resistant and susceptible individuals in the infected state, “treat_resist” is the test between the noninfected and infected states for resistant individuals, and “treat_suscep” is the test between the noninfected and infected states for susceptible individuals. Each sheet has the same columns. “id” is the Ensembl gene ID, “gene” is the gene name, “logFC” is the log fold change from limma, “AveExpr” is the average log expression from limma, “t” is the t-statistic from limma, “P.Value” is the p-value from limma, “adj.P.Val” is the adjusted p-value from limma, “qvalue” is the q-value calculated with adaptive shrinkage, “chr” is the chromosome where the gene is located, “description” is the description of the gene from Ensembl, “phenotype” is the associated phenotype(s) assigned my Ensembl, “go_id” is the associated GO term(s) assigned by Ensembl, and “go_description” is the corresponding name(s) of the GO term(s). (xlsx)</w:t>
      </w:r>
    </w:p>
    <w:p w:rsidR="00332AA7" w:rsidRDefault="00332AA7" w:rsidP="00332AA7">
      <w:pPr>
        <w:pStyle w:val="Heading3"/>
      </w:pPr>
      <w:r>
        <w:t>Supplementary Data S3</w:t>
      </w:r>
    </w:p>
    <w:p w:rsidR="00332AA7" w:rsidRDefault="00332AA7" w:rsidP="00332AA7">
      <w:r>
        <w:t>Supplementary Data S3 contains the results of the GWAS comparison analysis (Fig. \ref{fig:gwas}). The first sheet “input-data” contains the data for the 10,260 genes which were assigned a SNP in the studies from The Gambia and Ghan</w:t>
      </w:r>
      <w:r w:rsidRPr="00F52C99">
        <w:t xml:space="preserve">a. </w:t>
      </w:r>
      <w:r>
        <w:t>“</w:t>
      </w:r>
      <w:r w:rsidRPr="00F52C99">
        <w:t>gwas_p_ghana</w:t>
      </w:r>
      <w:r>
        <w:t>” is the minimum p-value from the GWAS in Ghana, “</w:t>
      </w:r>
      <w:r w:rsidRPr="00F52C99">
        <w:t>gwas_p_</w:t>
      </w:r>
      <w:r>
        <w:t xml:space="preserve">gambia” is the minimum p-value from the GWAS in The Gambia, and “n_snps” is the number of GWAS SNPs within 50 kb of the transcription start site. The columns status_ni, status_ii, treat_resist, and treat_suscep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“t” is the t-statistic, “p” is the p-value, “slope” is the slope of the regression line, and “slope_se” is the standard error of the slope. (xlsx)</w:t>
      </w:r>
    </w:p>
    <w:p w:rsidR="00332AA7" w:rsidRDefault="00332AA7" w:rsidP="00332AA7">
      <w:pPr>
        <w:pStyle w:val="Heading3"/>
      </w:pPr>
      <w:r>
        <w:t>Supplementary Data S4</w:t>
      </w:r>
    </w:p>
    <w:p w:rsidR="00332AA7" w:rsidRPr="00332AA7" w:rsidRDefault="00332AA7" w:rsidP="00332AA7">
      <w:r>
        <w:t>Supplementary Data S4 contains the results of the classifier analysis. Specifically it contains the results from the support vector machine using the genes with a qvalue less than 0.05 (Fig. \ref{fig:classifier}).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\cite{Barreiro2012}. The column “prob_tb_resist” is the probability of being resistant to TB assigned by the model. (xlsx)</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B42" w:rsidRDefault="00F43B42" w:rsidP="00224E16">
      <w:pPr>
        <w:spacing w:line="240" w:lineRule="auto"/>
      </w:pPr>
      <w:r>
        <w:separator/>
      </w:r>
    </w:p>
  </w:endnote>
  <w:endnote w:type="continuationSeparator" w:id="0">
    <w:p w:rsidR="00F43B42" w:rsidRDefault="00F43B42"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352419">
          <w:rPr>
            <w:noProof/>
          </w:rPr>
          <w:t>10</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B42" w:rsidRDefault="00F43B42" w:rsidP="00224E16">
      <w:pPr>
        <w:spacing w:line="240" w:lineRule="auto"/>
      </w:pPr>
      <w:r>
        <w:separator/>
      </w:r>
    </w:p>
  </w:footnote>
  <w:footnote w:type="continuationSeparator" w:id="0">
    <w:p w:rsidR="00F43B42" w:rsidRDefault="00F43B42"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53C7"/>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0191"/>
    <w:rsid w:val="000B4CA8"/>
    <w:rsid w:val="000C46A4"/>
    <w:rsid w:val="000D1616"/>
    <w:rsid w:val="000D1DE1"/>
    <w:rsid w:val="000D2F09"/>
    <w:rsid w:val="000D7056"/>
    <w:rsid w:val="000D7346"/>
    <w:rsid w:val="000E703B"/>
    <w:rsid w:val="000E7D3C"/>
    <w:rsid w:val="000F07B1"/>
    <w:rsid w:val="000F19D5"/>
    <w:rsid w:val="000F2999"/>
    <w:rsid w:val="000F6A9A"/>
    <w:rsid w:val="001051DC"/>
    <w:rsid w:val="00113652"/>
    <w:rsid w:val="001278A7"/>
    <w:rsid w:val="00132DA2"/>
    <w:rsid w:val="001375C9"/>
    <w:rsid w:val="00137DFE"/>
    <w:rsid w:val="00151AA2"/>
    <w:rsid w:val="00154CD0"/>
    <w:rsid w:val="0016091A"/>
    <w:rsid w:val="001660EF"/>
    <w:rsid w:val="00166840"/>
    <w:rsid w:val="00167586"/>
    <w:rsid w:val="001675C4"/>
    <w:rsid w:val="0017170C"/>
    <w:rsid w:val="0017209A"/>
    <w:rsid w:val="00176326"/>
    <w:rsid w:val="001863A9"/>
    <w:rsid w:val="001958B4"/>
    <w:rsid w:val="00197357"/>
    <w:rsid w:val="00197587"/>
    <w:rsid w:val="001A2E28"/>
    <w:rsid w:val="001A43B7"/>
    <w:rsid w:val="001A43D8"/>
    <w:rsid w:val="001A4DEF"/>
    <w:rsid w:val="001A7DBC"/>
    <w:rsid w:val="001B1307"/>
    <w:rsid w:val="001B49A2"/>
    <w:rsid w:val="001B70A3"/>
    <w:rsid w:val="001D0D26"/>
    <w:rsid w:val="001D1AF1"/>
    <w:rsid w:val="001E4DFE"/>
    <w:rsid w:val="001F03E0"/>
    <w:rsid w:val="001F5AE6"/>
    <w:rsid w:val="001F6D04"/>
    <w:rsid w:val="00201A05"/>
    <w:rsid w:val="00215780"/>
    <w:rsid w:val="00215DA1"/>
    <w:rsid w:val="00215E82"/>
    <w:rsid w:val="00215F94"/>
    <w:rsid w:val="00224E16"/>
    <w:rsid w:val="00226F4D"/>
    <w:rsid w:val="0023292C"/>
    <w:rsid w:val="00233831"/>
    <w:rsid w:val="002405DF"/>
    <w:rsid w:val="002407D2"/>
    <w:rsid w:val="00244BF2"/>
    <w:rsid w:val="0024725C"/>
    <w:rsid w:val="00247CF1"/>
    <w:rsid w:val="00262ED2"/>
    <w:rsid w:val="00270A0B"/>
    <w:rsid w:val="00271127"/>
    <w:rsid w:val="00283293"/>
    <w:rsid w:val="00283C33"/>
    <w:rsid w:val="00285841"/>
    <w:rsid w:val="0028659C"/>
    <w:rsid w:val="002910E2"/>
    <w:rsid w:val="002928DD"/>
    <w:rsid w:val="00293C88"/>
    <w:rsid w:val="00293D54"/>
    <w:rsid w:val="002A7A66"/>
    <w:rsid w:val="002A7B56"/>
    <w:rsid w:val="002B0378"/>
    <w:rsid w:val="002B0AD4"/>
    <w:rsid w:val="002B140A"/>
    <w:rsid w:val="002C3253"/>
    <w:rsid w:val="002C7157"/>
    <w:rsid w:val="002D04F9"/>
    <w:rsid w:val="002D15F6"/>
    <w:rsid w:val="002D3912"/>
    <w:rsid w:val="002D392E"/>
    <w:rsid w:val="002D4008"/>
    <w:rsid w:val="002D4662"/>
    <w:rsid w:val="002D61EC"/>
    <w:rsid w:val="002E553E"/>
    <w:rsid w:val="002F6C23"/>
    <w:rsid w:val="003021E9"/>
    <w:rsid w:val="003026EF"/>
    <w:rsid w:val="0030797A"/>
    <w:rsid w:val="00307E82"/>
    <w:rsid w:val="003151AF"/>
    <w:rsid w:val="00316DAC"/>
    <w:rsid w:val="00317E0E"/>
    <w:rsid w:val="00326652"/>
    <w:rsid w:val="003267CE"/>
    <w:rsid w:val="0032746E"/>
    <w:rsid w:val="00332278"/>
    <w:rsid w:val="00332AA7"/>
    <w:rsid w:val="0033405F"/>
    <w:rsid w:val="00335B07"/>
    <w:rsid w:val="00335E6B"/>
    <w:rsid w:val="0034094D"/>
    <w:rsid w:val="00340E0D"/>
    <w:rsid w:val="0034367C"/>
    <w:rsid w:val="0034519C"/>
    <w:rsid w:val="00345317"/>
    <w:rsid w:val="00345990"/>
    <w:rsid w:val="003470A4"/>
    <w:rsid w:val="00347EC2"/>
    <w:rsid w:val="00352419"/>
    <w:rsid w:val="0035717E"/>
    <w:rsid w:val="003662A4"/>
    <w:rsid w:val="00366838"/>
    <w:rsid w:val="00370968"/>
    <w:rsid w:val="00370A5B"/>
    <w:rsid w:val="0037240C"/>
    <w:rsid w:val="00376917"/>
    <w:rsid w:val="00381890"/>
    <w:rsid w:val="00387329"/>
    <w:rsid w:val="00393355"/>
    <w:rsid w:val="003946BD"/>
    <w:rsid w:val="00395BF7"/>
    <w:rsid w:val="0039676B"/>
    <w:rsid w:val="00397D31"/>
    <w:rsid w:val="003A25EC"/>
    <w:rsid w:val="003A306A"/>
    <w:rsid w:val="003B2BDB"/>
    <w:rsid w:val="003C1725"/>
    <w:rsid w:val="003C6054"/>
    <w:rsid w:val="003C7AE3"/>
    <w:rsid w:val="003D2DAB"/>
    <w:rsid w:val="003E01F9"/>
    <w:rsid w:val="003E1709"/>
    <w:rsid w:val="003E2289"/>
    <w:rsid w:val="003E29E9"/>
    <w:rsid w:val="003F001D"/>
    <w:rsid w:val="00403E32"/>
    <w:rsid w:val="00407206"/>
    <w:rsid w:val="0041181F"/>
    <w:rsid w:val="0041268C"/>
    <w:rsid w:val="0041784D"/>
    <w:rsid w:val="0042029E"/>
    <w:rsid w:val="00421B88"/>
    <w:rsid w:val="004221E5"/>
    <w:rsid w:val="00422D41"/>
    <w:rsid w:val="004310E0"/>
    <w:rsid w:val="00437148"/>
    <w:rsid w:val="00440C5A"/>
    <w:rsid w:val="00441E7B"/>
    <w:rsid w:val="004422A3"/>
    <w:rsid w:val="0045091B"/>
    <w:rsid w:val="00451DDE"/>
    <w:rsid w:val="0046206F"/>
    <w:rsid w:val="00463D75"/>
    <w:rsid w:val="00465099"/>
    <w:rsid w:val="0046685D"/>
    <w:rsid w:val="0046688D"/>
    <w:rsid w:val="00467B50"/>
    <w:rsid w:val="00470BEA"/>
    <w:rsid w:val="00472D6A"/>
    <w:rsid w:val="004840DB"/>
    <w:rsid w:val="00494CC4"/>
    <w:rsid w:val="004A231C"/>
    <w:rsid w:val="004A49BD"/>
    <w:rsid w:val="004A4CA2"/>
    <w:rsid w:val="004B0011"/>
    <w:rsid w:val="004B3941"/>
    <w:rsid w:val="004B5108"/>
    <w:rsid w:val="004C61CC"/>
    <w:rsid w:val="004E111A"/>
    <w:rsid w:val="004E24F1"/>
    <w:rsid w:val="004E29B3"/>
    <w:rsid w:val="004E3338"/>
    <w:rsid w:val="004F1D96"/>
    <w:rsid w:val="004F4461"/>
    <w:rsid w:val="004F60F7"/>
    <w:rsid w:val="0050139E"/>
    <w:rsid w:val="00503113"/>
    <w:rsid w:val="00507851"/>
    <w:rsid w:val="00507E34"/>
    <w:rsid w:val="00511079"/>
    <w:rsid w:val="00511B60"/>
    <w:rsid w:val="0051558B"/>
    <w:rsid w:val="00515A5E"/>
    <w:rsid w:val="0052631F"/>
    <w:rsid w:val="00526CEC"/>
    <w:rsid w:val="0053091A"/>
    <w:rsid w:val="00531A2C"/>
    <w:rsid w:val="00534986"/>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08"/>
    <w:rsid w:val="00583674"/>
    <w:rsid w:val="0058693C"/>
    <w:rsid w:val="00590D07"/>
    <w:rsid w:val="00592526"/>
    <w:rsid w:val="005A1670"/>
    <w:rsid w:val="005A5A4C"/>
    <w:rsid w:val="005A7C2F"/>
    <w:rsid w:val="005B1EAF"/>
    <w:rsid w:val="005B5A2B"/>
    <w:rsid w:val="005C02B9"/>
    <w:rsid w:val="005C433D"/>
    <w:rsid w:val="005C5559"/>
    <w:rsid w:val="005C5B66"/>
    <w:rsid w:val="005C623A"/>
    <w:rsid w:val="005D2FB8"/>
    <w:rsid w:val="005D4E21"/>
    <w:rsid w:val="005D69A8"/>
    <w:rsid w:val="005F3731"/>
    <w:rsid w:val="00600649"/>
    <w:rsid w:val="00600967"/>
    <w:rsid w:val="006020E4"/>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0822"/>
    <w:rsid w:val="006D12A6"/>
    <w:rsid w:val="006E4142"/>
    <w:rsid w:val="006E4268"/>
    <w:rsid w:val="006F0C2E"/>
    <w:rsid w:val="006F2060"/>
    <w:rsid w:val="006F2AA7"/>
    <w:rsid w:val="006F4CBF"/>
    <w:rsid w:val="00704C03"/>
    <w:rsid w:val="00715DA1"/>
    <w:rsid w:val="00721798"/>
    <w:rsid w:val="00721FBC"/>
    <w:rsid w:val="00722751"/>
    <w:rsid w:val="0072301A"/>
    <w:rsid w:val="00723BBA"/>
    <w:rsid w:val="00727B5D"/>
    <w:rsid w:val="007346A6"/>
    <w:rsid w:val="007365F9"/>
    <w:rsid w:val="00737356"/>
    <w:rsid w:val="007415E3"/>
    <w:rsid w:val="007521B2"/>
    <w:rsid w:val="00756628"/>
    <w:rsid w:val="00763C86"/>
    <w:rsid w:val="007674DB"/>
    <w:rsid w:val="00767F87"/>
    <w:rsid w:val="0077498F"/>
    <w:rsid w:val="0077790F"/>
    <w:rsid w:val="00782098"/>
    <w:rsid w:val="00784D58"/>
    <w:rsid w:val="0078541A"/>
    <w:rsid w:val="00786B62"/>
    <w:rsid w:val="007913B3"/>
    <w:rsid w:val="00792382"/>
    <w:rsid w:val="0079306E"/>
    <w:rsid w:val="007A56D3"/>
    <w:rsid w:val="007B0071"/>
    <w:rsid w:val="007B2CBE"/>
    <w:rsid w:val="007B596A"/>
    <w:rsid w:val="007C0EF3"/>
    <w:rsid w:val="007C3548"/>
    <w:rsid w:val="007C6A51"/>
    <w:rsid w:val="007D3AA8"/>
    <w:rsid w:val="007D6425"/>
    <w:rsid w:val="007D73C9"/>
    <w:rsid w:val="007E13C5"/>
    <w:rsid w:val="007E34EF"/>
    <w:rsid w:val="007E498B"/>
    <w:rsid w:val="007E5BCF"/>
    <w:rsid w:val="007F3FDB"/>
    <w:rsid w:val="007F78C1"/>
    <w:rsid w:val="008030F6"/>
    <w:rsid w:val="00806450"/>
    <w:rsid w:val="0081487E"/>
    <w:rsid w:val="008163E8"/>
    <w:rsid w:val="00816E45"/>
    <w:rsid w:val="00820F71"/>
    <w:rsid w:val="008227ED"/>
    <w:rsid w:val="0082535B"/>
    <w:rsid w:val="00834F4C"/>
    <w:rsid w:val="00843131"/>
    <w:rsid w:val="00853960"/>
    <w:rsid w:val="008561C5"/>
    <w:rsid w:val="008566D9"/>
    <w:rsid w:val="00862F9D"/>
    <w:rsid w:val="00885732"/>
    <w:rsid w:val="00887BD1"/>
    <w:rsid w:val="00895A20"/>
    <w:rsid w:val="008A18BE"/>
    <w:rsid w:val="008A2B63"/>
    <w:rsid w:val="008A647E"/>
    <w:rsid w:val="008B7158"/>
    <w:rsid w:val="008B7742"/>
    <w:rsid w:val="008C20D2"/>
    <w:rsid w:val="008C5264"/>
    <w:rsid w:val="008D5CD1"/>
    <w:rsid w:val="008D6863"/>
    <w:rsid w:val="008D6A14"/>
    <w:rsid w:val="008D6DEE"/>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741E6"/>
    <w:rsid w:val="00980DAB"/>
    <w:rsid w:val="009902CA"/>
    <w:rsid w:val="009903D0"/>
    <w:rsid w:val="00994CC9"/>
    <w:rsid w:val="00996906"/>
    <w:rsid w:val="009970DE"/>
    <w:rsid w:val="009A1DA8"/>
    <w:rsid w:val="009A24AA"/>
    <w:rsid w:val="009A2DCC"/>
    <w:rsid w:val="009B7EE2"/>
    <w:rsid w:val="009C095F"/>
    <w:rsid w:val="009C1B81"/>
    <w:rsid w:val="009C685B"/>
    <w:rsid w:val="009D0095"/>
    <w:rsid w:val="009D3352"/>
    <w:rsid w:val="009E1925"/>
    <w:rsid w:val="009E4D11"/>
    <w:rsid w:val="009F1350"/>
    <w:rsid w:val="009F3E99"/>
    <w:rsid w:val="00A00EA4"/>
    <w:rsid w:val="00A06378"/>
    <w:rsid w:val="00A07AC1"/>
    <w:rsid w:val="00A12A84"/>
    <w:rsid w:val="00A143EE"/>
    <w:rsid w:val="00A14825"/>
    <w:rsid w:val="00A1584A"/>
    <w:rsid w:val="00A20C9F"/>
    <w:rsid w:val="00A24AC0"/>
    <w:rsid w:val="00A24B79"/>
    <w:rsid w:val="00A2522B"/>
    <w:rsid w:val="00A26402"/>
    <w:rsid w:val="00A301AC"/>
    <w:rsid w:val="00A30CA8"/>
    <w:rsid w:val="00A3250F"/>
    <w:rsid w:val="00A35944"/>
    <w:rsid w:val="00A35CFB"/>
    <w:rsid w:val="00A5251E"/>
    <w:rsid w:val="00A53815"/>
    <w:rsid w:val="00A53E2F"/>
    <w:rsid w:val="00A54D42"/>
    <w:rsid w:val="00A5616F"/>
    <w:rsid w:val="00A572BB"/>
    <w:rsid w:val="00A62131"/>
    <w:rsid w:val="00A62384"/>
    <w:rsid w:val="00A70383"/>
    <w:rsid w:val="00A73A70"/>
    <w:rsid w:val="00A7661D"/>
    <w:rsid w:val="00A80BC7"/>
    <w:rsid w:val="00A83FF4"/>
    <w:rsid w:val="00A84A8B"/>
    <w:rsid w:val="00A85F35"/>
    <w:rsid w:val="00A87E2A"/>
    <w:rsid w:val="00A96A24"/>
    <w:rsid w:val="00AA430A"/>
    <w:rsid w:val="00AA52A6"/>
    <w:rsid w:val="00AA7948"/>
    <w:rsid w:val="00AB0690"/>
    <w:rsid w:val="00AB1539"/>
    <w:rsid w:val="00AB6308"/>
    <w:rsid w:val="00AD43A1"/>
    <w:rsid w:val="00AD494C"/>
    <w:rsid w:val="00AD4A62"/>
    <w:rsid w:val="00AD66EC"/>
    <w:rsid w:val="00AD7EB3"/>
    <w:rsid w:val="00B018A3"/>
    <w:rsid w:val="00B021AE"/>
    <w:rsid w:val="00B02DFC"/>
    <w:rsid w:val="00B036F9"/>
    <w:rsid w:val="00B05E67"/>
    <w:rsid w:val="00B13C74"/>
    <w:rsid w:val="00B14043"/>
    <w:rsid w:val="00B14413"/>
    <w:rsid w:val="00B155AF"/>
    <w:rsid w:val="00B20CFF"/>
    <w:rsid w:val="00B25082"/>
    <w:rsid w:val="00B25140"/>
    <w:rsid w:val="00B27961"/>
    <w:rsid w:val="00B3178C"/>
    <w:rsid w:val="00B31A3D"/>
    <w:rsid w:val="00B35023"/>
    <w:rsid w:val="00B364E7"/>
    <w:rsid w:val="00B433F4"/>
    <w:rsid w:val="00B519C8"/>
    <w:rsid w:val="00B55B3C"/>
    <w:rsid w:val="00B56C00"/>
    <w:rsid w:val="00B661E9"/>
    <w:rsid w:val="00B7008F"/>
    <w:rsid w:val="00B74212"/>
    <w:rsid w:val="00B7474D"/>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0BFF"/>
    <w:rsid w:val="00BB1A39"/>
    <w:rsid w:val="00BB5723"/>
    <w:rsid w:val="00BB6396"/>
    <w:rsid w:val="00BC48D5"/>
    <w:rsid w:val="00BC765C"/>
    <w:rsid w:val="00BD6008"/>
    <w:rsid w:val="00BE33DD"/>
    <w:rsid w:val="00BE459A"/>
    <w:rsid w:val="00BE4C30"/>
    <w:rsid w:val="00BF18FF"/>
    <w:rsid w:val="00BF1E7D"/>
    <w:rsid w:val="00C03E1F"/>
    <w:rsid w:val="00C05689"/>
    <w:rsid w:val="00C05895"/>
    <w:rsid w:val="00C12D99"/>
    <w:rsid w:val="00C14E42"/>
    <w:rsid w:val="00C1696B"/>
    <w:rsid w:val="00C23FC6"/>
    <w:rsid w:val="00C24889"/>
    <w:rsid w:val="00C25C27"/>
    <w:rsid w:val="00C25F28"/>
    <w:rsid w:val="00C27A99"/>
    <w:rsid w:val="00C27B68"/>
    <w:rsid w:val="00C32006"/>
    <w:rsid w:val="00C325CB"/>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4A2"/>
    <w:rsid w:val="00C95797"/>
    <w:rsid w:val="00CA130F"/>
    <w:rsid w:val="00CA37CE"/>
    <w:rsid w:val="00CA5C54"/>
    <w:rsid w:val="00CA7272"/>
    <w:rsid w:val="00CB5965"/>
    <w:rsid w:val="00CB78EE"/>
    <w:rsid w:val="00CC1939"/>
    <w:rsid w:val="00CC2E46"/>
    <w:rsid w:val="00CC33BE"/>
    <w:rsid w:val="00CC7B4B"/>
    <w:rsid w:val="00CD01B4"/>
    <w:rsid w:val="00CE39FE"/>
    <w:rsid w:val="00CE6B8D"/>
    <w:rsid w:val="00CF3232"/>
    <w:rsid w:val="00D019FF"/>
    <w:rsid w:val="00D1016F"/>
    <w:rsid w:val="00D113E8"/>
    <w:rsid w:val="00D14BF1"/>
    <w:rsid w:val="00D2049C"/>
    <w:rsid w:val="00D21024"/>
    <w:rsid w:val="00D25BB6"/>
    <w:rsid w:val="00D276E7"/>
    <w:rsid w:val="00D310EF"/>
    <w:rsid w:val="00D3229D"/>
    <w:rsid w:val="00D34891"/>
    <w:rsid w:val="00D41B60"/>
    <w:rsid w:val="00D42E3F"/>
    <w:rsid w:val="00D441DB"/>
    <w:rsid w:val="00D445AC"/>
    <w:rsid w:val="00D47AF7"/>
    <w:rsid w:val="00D532B2"/>
    <w:rsid w:val="00D54C73"/>
    <w:rsid w:val="00D60329"/>
    <w:rsid w:val="00D60BCD"/>
    <w:rsid w:val="00D63175"/>
    <w:rsid w:val="00D63475"/>
    <w:rsid w:val="00D70045"/>
    <w:rsid w:val="00D7271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0526"/>
    <w:rsid w:val="00DF6DA3"/>
    <w:rsid w:val="00E00A65"/>
    <w:rsid w:val="00E03048"/>
    <w:rsid w:val="00E05B63"/>
    <w:rsid w:val="00E06DBC"/>
    <w:rsid w:val="00E12815"/>
    <w:rsid w:val="00E13CE8"/>
    <w:rsid w:val="00E203A2"/>
    <w:rsid w:val="00E22B2B"/>
    <w:rsid w:val="00E315A3"/>
    <w:rsid w:val="00E329EE"/>
    <w:rsid w:val="00E32FBF"/>
    <w:rsid w:val="00E3712E"/>
    <w:rsid w:val="00E412BC"/>
    <w:rsid w:val="00E43BCC"/>
    <w:rsid w:val="00E446CD"/>
    <w:rsid w:val="00E45487"/>
    <w:rsid w:val="00E5039E"/>
    <w:rsid w:val="00E53F39"/>
    <w:rsid w:val="00E5759D"/>
    <w:rsid w:val="00E67250"/>
    <w:rsid w:val="00E7528D"/>
    <w:rsid w:val="00E81F3B"/>
    <w:rsid w:val="00E86C86"/>
    <w:rsid w:val="00E91A35"/>
    <w:rsid w:val="00EA00B2"/>
    <w:rsid w:val="00EA0BF5"/>
    <w:rsid w:val="00EA39F5"/>
    <w:rsid w:val="00EA4894"/>
    <w:rsid w:val="00EB02E8"/>
    <w:rsid w:val="00EB3993"/>
    <w:rsid w:val="00EC1A91"/>
    <w:rsid w:val="00EC2BE6"/>
    <w:rsid w:val="00EC5980"/>
    <w:rsid w:val="00EC6BE1"/>
    <w:rsid w:val="00EC6F33"/>
    <w:rsid w:val="00ED5AE1"/>
    <w:rsid w:val="00ED6898"/>
    <w:rsid w:val="00EE7222"/>
    <w:rsid w:val="00EE7DC3"/>
    <w:rsid w:val="00EF07A1"/>
    <w:rsid w:val="00EF20F6"/>
    <w:rsid w:val="00F04D3D"/>
    <w:rsid w:val="00F0637C"/>
    <w:rsid w:val="00F07550"/>
    <w:rsid w:val="00F126C0"/>
    <w:rsid w:val="00F21A81"/>
    <w:rsid w:val="00F21CBB"/>
    <w:rsid w:val="00F2206C"/>
    <w:rsid w:val="00F23E3D"/>
    <w:rsid w:val="00F43875"/>
    <w:rsid w:val="00F43B42"/>
    <w:rsid w:val="00F47329"/>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27F0"/>
    <w:rsid w:val="00FA548C"/>
    <w:rsid w:val="00FB3130"/>
    <w:rsid w:val="00FC0073"/>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 w:type="character" w:styleId="CommentReference">
    <w:name w:val="annotation reference"/>
    <w:basedOn w:val="DefaultParagraphFont"/>
    <w:semiHidden/>
    <w:unhideWhenUsed/>
    <w:rsid w:val="00B364E7"/>
    <w:rPr>
      <w:sz w:val="16"/>
      <w:szCs w:val="16"/>
    </w:rPr>
  </w:style>
  <w:style w:type="paragraph" w:styleId="CommentText">
    <w:name w:val="annotation text"/>
    <w:basedOn w:val="Normal"/>
    <w:link w:val="CommentTextChar"/>
    <w:semiHidden/>
    <w:unhideWhenUsed/>
    <w:rsid w:val="00B364E7"/>
    <w:pPr>
      <w:spacing w:line="240" w:lineRule="auto"/>
    </w:pPr>
    <w:rPr>
      <w:sz w:val="20"/>
      <w:szCs w:val="20"/>
    </w:rPr>
  </w:style>
  <w:style w:type="character" w:customStyle="1" w:styleId="CommentTextChar">
    <w:name w:val="Comment Text Char"/>
    <w:basedOn w:val="DefaultParagraphFont"/>
    <w:link w:val="CommentText"/>
    <w:semiHidden/>
    <w:rsid w:val="00B364E7"/>
    <w:rPr>
      <w:rFonts w:ascii="Arial" w:hAnsi="Arial"/>
      <w:sz w:val="20"/>
      <w:szCs w:val="20"/>
    </w:rPr>
  </w:style>
  <w:style w:type="paragraph" w:styleId="CommentSubject">
    <w:name w:val="annotation subject"/>
    <w:basedOn w:val="CommentText"/>
    <w:next w:val="CommentText"/>
    <w:link w:val="CommentSubjectChar"/>
    <w:semiHidden/>
    <w:unhideWhenUsed/>
    <w:rsid w:val="00B364E7"/>
    <w:rPr>
      <w:b/>
      <w:bCs/>
    </w:rPr>
  </w:style>
  <w:style w:type="character" w:customStyle="1" w:styleId="CommentSubjectChar">
    <w:name w:val="Comment Subject Char"/>
    <w:basedOn w:val="CommentTextChar"/>
    <w:link w:val="CommentSubject"/>
    <w:semiHidden/>
    <w:rsid w:val="00B364E7"/>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10387A8A-A3C3-456C-B9FB-63EC71E69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2887</TotalTime>
  <Pages>32</Pages>
  <Words>6852</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45824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579</cp:revision>
  <dcterms:created xsi:type="dcterms:W3CDTF">2016-07-08T21:38:00Z</dcterms:created>
  <dcterms:modified xsi:type="dcterms:W3CDTF">2016-09-11T03:52:00Z</dcterms:modified>
</cp:coreProperties>
</file>