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21B65" w14:textId="77777777" w:rsidR="006F1876" w:rsidRPr="006F1876" w:rsidRDefault="006F1876" w:rsidP="006F1876">
      <w:r w:rsidRPr="006F1876">
        <w:rPr>
          <w:b/>
          <w:bCs/>
        </w:rPr>
        <w:t>Title:</w:t>
      </w:r>
      <w:r w:rsidRPr="006F1876">
        <w:t> </w:t>
      </w:r>
      <w:r w:rsidRPr="006F1876">
        <w:rPr>
          <w:b/>
          <w:bCs/>
        </w:rPr>
        <w:t>Beyond the Black Box: A Taxonomical Framework for Selecting Optimal Electricity Forecasting Models in Smart Grid Applications</w:t>
      </w:r>
    </w:p>
    <w:p w14:paraId="6FE1D21F" w14:textId="6C949111" w:rsidR="006F1876" w:rsidRPr="006F1876" w:rsidRDefault="006F1876" w:rsidP="006F1876">
      <w:r w:rsidRPr="006F1876">
        <w:rPr>
          <w:b/>
          <w:bCs/>
        </w:rPr>
        <w:t>Authors:</w:t>
      </w:r>
      <w:r w:rsidRPr="006F1876">
        <w:t> </w:t>
      </w:r>
      <w:r>
        <w:t>Team Simplicity Paradox</w:t>
      </w:r>
      <w:r w:rsidRPr="006F1876">
        <w:br/>
      </w:r>
      <w:r w:rsidRPr="006F1876">
        <w:rPr>
          <w:b/>
          <w:bCs/>
        </w:rPr>
        <w:t>Submission:</w:t>
      </w:r>
      <w:r w:rsidRPr="006F1876">
        <w:t> </w:t>
      </w:r>
      <w:r>
        <w:t>Hack the mind</w:t>
      </w:r>
      <w:r w:rsidRPr="006F1876">
        <w:br/>
      </w:r>
      <w:r w:rsidRPr="006F1876">
        <w:rPr>
          <w:b/>
          <w:bCs/>
        </w:rPr>
        <w:t>Date:</w:t>
      </w:r>
      <w:r w:rsidRPr="006F1876">
        <w:t> April 12, 2026</w:t>
      </w:r>
    </w:p>
    <w:p w14:paraId="4546E6B3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Abstract</w:t>
      </w:r>
    </w:p>
    <w:p w14:paraId="4C0D292F" w14:textId="77777777" w:rsidR="006F1876" w:rsidRPr="006F1876" w:rsidRDefault="006F1876" w:rsidP="006F1876">
      <w:r w:rsidRPr="006F1876">
        <w:t>The proliferation of smart meters and distributed energy resources (DERs) has created an urgent need for accurate electricity demand forecasting. However, the field suffers from a "no free lunch" problem: no single model architecture (Regression, ANN, ARIMA, SVM) universally outperforms others. This paper synthesizes a systematic review of 113 case studies from 41 academic papers to develop a decision-making taxonomy for model selection. We present a quantitative analysis of model suitability based on temporal resolution (short vs. long term) and exogenous data availability (environmental vs. socio-economic). Our findings, validated against a practical Kaggle dataset implementation, reveal that while Machine Learning (ANN/SVM) dominates short-term predictions (43.59% of studies), simple Multivariate Regression remains the most efficient and transparent method for long-term infrastructure planning (61.54% of studies). We conclude with a streamlined "Scenario-Based Selection Matrix" designed for rapid prototyping and hackathon implementation.</w:t>
      </w:r>
    </w:p>
    <w:p w14:paraId="2FF1C6D8" w14:textId="77777777" w:rsidR="006F1876" w:rsidRPr="006F1876" w:rsidRDefault="006F1876" w:rsidP="006F1876">
      <w:r w:rsidRPr="006F1876">
        <w:rPr>
          <w:b/>
          <w:bCs/>
        </w:rPr>
        <w:t>Keywords:</w:t>
      </w:r>
      <w:r w:rsidRPr="006F1876">
        <w:t> Load Forecasting, Smart Grid, Artificial Neural Networks (ANN), ARIMA, Regression Analysis, Taxonomy, Feature Engineering.</w:t>
      </w:r>
    </w:p>
    <w:p w14:paraId="69660CFB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1. Introduction</w:t>
      </w:r>
    </w:p>
    <w:p w14:paraId="0B0CE216" w14:textId="77777777" w:rsidR="006F1876" w:rsidRPr="006F1876" w:rsidRDefault="006F1876" w:rsidP="006F1876">
      <w:r w:rsidRPr="006F1876">
        <w:t xml:space="preserve">As the global energy grid transitions toward decarbonization and smart infrastructure, the economic and operational stability of the grid hinges on accurate load forecasting. </w:t>
      </w:r>
      <w:proofErr w:type="spellStart"/>
      <w:r w:rsidRPr="006F1876">
        <w:t>Mispredicting</w:t>
      </w:r>
      <w:proofErr w:type="spellEnd"/>
      <w:r w:rsidRPr="006F1876">
        <w:t xml:space="preserve"> demand by even a few percentage points can lead to brownouts, inefficient peaker plant activation, or curtailment of renewable energy.</w:t>
      </w:r>
    </w:p>
    <w:p w14:paraId="084A24DC" w14:textId="77777777" w:rsidR="006F1876" w:rsidRPr="006F1876" w:rsidRDefault="006F1876" w:rsidP="006F1876">
      <w:r w:rsidRPr="006F1876">
        <w:t xml:space="preserve">A common pitfall in data science hackathons is the immediate selection of a complex Deep Learning model without </w:t>
      </w:r>
      <w:proofErr w:type="spellStart"/>
      <w:r w:rsidRPr="006F1876">
        <w:t>analyzing</w:t>
      </w:r>
      <w:proofErr w:type="spellEnd"/>
      <w:r w:rsidRPr="006F1876">
        <w:t xml:space="preserve"> the nature of the forecasting problem. According to the meta-analysis of 41 academic papers reviewed in this study, </w:t>
      </w:r>
      <w:r w:rsidRPr="006F1876">
        <w:rPr>
          <w:b/>
          <w:bCs/>
        </w:rPr>
        <w:t>66.07% of successful forecasting implementations attribute their performance to rigorous data pre-processing and scenario alignment, not merely model complexity.</w:t>
      </w:r>
      <w:r w:rsidRPr="006F1876">
        <w:t> This paper aims to provide a clear, evidence-based roadmap for data scientists and engineers to navigate the trade-offs between five leading model families.</w:t>
      </w:r>
    </w:p>
    <w:p w14:paraId="1F74CE9C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2. Methodology</w:t>
      </w:r>
    </w:p>
    <w:p w14:paraId="5F270379" w14:textId="77777777" w:rsidR="006F1876" w:rsidRPr="006F1876" w:rsidRDefault="006F1876" w:rsidP="006F1876">
      <w:r w:rsidRPr="006F1876">
        <w:t>This research is a meta-analysis of existing literature (Scopus database) filtered through the lens of practical implementation. The scope includes 113 distinct case studies across 44 countries.</w:t>
      </w:r>
    </w:p>
    <w:p w14:paraId="76BD19C3" w14:textId="77777777" w:rsidR="006F1876" w:rsidRPr="006F1876" w:rsidRDefault="006F1876" w:rsidP="006F1876">
      <w:r w:rsidRPr="006F1876">
        <w:rPr>
          <w:b/>
          <w:bCs/>
        </w:rPr>
        <w:lastRenderedPageBreak/>
        <w:t>Analytical Framework:</w:t>
      </w:r>
      <w:r w:rsidRPr="006F1876">
        <w:br/>
        <w:t>We classified models into five "Leading Families" based on frequency of use and application context:</w:t>
      </w:r>
    </w:p>
    <w:p w14:paraId="4F9241C1" w14:textId="77777777" w:rsidR="006F1876" w:rsidRPr="006F1876" w:rsidRDefault="006F1876" w:rsidP="006F1876">
      <w:pPr>
        <w:numPr>
          <w:ilvl w:val="0"/>
          <w:numId w:val="1"/>
        </w:numPr>
      </w:pPr>
      <w:r w:rsidRPr="006F1876">
        <w:rPr>
          <w:b/>
          <w:bCs/>
        </w:rPr>
        <w:t>Multivariate Regression:</w:t>
      </w:r>
      <w:r w:rsidRPr="006F1876">
        <w:t> Simple, interpretable, dominant in long-term studies.</w:t>
      </w:r>
    </w:p>
    <w:p w14:paraId="38F162F4" w14:textId="77777777" w:rsidR="006F1876" w:rsidRPr="006F1876" w:rsidRDefault="006F1876" w:rsidP="006F1876">
      <w:pPr>
        <w:numPr>
          <w:ilvl w:val="0"/>
          <w:numId w:val="1"/>
        </w:numPr>
      </w:pPr>
      <w:r w:rsidRPr="006F1876">
        <w:rPr>
          <w:b/>
          <w:bCs/>
        </w:rPr>
        <w:t>Artificial Neural Networks (ANN):</w:t>
      </w:r>
      <w:r w:rsidRPr="006F1876">
        <w:t> Non-linear pattern recognition, high tolerance for missing data.</w:t>
      </w:r>
    </w:p>
    <w:p w14:paraId="1F6DFC51" w14:textId="77777777" w:rsidR="006F1876" w:rsidRPr="006F1876" w:rsidRDefault="006F1876" w:rsidP="006F1876">
      <w:pPr>
        <w:numPr>
          <w:ilvl w:val="0"/>
          <w:numId w:val="1"/>
        </w:numPr>
      </w:pPr>
      <w:r w:rsidRPr="006F1876">
        <w:rPr>
          <w:b/>
          <w:bCs/>
        </w:rPr>
        <w:t>Time Series (ARIMA):</w:t>
      </w:r>
      <w:r w:rsidRPr="006F1876">
        <w:t> Reliance on historical autocorrelation.</w:t>
      </w:r>
    </w:p>
    <w:p w14:paraId="59756273" w14:textId="77777777" w:rsidR="006F1876" w:rsidRPr="006F1876" w:rsidRDefault="006F1876" w:rsidP="006F1876">
      <w:pPr>
        <w:numPr>
          <w:ilvl w:val="0"/>
          <w:numId w:val="1"/>
        </w:numPr>
      </w:pPr>
      <w:r w:rsidRPr="006F1876">
        <w:rPr>
          <w:b/>
          <w:bCs/>
        </w:rPr>
        <w:t>Support Vector Machines (SVM):</w:t>
      </w:r>
      <w:r w:rsidRPr="006F1876">
        <w:t> High-dimensional kernel space optimization.</w:t>
      </w:r>
    </w:p>
    <w:p w14:paraId="074ECA5F" w14:textId="77777777" w:rsidR="006F1876" w:rsidRPr="006F1876" w:rsidRDefault="006F1876" w:rsidP="006F1876">
      <w:pPr>
        <w:numPr>
          <w:ilvl w:val="0"/>
          <w:numId w:val="1"/>
        </w:numPr>
      </w:pPr>
      <w:r w:rsidRPr="006F1876">
        <w:rPr>
          <w:b/>
          <w:bCs/>
        </w:rPr>
        <w:t>Bottom-Up End-Use:</w:t>
      </w:r>
      <w:r w:rsidRPr="006F1876">
        <w:t xml:space="preserve"> Aggregated appliance-level </w:t>
      </w:r>
      <w:proofErr w:type="spellStart"/>
      <w:r w:rsidRPr="006F1876">
        <w:t>modeling</w:t>
      </w:r>
      <w:proofErr w:type="spellEnd"/>
      <w:r w:rsidRPr="006F1876">
        <w:t>.</w:t>
      </w:r>
    </w:p>
    <w:p w14:paraId="74B643E6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3. Results &amp; Comparative Analysis</w:t>
      </w:r>
    </w:p>
    <w:p w14:paraId="0F57C0E6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3.1 Model Prevalence vs. Practical Efficiency</w:t>
      </w:r>
    </w:p>
    <w:p w14:paraId="348FF239" w14:textId="77777777" w:rsidR="006F1876" w:rsidRPr="006F1876" w:rsidRDefault="006F1876" w:rsidP="006F1876">
      <w:r w:rsidRPr="006F1876">
        <w:t>The review exposes a disparity between academic frequency and practical suitability.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382"/>
        <w:gridCol w:w="2380"/>
        <w:gridCol w:w="2595"/>
      </w:tblGrid>
      <w:tr w:rsidR="006F1876" w:rsidRPr="006F1876" w14:paraId="24FB826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C572A" w14:textId="77777777" w:rsidR="006F1876" w:rsidRPr="006F1876" w:rsidRDefault="006F1876" w:rsidP="006F1876">
            <w:r w:rsidRPr="006F1876">
              <w:t>Model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B8B3A9" w14:textId="77777777" w:rsidR="006F1876" w:rsidRPr="006F1876" w:rsidRDefault="006F1876" w:rsidP="006F1876">
            <w:r w:rsidRPr="006F1876">
              <w:t>Prevalence in Literature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12639" w14:textId="77777777" w:rsidR="006F1876" w:rsidRPr="006F1876" w:rsidRDefault="006F1876" w:rsidP="006F1876">
            <w:r w:rsidRPr="006F1876">
              <w:t>Optimal Temporal Scope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B42BA8" w14:textId="77777777" w:rsidR="006F1876" w:rsidRPr="006F1876" w:rsidRDefault="006F1876" w:rsidP="006F1876">
            <w:r w:rsidRPr="006F1876">
              <w:t>Primary Data Dependency</w:t>
            </w:r>
          </w:p>
        </w:tc>
      </w:tr>
      <w:tr w:rsidR="006F1876" w:rsidRPr="006F1876" w14:paraId="7FC4A9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78ADA" w14:textId="77777777" w:rsidR="006F1876" w:rsidRPr="006F1876" w:rsidRDefault="006F1876" w:rsidP="006F1876">
            <w:r w:rsidRPr="006F1876">
              <w:rPr>
                <w:b/>
                <w:bCs/>
              </w:rPr>
              <w:t>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6C5AF" w14:textId="77777777" w:rsidR="006F1876" w:rsidRPr="006F1876" w:rsidRDefault="006F1876" w:rsidP="006F1876">
            <w:r w:rsidRPr="006F1876">
              <w:rPr>
                <w:b/>
                <w:bCs/>
              </w:rPr>
              <w:t>43.59%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A810C" w14:textId="77777777" w:rsidR="006F1876" w:rsidRPr="006F1876" w:rsidRDefault="006F1876" w:rsidP="006F1876">
            <w:r w:rsidRPr="006F1876">
              <w:t>Long-Term (Annual)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B58538" w14:textId="77777777" w:rsidR="006F1876" w:rsidRPr="006F1876" w:rsidRDefault="006F1876" w:rsidP="006F1876">
            <w:r w:rsidRPr="006F1876">
              <w:t>Socio-economic (GDP, Pop)</w:t>
            </w:r>
          </w:p>
        </w:tc>
      </w:tr>
      <w:tr w:rsidR="006F1876" w:rsidRPr="006F1876" w14:paraId="5DD597E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AF61F7" w14:textId="77777777" w:rsidR="006F1876" w:rsidRPr="006F1876" w:rsidRDefault="006F1876" w:rsidP="006F1876">
            <w:r w:rsidRPr="006F1876">
              <w:rPr>
                <w:b/>
                <w:bCs/>
              </w:rPr>
              <w:t>ANN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4E1913" w14:textId="77777777" w:rsidR="006F1876" w:rsidRPr="006F1876" w:rsidRDefault="006F1876" w:rsidP="006F1876">
            <w:r w:rsidRPr="006F1876">
              <w:t>38.46%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4A74D" w14:textId="77777777" w:rsidR="006F1876" w:rsidRPr="006F1876" w:rsidRDefault="006F1876" w:rsidP="006F1876">
            <w:r w:rsidRPr="006F1876">
              <w:rPr>
                <w:b/>
                <w:bCs/>
              </w:rPr>
              <w:t>Short-Term (Hourly)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2EDB3" w14:textId="77777777" w:rsidR="006F1876" w:rsidRPr="006F1876" w:rsidRDefault="006F1876" w:rsidP="006F1876">
            <w:r w:rsidRPr="006F1876">
              <w:t>Environmental &amp; Occupancy</w:t>
            </w:r>
          </w:p>
        </w:tc>
      </w:tr>
      <w:tr w:rsidR="006F1876" w:rsidRPr="006F1876" w14:paraId="550BFC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126A9" w14:textId="77777777" w:rsidR="006F1876" w:rsidRPr="006F1876" w:rsidRDefault="006F1876" w:rsidP="006F1876">
            <w:r w:rsidRPr="006F1876">
              <w:rPr>
                <w:b/>
                <w:bCs/>
              </w:rPr>
              <w:t>ARIMA/ARMA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A50A4C" w14:textId="77777777" w:rsidR="006F1876" w:rsidRPr="006F1876" w:rsidRDefault="006F1876" w:rsidP="006F1876">
            <w:r w:rsidRPr="006F1876">
              <w:t>30.77%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8C47A" w14:textId="77777777" w:rsidR="006F1876" w:rsidRPr="006F1876" w:rsidRDefault="006F1876" w:rsidP="006F1876">
            <w:r w:rsidRPr="006F1876">
              <w:t>Very Short-Term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63F03" w14:textId="77777777" w:rsidR="006F1876" w:rsidRPr="006F1876" w:rsidRDefault="006F1876" w:rsidP="006F1876">
            <w:r w:rsidRPr="006F1876">
              <w:t>Historical Load Only</w:t>
            </w:r>
          </w:p>
        </w:tc>
      </w:tr>
      <w:tr w:rsidR="006F1876" w:rsidRPr="006F1876" w14:paraId="0C93D2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E3A7DA" w14:textId="77777777" w:rsidR="006F1876" w:rsidRPr="006F1876" w:rsidRDefault="006F1876" w:rsidP="006F1876">
            <w:r w:rsidRPr="006F1876">
              <w:rPr>
                <w:b/>
                <w:bCs/>
              </w:rPr>
              <w:t>SVM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23C0" w14:textId="77777777" w:rsidR="006F1876" w:rsidRPr="006F1876" w:rsidRDefault="006F1876" w:rsidP="006F1876">
            <w:r w:rsidRPr="006F1876">
              <w:t>15.38%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73026" w14:textId="77777777" w:rsidR="006F1876" w:rsidRPr="006F1876" w:rsidRDefault="006F1876" w:rsidP="006F1876">
            <w:r w:rsidRPr="006F1876">
              <w:t>Short-Term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4F12DE" w14:textId="77777777" w:rsidR="006F1876" w:rsidRPr="006F1876" w:rsidRDefault="006F1876" w:rsidP="006F1876">
            <w:r w:rsidRPr="006F1876">
              <w:t>High-Dim Features</w:t>
            </w:r>
          </w:p>
        </w:tc>
      </w:tr>
      <w:tr w:rsidR="006F1876" w:rsidRPr="006F1876" w14:paraId="5BD95B3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02C88" w14:textId="77777777" w:rsidR="006F1876" w:rsidRPr="006F1876" w:rsidRDefault="006F1876" w:rsidP="006F1876">
            <w:r w:rsidRPr="006F1876">
              <w:rPr>
                <w:b/>
                <w:bCs/>
              </w:rPr>
              <w:t>Bottom-Up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B92CAF" w14:textId="77777777" w:rsidR="006F1876" w:rsidRPr="006F1876" w:rsidRDefault="006F1876" w:rsidP="006F1876">
            <w:r w:rsidRPr="006F1876">
              <w:t>10.26%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3EFCB" w14:textId="77777777" w:rsidR="006F1876" w:rsidRPr="006F1876" w:rsidRDefault="006F1876" w:rsidP="006F1876">
            <w:r w:rsidRPr="006F1876">
              <w:t>Building Scale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431DC1" w14:textId="77777777" w:rsidR="006F1876" w:rsidRPr="006F1876" w:rsidRDefault="006F1876" w:rsidP="006F1876">
            <w:r w:rsidRPr="006F1876">
              <w:t>Appliance Telemetry</w:t>
            </w:r>
          </w:p>
        </w:tc>
      </w:tr>
    </w:tbl>
    <w:p w14:paraId="3C8E231B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3.2 The Temporal Dichotomy</w:t>
      </w:r>
    </w:p>
    <w:p w14:paraId="33E58486" w14:textId="77777777" w:rsidR="006F1876" w:rsidRPr="006F1876" w:rsidRDefault="006F1876" w:rsidP="006F1876">
      <w:r w:rsidRPr="006F1876">
        <w:t>The data reveals a clear bifurcation in strategy based on the forecasting horizon.</w:t>
      </w:r>
    </w:p>
    <w:p w14:paraId="0719C7A0" w14:textId="77777777" w:rsidR="006F1876" w:rsidRPr="006F1876" w:rsidRDefault="006F1876" w:rsidP="006F1876">
      <w:pPr>
        <w:numPr>
          <w:ilvl w:val="0"/>
          <w:numId w:val="2"/>
        </w:numPr>
      </w:pPr>
      <w:r w:rsidRPr="006F1876">
        <w:rPr>
          <w:b/>
          <w:bCs/>
        </w:rPr>
        <w:t>Short-Term Operations (43.59% of studies):</w:t>
      </w:r>
      <w:r w:rsidRPr="006F1876">
        <w:t> This is the domain of </w:t>
      </w:r>
      <w:r w:rsidRPr="006F1876">
        <w:rPr>
          <w:b/>
          <w:bCs/>
        </w:rPr>
        <w:t>Machine Learning (ANN/SVM</w:t>
      </w:r>
      <w:proofErr w:type="gramStart"/>
      <w:r w:rsidRPr="006F1876">
        <w:rPr>
          <w:b/>
          <w:bCs/>
        </w:rPr>
        <w:t>)</w:t>
      </w:r>
      <w:r w:rsidRPr="006F1876">
        <w:t> .</w:t>
      </w:r>
      <w:proofErr w:type="gramEnd"/>
      <w:r w:rsidRPr="006F1876">
        <w:t xml:space="preserve"> The need to capture complex non-linear relationships between temperature spikes, occupancy </w:t>
      </w:r>
      <w:proofErr w:type="spellStart"/>
      <w:r w:rsidRPr="006F1876">
        <w:t>behavior</w:t>
      </w:r>
      <w:proofErr w:type="spellEnd"/>
      <w:r w:rsidRPr="006F1876">
        <w:t xml:space="preserve">, and time-of-day usage makes ANN the </w:t>
      </w:r>
      <w:r w:rsidRPr="006F1876">
        <w:lastRenderedPageBreak/>
        <w:t>preferred choice. The review notes that adding a simple </w:t>
      </w:r>
      <w:r w:rsidRPr="006F1876">
        <w:rPr>
          <w:i/>
          <w:iCs/>
        </w:rPr>
        <w:t>Time Index</w:t>
      </w:r>
      <w:r w:rsidRPr="006F1876">
        <w:t> feature significantly boosts ANN accuracy.</w:t>
      </w:r>
    </w:p>
    <w:p w14:paraId="030BE86C" w14:textId="77777777" w:rsidR="006F1876" w:rsidRPr="006F1876" w:rsidRDefault="006F1876" w:rsidP="006F1876">
      <w:pPr>
        <w:numPr>
          <w:ilvl w:val="0"/>
          <w:numId w:val="2"/>
        </w:numPr>
      </w:pPr>
      <w:r w:rsidRPr="006F1876">
        <w:rPr>
          <w:b/>
          <w:bCs/>
        </w:rPr>
        <w:t>Long-Term Planning (61.54% of studies):</w:t>
      </w:r>
      <w:r w:rsidRPr="006F1876">
        <w:t> This is the domain of </w:t>
      </w:r>
      <w:r w:rsidRPr="006F1876">
        <w:rPr>
          <w:b/>
          <w:bCs/>
        </w:rPr>
        <w:t>Regression</w:t>
      </w:r>
      <w:r w:rsidRPr="006F1876">
        <w:t>. When forecasting annual demand or capital investment needs, the high-frequency noise of daily usage is irrelevant. What matters is the slow-moving correlation with economic growth (GDP) and population shifts. The review explicitly states that sophisticated models do not consistently outperform "simple" regressions in this scenario.</w:t>
      </w:r>
    </w:p>
    <w:p w14:paraId="7AE0198C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3.3 The Critical Role of Pre-Processing (The 66.07% Rule)</w:t>
      </w:r>
    </w:p>
    <w:p w14:paraId="02411769" w14:textId="77777777" w:rsidR="006F1876" w:rsidRPr="006F1876" w:rsidRDefault="006F1876" w:rsidP="006F1876">
      <w:r w:rsidRPr="006F1876">
        <w:t>A key finding ignored in many hackathon notebooks is the necessity of pre-processing. </w:t>
      </w:r>
      <w:r w:rsidRPr="006F1876">
        <w:rPr>
          <w:b/>
          <w:bCs/>
        </w:rPr>
        <w:t>Two-thirds of reviewed cases employed explicit smoothing or PCA.</w:t>
      </w:r>
    </w:p>
    <w:p w14:paraId="162BD1D1" w14:textId="77777777" w:rsidR="006F1876" w:rsidRPr="006F1876" w:rsidRDefault="006F1876" w:rsidP="006F1876">
      <w:r w:rsidRPr="006F1876">
        <w:rPr>
          <w:b/>
          <w:bCs/>
        </w:rPr>
        <w:t>Application Insight:</w:t>
      </w:r>
      <w:r w:rsidRPr="006F1876">
        <w:br/>
        <w:t>In the associated Kaggle notebook context, the application of time indexing and missing value smoothing directly addresses the "Garbage In, Garbage Out" problem cited in the literature. For ARIMA implementations, ensuring </w:t>
      </w:r>
      <w:r w:rsidRPr="006F1876">
        <w:rPr>
          <w:b/>
          <w:bCs/>
        </w:rPr>
        <w:t>Stationarity</w:t>
      </w:r>
      <w:r w:rsidRPr="006F1876">
        <w:t> (via differencing) is non-negotiable; failure to do so invalidates the statistical model.</w:t>
      </w:r>
    </w:p>
    <w:p w14:paraId="2A1CFB06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4. Selection Taxonomy: The Hackathon Decision Matrix</w:t>
      </w:r>
    </w:p>
    <w:p w14:paraId="34D6D339" w14:textId="77777777" w:rsidR="006F1876" w:rsidRPr="006F1876" w:rsidRDefault="006F1876" w:rsidP="006F1876">
      <w:r w:rsidRPr="006F1876">
        <w:t>Based on the systematic review's final taxonomies, we propose the following decision matrix for rapid model selection during a hackathon sprint.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2"/>
        <w:gridCol w:w="2608"/>
        <w:gridCol w:w="5600"/>
      </w:tblGrid>
      <w:tr w:rsidR="006F1876" w:rsidRPr="006F1876" w14:paraId="7E0056E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1F478" w14:textId="77777777" w:rsidR="006F1876" w:rsidRPr="006F1876" w:rsidRDefault="006F1876" w:rsidP="006F1876">
            <w:r w:rsidRPr="006F1876">
              <w:t>Scenario (The "Frame")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C735E" w14:textId="77777777" w:rsidR="006F1876" w:rsidRPr="006F1876" w:rsidRDefault="006F1876" w:rsidP="006F1876">
            <w:r w:rsidRPr="006F1876">
              <w:t>Recommended 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29379" w14:textId="77777777" w:rsidR="006F1876" w:rsidRPr="006F1876" w:rsidRDefault="006F1876" w:rsidP="006F1876">
            <w:r w:rsidRPr="006F1876">
              <w:t>Key Implementation Note</w:t>
            </w:r>
          </w:p>
        </w:tc>
      </w:tr>
      <w:tr w:rsidR="006F1876" w:rsidRPr="006F1876" w14:paraId="564891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1F257" w14:textId="77777777" w:rsidR="006F1876" w:rsidRPr="006F1876" w:rsidRDefault="006F1876" w:rsidP="006F1876">
            <w:r w:rsidRPr="006F1876">
              <w:rPr>
                <w:b/>
                <w:bCs/>
              </w:rPr>
              <w:t>A. Hourly Load Forecast (Next 24h)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AF681" w14:textId="77777777" w:rsidR="006F1876" w:rsidRPr="006F1876" w:rsidRDefault="006F1876" w:rsidP="006F1876">
            <w:r w:rsidRPr="006F1876">
              <w:rPr>
                <w:b/>
                <w:bCs/>
              </w:rPr>
              <w:t>ANN / SVM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1F994B" w14:textId="77777777" w:rsidR="006F1876" w:rsidRPr="006F1876" w:rsidRDefault="006F1876" w:rsidP="006F1876">
            <w:r w:rsidRPr="006F1876">
              <w:t>Must include </w:t>
            </w:r>
            <w:r w:rsidRPr="006F1876">
              <w:rPr>
                <w:i/>
                <w:iCs/>
              </w:rPr>
              <w:t>Temperature</w:t>
            </w:r>
            <w:r w:rsidRPr="006F1876">
              <w:t> and </w:t>
            </w:r>
            <w:r w:rsidRPr="006F1876">
              <w:rPr>
                <w:i/>
                <w:iCs/>
              </w:rPr>
              <w:t>Hour-of-Day</w:t>
            </w:r>
            <w:r w:rsidRPr="006F1876">
              <w:t> as features.</w:t>
            </w:r>
          </w:p>
        </w:tc>
      </w:tr>
      <w:tr w:rsidR="006F1876" w:rsidRPr="006F1876" w14:paraId="2E594FE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C67D6" w14:textId="77777777" w:rsidR="006F1876" w:rsidRPr="006F1876" w:rsidRDefault="006F1876" w:rsidP="006F1876">
            <w:r w:rsidRPr="006F1876">
              <w:rPr>
                <w:b/>
                <w:bCs/>
              </w:rPr>
              <w:t>B. 5-Year Regional Demand Plan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283D2E" w14:textId="77777777" w:rsidR="006F1876" w:rsidRPr="006F1876" w:rsidRDefault="006F1876" w:rsidP="006F1876">
            <w:r w:rsidRPr="006F1876">
              <w:rPr>
                <w:b/>
                <w:bCs/>
              </w:rPr>
              <w:t>Multivariate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FEFA5" w14:textId="77777777" w:rsidR="006F1876" w:rsidRPr="006F1876" w:rsidRDefault="006F1876" w:rsidP="006F1876">
            <w:r w:rsidRPr="006F1876">
              <w:t>Avoid overfitting; focus on </w:t>
            </w:r>
            <w:r w:rsidRPr="006F1876">
              <w:rPr>
                <w:i/>
                <w:iCs/>
              </w:rPr>
              <w:t>Population</w:t>
            </w:r>
            <w:r w:rsidRPr="006F1876">
              <w:t> and </w:t>
            </w:r>
            <w:r w:rsidRPr="006F1876">
              <w:rPr>
                <w:i/>
                <w:iCs/>
              </w:rPr>
              <w:t>GDP</w:t>
            </w:r>
            <w:r w:rsidRPr="006F1876">
              <w:t> trends.</w:t>
            </w:r>
          </w:p>
        </w:tc>
      </w:tr>
      <w:tr w:rsidR="006F1876" w:rsidRPr="006F1876" w14:paraId="070B18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5C1FC6" w14:textId="77777777" w:rsidR="006F1876" w:rsidRPr="006F1876" w:rsidRDefault="006F1876" w:rsidP="006F1876">
            <w:r w:rsidRPr="006F1876">
              <w:rPr>
                <w:b/>
                <w:bCs/>
              </w:rPr>
              <w:t>C. Minute-Level Real-Time Dispatch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BBF40" w14:textId="77777777" w:rsidR="006F1876" w:rsidRPr="006F1876" w:rsidRDefault="006F1876" w:rsidP="006F1876">
            <w:r w:rsidRPr="006F1876">
              <w:rPr>
                <w:b/>
                <w:bCs/>
              </w:rPr>
              <w:t>ARIMA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24EFAA" w14:textId="77777777" w:rsidR="006F1876" w:rsidRPr="006F1876" w:rsidRDefault="006F1876" w:rsidP="006F1876">
            <w:r w:rsidRPr="006F1876">
              <w:t>Check for </w:t>
            </w:r>
            <w:r w:rsidRPr="006F1876">
              <w:rPr>
                <w:b/>
                <w:bCs/>
              </w:rPr>
              <w:t>Stationarity</w:t>
            </w:r>
            <w:r w:rsidRPr="006F1876">
              <w:t>. If trend exists, use </w:t>
            </w:r>
            <w:r w:rsidRPr="006F1876">
              <w:rPr>
                <w:i/>
                <w:iCs/>
              </w:rPr>
              <w:t>Differencing</w:t>
            </w:r>
            <w:r w:rsidRPr="006F1876">
              <w:t> (ARIMA).</w:t>
            </w:r>
          </w:p>
        </w:tc>
      </w:tr>
      <w:tr w:rsidR="006F1876" w:rsidRPr="006F1876" w14:paraId="7678373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82591" w14:textId="77777777" w:rsidR="006F1876" w:rsidRPr="006F1876" w:rsidRDefault="006F1876" w:rsidP="006F1876">
            <w:r w:rsidRPr="006F1876">
              <w:rPr>
                <w:b/>
                <w:bCs/>
              </w:rPr>
              <w:t>D. Single Building Energy Audit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60C8E" w14:textId="77777777" w:rsidR="006F1876" w:rsidRPr="006F1876" w:rsidRDefault="006F1876" w:rsidP="006F1876">
            <w:r w:rsidRPr="006F1876">
              <w:rPr>
                <w:b/>
                <w:bCs/>
              </w:rPr>
              <w:t>Bottom-Up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C9E78" w14:textId="77777777" w:rsidR="006F1876" w:rsidRPr="006F1876" w:rsidRDefault="006F1876" w:rsidP="006F1876">
            <w:r w:rsidRPr="006F1876">
              <w:t>Only viable if sub-metered appliance data is available.</w:t>
            </w:r>
          </w:p>
        </w:tc>
      </w:tr>
    </w:tbl>
    <w:p w14:paraId="7CEBEA3C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5. Discussion: The Simplicity Paradox</w:t>
      </w:r>
    </w:p>
    <w:p w14:paraId="0186004E" w14:textId="77777777" w:rsidR="006F1876" w:rsidRPr="006F1876" w:rsidRDefault="006F1876" w:rsidP="006F1876">
      <w:r w:rsidRPr="006F1876">
        <w:lastRenderedPageBreak/>
        <w:t>The analysis confirms what the M3-Competition and this systematic review term the </w:t>
      </w:r>
      <w:r w:rsidRPr="006F1876">
        <w:rPr>
          <w:b/>
          <w:bCs/>
        </w:rPr>
        <w:t>"Simplicity Paradox."</w:t>
      </w:r>
      <w:r w:rsidRPr="006F1876">
        <w:t> In hackathons, teams often gravitate toward Transformers or Deep LSTMs to demonstrate technical prowess. However, the empirical evidence from 113 case studies suggests that a </w:t>
      </w:r>
      <w:r w:rsidRPr="006F1876">
        <w:rPr>
          <w:b/>
          <w:bCs/>
        </w:rPr>
        <w:t>well-tuned Regression with engineered socio-economic features often defeats a poorly tuned Neural Network.</w:t>
      </w:r>
    </w:p>
    <w:p w14:paraId="0CC6513C" w14:textId="77777777" w:rsidR="006F1876" w:rsidRPr="006F1876" w:rsidRDefault="006F1876" w:rsidP="006F1876">
      <w:r w:rsidRPr="006F1876">
        <w:t>Furthermore, the review identifies </w:t>
      </w:r>
      <w:r w:rsidRPr="006F1876">
        <w:rPr>
          <w:b/>
          <w:bCs/>
        </w:rPr>
        <w:t>Expert Preference Bias</w:t>
      </w:r>
      <w:r w:rsidRPr="006F1876">
        <w:t> as a confounding variable; model selection in 41 papers was often driven by the researcher's prior expertise rather than an objective suitability test. We recommend a hybrid approach for validation: </w:t>
      </w:r>
      <w:r w:rsidRPr="006F1876">
        <w:rPr>
          <w:b/>
          <w:bCs/>
        </w:rPr>
        <w:t>Ensemble a "Simple Model" (Regression) as a baseline and compare it against a "Complex Model" (ANN).</w:t>
      </w:r>
      <w:r w:rsidRPr="006F1876">
        <w:t> If the complex model does not demonstrate a &gt;5% improvement in MAPE, the simpler model should be prioritized for interpretability and deployment speed.</w:t>
      </w:r>
    </w:p>
    <w:p w14:paraId="2F27144F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6. Conclusion &amp; Recommendations for Future Work</w:t>
      </w:r>
    </w:p>
    <w:p w14:paraId="0942F1CF" w14:textId="77777777" w:rsidR="006F1876" w:rsidRPr="006F1876" w:rsidRDefault="006F1876" w:rsidP="006F1876">
      <w:r w:rsidRPr="006F1876">
        <w:t>Electricity forecasting is not a monolith. The selection of an appropriate model is a function of </w:t>
      </w:r>
      <w:r w:rsidRPr="006F1876">
        <w:rPr>
          <w:b/>
          <w:bCs/>
        </w:rPr>
        <w:t>Timeframe, Scale, and Data Availability.</w:t>
      </w:r>
    </w:p>
    <w:p w14:paraId="68433886" w14:textId="77777777" w:rsidR="006F1876" w:rsidRPr="006F1876" w:rsidRDefault="006F1876" w:rsidP="006F1876">
      <w:r w:rsidRPr="006F1876">
        <w:rPr>
          <w:b/>
          <w:bCs/>
        </w:rPr>
        <w:t>Actionable Recommendations:</w:t>
      </w:r>
    </w:p>
    <w:p w14:paraId="75DC5637" w14:textId="77777777" w:rsidR="006F1876" w:rsidRPr="006F1876" w:rsidRDefault="006F1876" w:rsidP="006F1876">
      <w:pPr>
        <w:numPr>
          <w:ilvl w:val="0"/>
          <w:numId w:val="3"/>
        </w:numPr>
      </w:pPr>
      <w:r w:rsidRPr="006F1876">
        <w:rPr>
          <w:b/>
          <w:bCs/>
        </w:rPr>
        <w:t>Explicit Frame Definition:</w:t>
      </w:r>
      <w:r w:rsidRPr="006F1876">
        <w:t> Always define the "Implementation Frame" (Resolution, Horizon, Scale) in your project documentation.</w:t>
      </w:r>
    </w:p>
    <w:p w14:paraId="20E462EF" w14:textId="77777777" w:rsidR="006F1876" w:rsidRPr="006F1876" w:rsidRDefault="006F1876" w:rsidP="006F1876">
      <w:pPr>
        <w:numPr>
          <w:ilvl w:val="0"/>
          <w:numId w:val="3"/>
        </w:numPr>
      </w:pPr>
      <w:r w:rsidRPr="006F1876">
        <w:rPr>
          <w:b/>
          <w:bCs/>
        </w:rPr>
        <w:t>Prioritize Pre-processing:</w:t>
      </w:r>
      <w:r w:rsidRPr="006F1876">
        <w:t> Allocate 20-30% of development time to smoothing and missing value imputation before model training.</w:t>
      </w:r>
    </w:p>
    <w:p w14:paraId="74B4347A" w14:textId="77777777" w:rsidR="006F1876" w:rsidRPr="006F1876" w:rsidRDefault="006F1876" w:rsidP="006F1876">
      <w:pPr>
        <w:numPr>
          <w:ilvl w:val="0"/>
          <w:numId w:val="3"/>
        </w:numPr>
      </w:pPr>
      <w:r w:rsidRPr="006F1876">
        <w:rPr>
          <w:b/>
          <w:bCs/>
        </w:rPr>
        <w:t>Validate Against Simplicity:</w:t>
      </w:r>
      <w:r w:rsidRPr="006F1876">
        <w:t> Always benchmark your final model against a vanilla Multivariate Regression to ensure the added complexity of Machine Learning is justified by performance gains.</w:t>
      </w:r>
    </w:p>
    <w:p w14:paraId="404E1B5D" w14:textId="77777777" w:rsidR="006F1876" w:rsidRPr="006F1876" w:rsidRDefault="006F1876" w:rsidP="006F1876">
      <w:r w:rsidRPr="006F1876">
        <w:t>This taxonomy provides a robust, literature-backed foundation for any hackathon project operating in the energy and smart grid domain.</w:t>
      </w:r>
    </w:p>
    <w:p w14:paraId="0F7CA01F" w14:textId="77777777" w:rsidR="006F1876" w:rsidRPr="006F1876" w:rsidRDefault="006F1876" w:rsidP="006F1876">
      <w:pPr>
        <w:rPr>
          <w:b/>
          <w:bCs/>
        </w:rPr>
      </w:pPr>
      <w:r w:rsidRPr="006F1876">
        <w:rPr>
          <w:b/>
          <w:bCs/>
        </w:rPr>
        <w:t>References</w:t>
      </w:r>
    </w:p>
    <w:p w14:paraId="3B1776DD" w14:textId="77777777" w:rsidR="006F1876" w:rsidRPr="006F1876" w:rsidRDefault="006F1876" w:rsidP="006F1876">
      <w:r w:rsidRPr="006F1876">
        <w:t>[1] </w:t>
      </w:r>
      <w:r w:rsidRPr="006F1876">
        <w:rPr>
          <w:i/>
          <w:iCs/>
        </w:rPr>
        <w:t>Systematic Review of Electricity and Power Forecasting Models.</w:t>
      </w:r>
      <w:r w:rsidRPr="006F1876">
        <w:t> (2026). Analysis of 113 case studies from 41 academic papers.</w:t>
      </w:r>
      <w:r w:rsidRPr="006F1876">
        <w:br/>
        <w:t>[2] </w:t>
      </w:r>
      <w:r w:rsidRPr="006F1876">
        <w:rPr>
          <w:i/>
          <w:iCs/>
        </w:rPr>
        <w:t>Kaggle Dataset 1 Implementation.</w:t>
      </w:r>
      <w:r w:rsidRPr="006F1876">
        <w:t> Python Notebook Analysis of Practical Forecasting Application.</w:t>
      </w:r>
    </w:p>
    <w:p w14:paraId="4D470EF0" w14:textId="77777777" w:rsidR="006F1876" w:rsidRDefault="006F1876"/>
    <w:sectPr w:rsidR="006F18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C59AC"/>
    <w:multiLevelType w:val="multilevel"/>
    <w:tmpl w:val="EA8A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7581CA9"/>
    <w:multiLevelType w:val="multilevel"/>
    <w:tmpl w:val="73F8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B3357B"/>
    <w:multiLevelType w:val="multilevel"/>
    <w:tmpl w:val="FD7E6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7245">
    <w:abstractNumId w:val="2"/>
  </w:num>
  <w:num w:numId="2" w16cid:durableId="677733677">
    <w:abstractNumId w:val="1"/>
  </w:num>
  <w:num w:numId="3" w16cid:durableId="173553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876"/>
    <w:rsid w:val="006F1876"/>
    <w:rsid w:val="00805E17"/>
    <w:rsid w:val="00DE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06754"/>
  <w15:chartTrackingRefBased/>
  <w15:docId w15:val="{4D69F7AD-4455-4B7D-8E96-27729E5E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8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8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8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8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8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8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8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8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8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8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8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8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8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8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8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8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8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8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8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8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8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8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8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8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8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8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8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8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8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1134</Words>
  <Characters>6468</Characters>
  <Application>Microsoft Office Word</Application>
  <DocSecurity>0</DocSecurity>
  <Lines>53</Lines>
  <Paragraphs>15</Paragraphs>
  <ScaleCrop>false</ScaleCrop>
  <Company/>
  <LinksUpToDate>false</LinksUpToDate>
  <CharactersWithSpaces>7587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Amisha Srivastava</dc:creator>
  <cp:keywords/>
  <dc:description/>
  <cp:lastModifiedBy>Amisha Srivastava</cp:lastModifiedBy>
  <cp:revision>2</cp:revision>
  <dcterms:created xsi:type="dcterms:W3CDTF">2026-04-12T17:26:00Z</dcterms:created>
  <dcterms:modified xsi:type="dcterms:W3CDTF">2026-04-12T17:26:00Z</dcterms:modified>
</cp:coreProperties>
</file>