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1B65" w14:textId="77777777" w:rsidR="006F1876" w:rsidRPr="006F1876" w:rsidRDefault="006F1876" w:rsidP="006F1876">
      <w:r w:rsidRPr="006F1876">
        <w:rPr>
          <w:b/>
          <w:bCs/>
        </w:rPr>
        <w:t>Title:</w:t>
      </w:r>
      <w:r w:rsidRPr="006F1876">
        <w:t> </w:t>
      </w:r>
      <w:r w:rsidRPr="006F1876">
        <w:rPr>
          <w:b/>
          <w:bCs/>
        </w:rPr>
        <w:t>Beyond the Black Box: A Taxonomical Framework for Selecting Optimal Electricity Forecasting Models in Smart Grid Applications</w:t>
      </w:r>
    </w:p>
    <w:p w14:paraId="6FE1D21F" w14:textId="4310029C" w:rsidR="006F1876" w:rsidRPr="006F1876" w:rsidRDefault="006F1876" w:rsidP="006F1876">
      <w:r w:rsidRPr="006F1876">
        <w:rPr>
          <w:b/>
          <w:bCs/>
        </w:rPr>
        <w:t>Authors:</w:t>
      </w:r>
      <w:r w:rsidRPr="006F1876">
        <w:t> </w:t>
      </w:r>
      <w:r>
        <w:t>Team Simplicity Paradox</w:t>
      </w:r>
      <w:r w:rsidRPr="006F1876">
        <w:br/>
      </w:r>
      <w:r w:rsidRPr="006F1876">
        <w:rPr>
          <w:b/>
          <w:bCs/>
        </w:rPr>
        <w:t>Submission:</w:t>
      </w:r>
      <w:r w:rsidRPr="006F1876">
        <w:t> </w:t>
      </w:r>
      <w:r>
        <w:t>Hack the mind</w:t>
      </w:r>
    </w:p>
    <w:p w14:paraId="621E5A7B" w14:textId="77777777" w:rsidR="004F12E7" w:rsidRDefault="00D5755E" w:rsidP="00D5755E">
      <w:pPr>
        <w:rPr>
          <w:b/>
          <w:bCs/>
        </w:rPr>
      </w:pPr>
      <w:r w:rsidRPr="00D5755E">
        <w:rPr>
          <w:b/>
          <w:bCs/>
        </w:rPr>
        <w:t>Abstract</w:t>
      </w:r>
    </w:p>
    <w:p w14:paraId="31912E9B" w14:textId="71E7BBD9" w:rsidR="00D5755E" w:rsidRPr="004F12E7" w:rsidRDefault="00D5755E" w:rsidP="00D5755E">
      <w:r w:rsidRPr="004F12E7">
        <w:rPr>
          <w:rFonts w:cstheme="minorHAnsi"/>
        </w:rPr>
        <w:t>As power grids face escalating complexity from climate variability and distributed energy resources, artificial intelligence (AI) has emerged as an essential tool for both operational planning and crisis response. This paper bridges two critical domains: (1) load forecasting, where accurate demand prediction enables efficient grid operation, and (2) outage management, where rapid duration estimation improves customer communication and crew dispatch. First, we synthesize a systematic review of 113 case studies to establish a model-selection taxonomy for electricity forecasting, revealing a clear dichotomy: simple regression dominates long-term planning while artificial neural networks (ANN) excel in short-term operations. Second, we present a novel case study applying Extreme Gradient Boosting (</w:t>
      </w:r>
      <w:proofErr w:type="spellStart"/>
      <w:r w:rsidRPr="004F12E7">
        <w:rPr>
          <w:rFonts w:cstheme="minorHAnsi"/>
        </w:rPr>
        <w:t>XGBoost</w:t>
      </w:r>
      <w:proofErr w:type="spellEnd"/>
      <w:r w:rsidRPr="004F12E7">
        <w:rPr>
          <w:rFonts w:cstheme="minorHAnsi"/>
        </w:rPr>
        <w:t>) with Minimum Redundancy Maximum Relevance (MRMR) feature selection to predict power outage durations (POD) using real-world data from a Turkish utility, achieving 98.433% accuracy—a 12.922% improvement over existing benchmarks. Our integrated framework demonstrates that a strategic, evidence-based approach to model selection and feature engineering significantly enhances both grid reliability and customer satisfaction. We provide a decision matrix and open-source implementation to guide hackathon participants in deploying AI for resilient energy systems.</w:t>
      </w:r>
    </w:p>
    <w:p w14:paraId="29B5CB33" w14:textId="77777777" w:rsidR="00D5755E" w:rsidRPr="00D5755E" w:rsidRDefault="00D5755E" w:rsidP="00D5755E">
      <w:pPr>
        <w:rPr>
          <w:rFonts w:cstheme="minorHAnsi"/>
          <w:b/>
          <w:bCs/>
        </w:rPr>
      </w:pPr>
      <w:r w:rsidRPr="004F12E7">
        <w:rPr>
          <w:rFonts w:cstheme="minorHAnsi"/>
        </w:rPr>
        <w:t xml:space="preserve">Keywords: Load Forecasting, Power Outage Duration Prediction, </w:t>
      </w:r>
      <w:proofErr w:type="spellStart"/>
      <w:r w:rsidRPr="004F12E7">
        <w:rPr>
          <w:rFonts w:cstheme="minorHAnsi"/>
        </w:rPr>
        <w:t>XGBoost</w:t>
      </w:r>
      <w:proofErr w:type="spellEnd"/>
      <w:r w:rsidRPr="004F12E7">
        <w:rPr>
          <w:rFonts w:cstheme="minorHAnsi"/>
        </w:rPr>
        <w:t>, Artificial Neural Networks, Smart Grid, Machine Learning Taxonomy, Feature Engineering</w:t>
      </w:r>
      <w:r w:rsidRPr="00D5755E">
        <w:rPr>
          <w:rFonts w:cstheme="minorHAnsi"/>
          <w:b/>
          <w:bCs/>
        </w:rPr>
        <w:t>.</w:t>
      </w:r>
    </w:p>
    <w:p w14:paraId="3E4123AB" w14:textId="77777777" w:rsidR="00D5755E" w:rsidRPr="00D5755E" w:rsidRDefault="00D5755E" w:rsidP="00D5755E">
      <w:pPr>
        <w:rPr>
          <w:rFonts w:cstheme="minorHAnsi"/>
          <w:b/>
          <w:bCs/>
        </w:rPr>
      </w:pPr>
      <w:r w:rsidRPr="00D5755E">
        <w:rPr>
          <w:rFonts w:cstheme="minorHAnsi"/>
          <w:b/>
          <w:bCs/>
        </w:rPr>
        <w:t>1. Introduction</w:t>
      </w:r>
    </w:p>
    <w:p w14:paraId="64021D2D" w14:textId="77777777" w:rsidR="00D5755E" w:rsidRPr="004F12E7" w:rsidRDefault="00D5755E" w:rsidP="00D5755E">
      <w:r w:rsidRPr="004F12E7">
        <w:t>The modern electric grid is a cyber-physical system of immense scale and complexity. Two interconnected challenges dominate utility operations: forecasting future electricity demand to balance generation and load, and predicting outage durations when disruptions inevitably occur. While these problems have traditionally been addressed in silos, they share a common foundation: both rely on machine learning (ML) to extract actionable insights from historical sensor data, weather patterns, and grid topology.</w:t>
      </w:r>
    </w:p>
    <w:p w14:paraId="4026412E" w14:textId="77777777" w:rsidR="00D5755E" w:rsidRPr="004F12E7" w:rsidRDefault="00D5755E" w:rsidP="00D5755E">
      <w:r w:rsidRPr="004F12E7">
        <w:t xml:space="preserve">This paper addresses both challenges through a unified analytical lens. In Part I, we synthesize findings from a systematic review of 41 academic papers covering 113 case studies on electricity forecasting models. This meta-analysis yields a practical taxonomy that guides practitioners in selecting the appropriate model—be it regression, ARIMA, or ANN—based on timeframe, scale, and available exogenous variables. In Part II, we pivot to the post-event phase, presenting a novel classification model for predicting power outage duration (POD) using </w:t>
      </w:r>
      <w:proofErr w:type="spellStart"/>
      <w:r w:rsidRPr="004F12E7">
        <w:t>XGBoost</w:t>
      </w:r>
      <w:proofErr w:type="spellEnd"/>
      <w:r w:rsidRPr="004F12E7">
        <w:t xml:space="preserve"> and MRMR feature selection on a real-world dataset of </w:t>
      </w:r>
      <w:r w:rsidRPr="004F12E7">
        <w:lastRenderedPageBreak/>
        <w:t>95,454 outage events. The model categorizes outages into four temporal classes (Very Short to Long) with state-of-the-art accuracy, demonstrating the power of gradient-boosted trees in operational grid resilience.</w:t>
      </w:r>
    </w:p>
    <w:p w14:paraId="169F68E4" w14:textId="77777777" w:rsidR="00D5755E" w:rsidRPr="004F12E7" w:rsidRDefault="00D5755E" w:rsidP="00D5755E">
      <w:r w:rsidRPr="004F12E7">
        <w:t>Our contribution is twofold: (1) a decision-making framework for load forecasting that emphasizes the "Simplicity Paradox"—the empirical finding that complex models do not inherently outperform well-tuned simpler ones—and (2) a validated case study in outage prediction that showcases how advanced feature selection can unlock high performance in noisy, real-world utility data. Together, these components form a cohesive toolkit for hackathon teams aiming to build impactful smart grid solutions.</w:t>
      </w:r>
    </w:p>
    <w:p w14:paraId="7C87AADF" w14:textId="77777777" w:rsidR="00D5755E" w:rsidRPr="00D5755E" w:rsidRDefault="00D5755E" w:rsidP="00D5755E">
      <w:pPr>
        <w:rPr>
          <w:b/>
          <w:bCs/>
        </w:rPr>
      </w:pPr>
      <w:r w:rsidRPr="00D5755E">
        <w:rPr>
          <w:b/>
          <w:bCs/>
        </w:rPr>
        <w:t>2. Background and Related Work</w:t>
      </w:r>
    </w:p>
    <w:p w14:paraId="7BB3281E" w14:textId="77777777" w:rsidR="00D5755E" w:rsidRPr="004F12E7" w:rsidRDefault="00D5755E" w:rsidP="00D5755E">
      <w:r w:rsidRPr="004F12E7">
        <w:t>2.1 Systematic Review of Load Forecasting Models</w:t>
      </w:r>
    </w:p>
    <w:p w14:paraId="2316F186" w14:textId="77777777" w:rsidR="00D5755E" w:rsidRPr="004F12E7" w:rsidRDefault="00D5755E" w:rsidP="00D5755E">
      <w:r w:rsidRPr="004F12E7">
        <w:t>Electricity forecasting literature is vast and fragmented. A systematic review of Scopus-indexed publications [1] identified five leading model families based on their prevalence in 113 case studies:</w:t>
      </w:r>
    </w:p>
    <w:tbl>
      <w:tblPr>
        <w:tblW w:w="0" w:type="auto"/>
        <w:tblCellMar>
          <w:top w:w="15" w:type="dxa"/>
          <w:left w:w="15" w:type="dxa"/>
          <w:bottom w:w="15" w:type="dxa"/>
          <w:right w:w="15" w:type="dxa"/>
        </w:tblCellMar>
        <w:tblLook w:val="04A0" w:firstRow="1" w:lastRow="0" w:firstColumn="1" w:lastColumn="0" w:noHBand="0" w:noVBand="1"/>
      </w:tblPr>
      <w:tblGrid>
        <w:gridCol w:w="2240"/>
        <w:gridCol w:w="1545"/>
        <w:gridCol w:w="1918"/>
        <w:gridCol w:w="3323"/>
      </w:tblGrid>
      <w:tr w:rsidR="00D5755E" w:rsidRPr="004F12E7" w14:paraId="44263264" w14:textId="77777777">
        <w:trPr>
          <w:tblHeader/>
        </w:trPr>
        <w:tc>
          <w:tcPr>
            <w:tcW w:w="0" w:type="auto"/>
            <w:tcBorders>
              <w:top w:val="nil"/>
            </w:tcBorders>
            <w:tcMar>
              <w:top w:w="150" w:type="dxa"/>
              <w:left w:w="0" w:type="dxa"/>
              <w:bottom w:w="150" w:type="dxa"/>
              <w:right w:w="240" w:type="dxa"/>
            </w:tcMar>
            <w:vAlign w:val="center"/>
            <w:hideMark/>
          </w:tcPr>
          <w:p w14:paraId="423C6770" w14:textId="77777777" w:rsidR="00D5755E" w:rsidRPr="004F12E7" w:rsidRDefault="00D5755E" w:rsidP="00D5755E">
            <w:r w:rsidRPr="004F12E7">
              <w:t>Model Type</w:t>
            </w:r>
          </w:p>
        </w:tc>
        <w:tc>
          <w:tcPr>
            <w:tcW w:w="0" w:type="auto"/>
            <w:tcBorders>
              <w:top w:val="nil"/>
            </w:tcBorders>
            <w:tcMar>
              <w:top w:w="150" w:type="dxa"/>
              <w:left w:w="240" w:type="dxa"/>
              <w:bottom w:w="150" w:type="dxa"/>
              <w:right w:w="240" w:type="dxa"/>
            </w:tcMar>
            <w:vAlign w:val="center"/>
            <w:hideMark/>
          </w:tcPr>
          <w:p w14:paraId="225911A6" w14:textId="77777777" w:rsidR="00D5755E" w:rsidRPr="004F12E7" w:rsidRDefault="00D5755E" w:rsidP="00D5755E">
            <w:r w:rsidRPr="004F12E7">
              <w:t>Prevalence</w:t>
            </w:r>
          </w:p>
        </w:tc>
        <w:tc>
          <w:tcPr>
            <w:tcW w:w="0" w:type="auto"/>
            <w:tcBorders>
              <w:top w:val="nil"/>
            </w:tcBorders>
            <w:tcMar>
              <w:top w:w="150" w:type="dxa"/>
              <w:left w:w="240" w:type="dxa"/>
              <w:bottom w:w="150" w:type="dxa"/>
              <w:right w:w="240" w:type="dxa"/>
            </w:tcMar>
            <w:vAlign w:val="center"/>
            <w:hideMark/>
          </w:tcPr>
          <w:p w14:paraId="4E06DE9A" w14:textId="77777777" w:rsidR="00D5755E" w:rsidRPr="004F12E7" w:rsidRDefault="00D5755E" w:rsidP="00D5755E">
            <w:r w:rsidRPr="004F12E7">
              <w:t>Primary Application</w:t>
            </w:r>
          </w:p>
        </w:tc>
        <w:tc>
          <w:tcPr>
            <w:tcW w:w="0" w:type="auto"/>
            <w:tcBorders>
              <w:top w:val="nil"/>
            </w:tcBorders>
            <w:tcMar>
              <w:top w:w="150" w:type="dxa"/>
              <w:left w:w="240" w:type="dxa"/>
              <w:bottom w:w="150" w:type="dxa"/>
              <w:right w:w="240" w:type="dxa"/>
            </w:tcMar>
            <w:vAlign w:val="center"/>
            <w:hideMark/>
          </w:tcPr>
          <w:p w14:paraId="789696DA" w14:textId="77777777" w:rsidR="00D5755E" w:rsidRPr="004F12E7" w:rsidRDefault="00D5755E" w:rsidP="00D5755E">
            <w:r w:rsidRPr="004F12E7">
              <w:t>Key Characteristics</w:t>
            </w:r>
          </w:p>
        </w:tc>
      </w:tr>
      <w:tr w:rsidR="00D5755E" w:rsidRPr="004F12E7" w14:paraId="7AFB6493" w14:textId="77777777">
        <w:tc>
          <w:tcPr>
            <w:tcW w:w="0" w:type="auto"/>
            <w:tcMar>
              <w:top w:w="150" w:type="dxa"/>
              <w:left w:w="0" w:type="dxa"/>
              <w:bottom w:w="150" w:type="dxa"/>
              <w:right w:w="240" w:type="dxa"/>
            </w:tcMar>
            <w:vAlign w:val="center"/>
            <w:hideMark/>
          </w:tcPr>
          <w:p w14:paraId="0867F049" w14:textId="77777777" w:rsidR="00D5755E" w:rsidRPr="004F12E7" w:rsidRDefault="00D5755E" w:rsidP="00D5755E">
            <w:r w:rsidRPr="004F12E7">
              <w:t>Multivariate Regression</w:t>
            </w:r>
          </w:p>
        </w:tc>
        <w:tc>
          <w:tcPr>
            <w:tcW w:w="0" w:type="auto"/>
            <w:tcMar>
              <w:top w:w="150" w:type="dxa"/>
              <w:left w:w="240" w:type="dxa"/>
              <w:bottom w:w="150" w:type="dxa"/>
              <w:right w:w="240" w:type="dxa"/>
            </w:tcMar>
            <w:vAlign w:val="center"/>
            <w:hideMark/>
          </w:tcPr>
          <w:p w14:paraId="1679DEB6" w14:textId="77777777" w:rsidR="00D5755E" w:rsidRPr="004F12E7" w:rsidRDefault="00D5755E" w:rsidP="00D5755E">
            <w:r w:rsidRPr="004F12E7">
              <w:t>43.59%</w:t>
            </w:r>
          </w:p>
        </w:tc>
        <w:tc>
          <w:tcPr>
            <w:tcW w:w="0" w:type="auto"/>
            <w:tcMar>
              <w:top w:w="150" w:type="dxa"/>
              <w:left w:w="240" w:type="dxa"/>
              <w:bottom w:w="150" w:type="dxa"/>
              <w:right w:w="240" w:type="dxa"/>
            </w:tcMar>
            <w:vAlign w:val="center"/>
            <w:hideMark/>
          </w:tcPr>
          <w:p w14:paraId="5C61BCD0" w14:textId="77777777" w:rsidR="00D5755E" w:rsidRPr="004F12E7" w:rsidRDefault="00D5755E" w:rsidP="00D5755E">
            <w:r w:rsidRPr="004F12E7">
              <w:t>Long-term (annual)</w:t>
            </w:r>
          </w:p>
        </w:tc>
        <w:tc>
          <w:tcPr>
            <w:tcW w:w="0" w:type="auto"/>
            <w:tcMar>
              <w:top w:w="150" w:type="dxa"/>
              <w:left w:w="240" w:type="dxa"/>
              <w:bottom w:w="150" w:type="dxa"/>
              <w:right w:w="0" w:type="dxa"/>
            </w:tcMar>
            <w:vAlign w:val="center"/>
            <w:hideMark/>
          </w:tcPr>
          <w:p w14:paraId="2C956974" w14:textId="77777777" w:rsidR="00D5755E" w:rsidRPr="004F12E7" w:rsidRDefault="00D5755E" w:rsidP="00D5755E">
            <w:r w:rsidRPr="004F12E7">
              <w:t>Simple, interpretable, uses socio-economic variables</w:t>
            </w:r>
          </w:p>
        </w:tc>
      </w:tr>
      <w:tr w:rsidR="00D5755E" w:rsidRPr="004F12E7" w14:paraId="12B1FD1C" w14:textId="77777777">
        <w:tc>
          <w:tcPr>
            <w:tcW w:w="0" w:type="auto"/>
            <w:tcMar>
              <w:top w:w="150" w:type="dxa"/>
              <w:left w:w="0" w:type="dxa"/>
              <w:bottom w:w="150" w:type="dxa"/>
              <w:right w:w="240" w:type="dxa"/>
            </w:tcMar>
            <w:vAlign w:val="center"/>
            <w:hideMark/>
          </w:tcPr>
          <w:p w14:paraId="194E48A7" w14:textId="77777777" w:rsidR="00D5755E" w:rsidRPr="004F12E7" w:rsidRDefault="00D5755E" w:rsidP="00D5755E">
            <w:r w:rsidRPr="004F12E7">
              <w:t>Artificial Neural Networks (ANN)</w:t>
            </w:r>
          </w:p>
        </w:tc>
        <w:tc>
          <w:tcPr>
            <w:tcW w:w="0" w:type="auto"/>
            <w:tcMar>
              <w:top w:w="150" w:type="dxa"/>
              <w:left w:w="240" w:type="dxa"/>
              <w:bottom w:w="150" w:type="dxa"/>
              <w:right w:w="240" w:type="dxa"/>
            </w:tcMar>
            <w:vAlign w:val="center"/>
            <w:hideMark/>
          </w:tcPr>
          <w:p w14:paraId="6B45DBD9" w14:textId="77777777" w:rsidR="00D5755E" w:rsidRPr="004F12E7" w:rsidRDefault="00D5755E" w:rsidP="00D5755E">
            <w:r w:rsidRPr="004F12E7">
              <w:t>38.46%</w:t>
            </w:r>
          </w:p>
        </w:tc>
        <w:tc>
          <w:tcPr>
            <w:tcW w:w="0" w:type="auto"/>
            <w:tcMar>
              <w:top w:w="150" w:type="dxa"/>
              <w:left w:w="240" w:type="dxa"/>
              <w:bottom w:w="150" w:type="dxa"/>
              <w:right w:w="240" w:type="dxa"/>
            </w:tcMar>
            <w:vAlign w:val="center"/>
            <w:hideMark/>
          </w:tcPr>
          <w:p w14:paraId="721001F9" w14:textId="77777777" w:rsidR="00D5755E" w:rsidRPr="004F12E7" w:rsidRDefault="00D5755E" w:rsidP="00D5755E">
            <w:r w:rsidRPr="004F12E7">
              <w:t>Short-term (hourly)</w:t>
            </w:r>
          </w:p>
        </w:tc>
        <w:tc>
          <w:tcPr>
            <w:tcW w:w="0" w:type="auto"/>
            <w:tcMar>
              <w:top w:w="150" w:type="dxa"/>
              <w:left w:w="240" w:type="dxa"/>
              <w:bottom w:w="150" w:type="dxa"/>
              <w:right w:w="0" w:type="dxa"/>
            </w:tcMar>
            <w:vAlign w:val="center"/>
            <w:hideMark/>
          </w:tcPr>
          <w:p w14:paraId="6B28AE42" w14:textId="77777777" w:rsidR="00D5755E" w:rsidRPr="004F12E7" w:rsidRDefault="00D5755E" w:rsidP="00D5755E">
            <w:r w:rsidRPr="004F12E7">
              <w:t>Handles non-linearity and missing data</w:t>
            </w:r>
          </w:p>
        </w:tc>
      </w:tr>
      <w:tr w:rsidR="00D5755E" w:rsidRPr="004F12E7" w14:paraId="3C5F6943" w14:textId="77777777">
        <w:tc>
          <w:tcPr>
            <w:tcW w:w="0" w:type="auto"/>
            <w:tcMar>
              <w:top w:w="150" w:type="dxa"/>
              <w:left w:w="0" w:type="dxa"/>
              <w:bottom w:w="150" w:type="dxa"/>
              <w:right w:w="240" w:type="dxa"/>
            </w:tcMar>
            <w:vAlign w:val="center"/>
            <w:hideMark/>
          </w:tcPr>
          <w:p w14:paraId="5147DAA3" w14:textId="77777777" w:rsidR="00D5755E" w:rsidRPr="004F12E7" w:rsidRDefault="00D5755E" w:rsidP="00D5755E">
            <w:r w:rsidRPr="004F12E7">
              <w:t>Time Series (ARIMA)</w:t>
            </w:r>
          </w:p>
        </w:tc>
        <w:tc>
          <w:tcPr>
            <w:tcW w:w="0" w:type="auto"/>
            <w:tcMar>
              <w:top w:w="150" w:type="dxa"/>
              <w:left w:w="240" w:type="dxa"/>
              <w:bottom w:w="150" w:type="dxa"/>
              <w:right w:w="240" w:type="dxa"/>
            </w:tcMar>
            <w:vAlign w:val="center"/>
            <w:hideMark/>
          </w:tcPr>
          <w:p w14:paraId="4C9B7349" w14:textId="77777777" w:rsidR="00D5755E" w:rsidRPr="004F12E7" w:rsidRDefault="00D5755E" w:rsidP="00D5755E">
            <w:r w:rsidRPr="004F12E7">
              <w:t>30.77%</w:t>
            </w:r>
          </w:p>
        </w:tc>
        <w:tc>
          <w:tcPr>
            <w:tcW w:w="0" w:type="auto"/>
            <w:tcMar>
              <w:top w:w="150" w:type="dxa"/>
              <w:left w:w="240" w:type="dxa"/>
              <w:bottom w:w="150" w:type="dxa"/>
              <w:right w:w="240" w:type="dxa"/>
            </w:tcMar>
            <w:vAlign w:val="center"/>
            <w:hideMark/>
          </w:tcPr>
          <w:p w14:paraId="02A289B8" w14:textId="77777777" w:rsidR="00D5755E" w:rsidRPr="004F12E7" w:rsidRDefault="00D5755E" w:rsidP="00D5755E">
            <w:r w:rsidRPr="004F12E7">
              <w:t>Very short-term</w:t>
            </w:r>
          </w:p>
        </w:tc>
        <w:tc>
          <w:tcPr>
            <w:tcW w:w="0" w:type="auto"/>
            <w:tcMar>
              <w:top w:w="150" w:type="dxa"/>
              <w:left w:w="240" w:type="dxa"/>
              <w:bottom w:w="150" w:type="dxa"/>
              <w:right w:w="0" w:type="dxa"/>
            </w:tcMar>
            <w:vAlign w:val="center"/>
            <w:hideMark/>
          </w:tcPr>
          <w:p w14:paraId="308A1549" w14:textId="77777777" w:rsidR="00D5755E" w:rsidRPr="004F12E7" w:rsidRDefault="00D5755E" w:rsidP="00D5755E">
            <w:r w:rsidRPr="004F12E7">
              <w:t>Relies on historical autocorrelation</w:t>
            </w:r>
          </w:p>
        </w:tc>
      </w:tr>
      <w:tr w:rsidR="00D5755E" w:rsidRPr="004F12E7" w14:paraId="30C4DE14" w14:textId="77777777">
        <w:tc>
          <w:tcPr>
            <w:tcW w:w="0" w:type="auto"/>
            <w:tcMar>
              <w:top w:w="150" w:type="dxa"/>
              <w:left w:w="0" w:type="dxa"/>
              <w:bottom w:w="150" w:type="dxa"/>
              <w:right w:w="240" w:type="dxa"/>
            </w:tcMar>
            <w:vAlign w:val="center"/>
            <w:hideMark/>
          </w:tcPr>
          <w:p w14:paraId="335614B8" w14:textId="77777777" w:rsidR="00D5755E" w:rsidRPr="004F12E7" w:rsidRDefault="00D5755E" w:rsidP="00D5755E">
            <w:r w:rsidRPr="004F12E7">
              <w:t>Support Vector Machines (SVM)</w:t>
            </w:r>
          </w:p>
        </w:tc>
        <w:tc>
          <w:tcPr>
            <w:tcW w:w="0" w:type="auto"/>
            <w:tcMar>
              <w:top w:w="150" w:type="dxa"/>
              <w:left w:w="240" w:type="dxa"/>
              <w:bottom w:w="150" w:type="dxa"/>
              <w:right w:w="240" w:type="dxa"/>
            </w:tcMar>
            <w:vAlign w:val="center"/>
            <w:hideMark/>
          </w:tcPr>
          <w:p w14:paraId="0865A778" w14:textId="77777777" w:rsidR="00D5755E" w:rsidRPr="004F12E7" w:rsidRDefault="00D5755E" w:rsidP="00D5755E">
            <w:r w:rsidRPr="004F12E7">
              <w:t>15.38%</w:t>
            </w:r>
          </w:p>
        </w:tc>
        <w:tc>
          <w:tcPr>
            <w:tcW w:w="0" w:type="auto"/>
            <w:tcMar>
              <w:top w:w="150" w:type="dxa"/>
              <w:left w:w="240" w:type="dxa"/>
              <w:bottom w:w="150" w:type="dxa"/>
              <w:right w:w="240" w:type="dxa"/>
            </w:tcMar>
            <w:vAlign w:val="center"/>
            <w:hideMark/>
          </w:tcPr>
          <w:p w14:paraId="3ED66B27" w14:textId="77777777" w:rsidR="00D5755E" w:rsidRPr="004F12E7" w:rsidRDefault="00D5755E" w:rsidP="00D5755E">
            <w:r w:rsidRPr="004F12E7">
              <w:t>Short-term</w:t>
            </w:r>
          </w:p>
        </w:tc>
        <w:tc>
          <w:tcPr>
            <w:tcW w:w="0" w:type="auto"/>
            <w:tcMar>
              <w:top w:w="150" w:type="dxa"/>
              <w:left w:w="240" w:type="dxa"/>
              <w:bottom w:w="150" w:type="dxa"/>
              <w:right w:w="0" w:type="dxa"/>
            </w:tcMar>
            <w:vAlign w:val="center"/>
            <w:hideMark/>
          </w:tcPr>
          <w:p w14:paraId="42D998BA" w14:textId="77777777" w:rsidR="00D5755E" w:rsidRPr="004F12E7" w:rsidRDefault="00D5755E" w:rsidP="00D5755E">
            <w:r w:rsidRPr="004F12E7">
              <w:t>Kernel trick for high-dimensional data</w:t>
            </w:r>
          </w:p>
        </w:tc>
      </w:tr>
      <w:tr w:rsidR="00D5755E" w:rsidRPr="004F12E7" w14:paraId="6C472159" w14:textId="77777777">
        <w:tc>
          <w:tcPr>
            <w:tcW w:w="0" w:type="auto"/>
            <w:tcMar>
              <w:top w:w="150" w:type="dxa"/>
              <w:left w:w="0" w:type="dxa"/>
              <w:bottom w:w="150" w:type="dxa"/>
              <w:right w:w="240" w:type="dxa"/>
            </w:tcMar>
            <w:vAlign w:val="center"/>
            <w:hideMark/>
          </w:tcPr>
          <w:p w14:paraId="0B887C30" w14:textId="77777777" w:rsidR="00D5755E" w:rsidRPr="004F12E7" w:rsidRDefault="00D5755E" w:rsidP="00D5755E">
            <w:r w:rsidRPr="004F12E7">
              <w:t>Bottom-Up</w:t>
            </w:r>
          </w:p>
        </w:tc>
        <w:tc>
          <w:tcPr>
            <w:tcW w:w="0" w:type="auto"/>
            <w:tcMar>
              <w:top w:w="150" w:type="dxa"/>
              <w:left w:w="240" w:type="dxa"/>
              <w:bottom w:w="150" w:type="dxa"/>
              <w:right w:w="240" w:type="dxa"/>
            </w:tcMar>
            <w:vAlign w:val="center"/>
            <w:hideMark/>
          </w:tcPr>
          <w:p w14:paraId="0E10E587" w14:textId="77777777" w:rsidR="00D5755E" w:rsidRPr="004F12E7" w:rsidRDefault="00D5755E" w:rsidP="00D5755E">
            <w:r w:rsidRPr="004F12E7">
              <w:t>10.26%</w:t>
            </w:r>
          </w:p>
        </w:tc>
        <w:tc>
          <w:tcPr>
            <w:tcW w:w="0" w:type="auto"/>
            <w:tcMar>
              <w:top w:w="150" w:type="dxa"/>
              <w:left w:w="240" w:type="dxa"/>
              <w:bottom w:w="150" w:type="dxa"/>
              <w:right w:w="240" w:type="dxa"/>
            </w:tcMar>
            <w:vAlign w:val="center"/>
            <w:hideMark/>
          </w:tcPr>
          <w:p w14:paraId="39422657" w14:textId="77777777" w:rsidR="00D5755E" w:rsidRPr="004F12E7" w:rsidRDefault="00D5755E" w:rsidP="00D5755E">
            <w:r w:rsidRPr="004F12E7">
              <w:t>Building-scale</w:t>
            </w:r>
          </w:p>
        </w:tc>
        <w:tc>
          <w:tcPr>
            <w:tcW w:w="0" w:type="auto"/>
            <w:tcMar>
              <w:top w:w="150" w:type="dxa"/>
              <w:left w:w="240" w:type="dxa"/>
              <w:bottom w:w="150" w:type="dxa"/>
              <w:right w:w="0" w:type="dxa"/>
            </w:tcMar>
            <w:vAlign w:val="center"/>
            <w:hideMark/>
          </w:tcPr>
          <w:p w14:paraId="39C59738" w14:textId="77777777" w:rsidR="00D5755E" w:rsidRPr="004F12E7" w:rsidRDefault="00D5755E" w:rsidP="00D5755E">
            <w:r w:rsidRPr="004F12E7">
              <w:t>Aggregates appliance-level loads</w:t>
            </w:r>
          </w:p>
        </w:tc>
      </w:tr>
    </w:tbl>
    <w:p w14:paraId="7FD743A5" w14:textId="77777777" w:rsidR="00D5755E" w:rsidRPr="004F12E7" w:rsidRDefault="00D5755E" w:rsidP="00D5755E">
      <w:r w:rsidRPr="004F12E7">
        <w:t xml:space="preserve">The review highlighted two critical findings. First, 66.07% of successful studies employ explicit data pre-processing (smoothing, PCA, missing value imputation). Second, the "Simplicity Paradox"—observed in the M3-Competition—indicates that sophisticated </w:t>
      </w:r>
      <w:r w:rsidRPr="004F12E7">
        <w:lastRenderedPageBreak/>
        <w:t>models do not consistently outperform simple regressions when forecast horizons are long and data resolution is low.</w:t>
      </w:r>
    </w:p>
    <w:p w14:paraId="004B1BF0" w14:textId="77777777" w:rsidR="00D5755E" w:rsidRPr="00D5755E" w:rsidRDefault="00D5755E" w:rsidP="00D5755E">
      <w:pPr>
        <w:rPr>
          <w:b/>
          <w:bCs/>
        </w:rPr>
      </w:pPr>
      <w:r w:rsidRPr="00D5755E">
        <w:rPr>
          <w:b/>
          <w:bCs/>
        </w:rPr>
        <w:t>2.2 Power Outage Duration Prediction (POD)</w:t>
      </w:r>
    </w:p>
    <w:p w14:paraId="3759FFF7" w14:textId="77777777" w:rsidR="004F12E7" w:rsidRDefault="00D5755E" w:rsidP="00D5755E">
      <w:r w:rsidRPr="004F12E7">
        <w:t xml:space="preserve">Parallel to load forecasting, outage duration prediction is essential for utility response. Accurate POD estimates enable utilities to notify customers, dispatch repair crews optimally, and manage regulatory compliance. Recent studies have applied diverse ML techniques: stacking ensembles for typhoon outages </w:t>
      </w:r>
    </w:p>
    <w:p w14:paraId="0BDA68A1" w14:textId="77777777" w:rsidR="004F12E7" w:rsidRDefault="00D5755E" w:rsidP="00D5755E">
      <w:r w:rsidRPr="004F12E7">
        <w:t>[2], Bayesian-optimized Prophet models for non-weather outages</w:t>
      </w:r>
    </w:p>
    <w:p w14:paraId="5C7B7790" w14:textId="1E5C9AFD" w:rsidR="00D5755E" w:rsidRPr="004F12E7" w:rsidRDefault="00D5755E" w:rsidP="00D5755E">
      <w:r w:rsidRPr="004F12E7">
        <w:t xml:space="preserve"> [3], and deep neural networks for repair time estimation.</w:t>
      </w:r>
    </w:p>
    <w:p w14:paraId="07A6C40E" w14:textId="77777777" w:rsidR="00D5755E" w:rsidRPr="004F12E7" w:rsidRDefault="00D5755E" w:rsidP="00D5755E">
      <w:r w:rsidRPr="004F12E7">
        <w:t>The case study presented in this paper (Section 4) advances the state of the art by applying </w:t>
      </w:r>
      <w:proofErr w:type="spellStart"/>
      <w:r w:rsidRPr="004F12E7">
        <w:t>XGBoost</w:t>
      </w:r>
      <w:proofErr w:type="spellEnd"/>
      <w:r w:rsidRPr="004F12E7">
        <w:t xml:space="preserve"> with MRMR feature selection on a comprehensive dataset from a Turkish distribution utility, achieving a 12.922% accuracy improvement over previous classification methods.</w:t>
      </w:r>
    </w:p>
    <w:p w14:paraId="23BC0ECD" w14:textId="77777777" w:rsidR="00D5755E" w:rsidRPr="00D5755E" w:rsidRDefault="00D5755E" w:rsidP="00D5755E">
      <w:pPr>
        <w:rPr>
          <w:b/>
          <w:bCs/>
        </w:rPr>
      </w:pPr>
      <w:r w:rsidRPr="00D5755E">
        <w:rPr>
          <w:b/>
          <w:bCs/>
        </w:rPr>
        <w:t>3. Methodology</w:t>
      </w:r>
    </w:p>
    <w:p w14:paraId="00908D6B" w14:textId="77777777" w:rsidR="00D5755E" w:rsidRPr="00D5755E" w:rsidRDefault="00D5755E" w:rsidP="00D5755E">
      <w:pPr>
        <w:rPr>
          <w:b/>
          <w:bCs/>
        </w:rPr>
      </w:pPr>
      <w:r w:rsidRPr="00D5755E">
        <w:rPr>
          <w:b/>
          <w:bCs/>
        </w:rPr>
        <w:t>3.1 Load Forecasting Taxonomy</w:t>
      </w:r>
    </w:p>
    <w:p w14:paraId="448DE52A" w14:textId="77777777" w:rsidR="00D5755E" w:rsidRPr="00402C99" w:rsidRDefault="00D5755E" w:rsidP="00D5755E">
      <w:r w:rsidRPr="00402C99">
        <w:t>The systematic review established a decision matrix based on two primary axes: temporal horizon and available exogenous data.</w:t>
      </w:r>
    </w:p>
    <w:tbl>
      <w:tblPr>
        <w:tblW w:w="11280" w:type="dxa"/>
        <w:tblCellMar>
          <w:top w:w="15" w:type="dxa"/>
          <w:left w:w="15" w:type="dxa"/>
          <w:bottom w:w="15" w:type="dxa"/>
          <w:right w:w="15" w:type="dxa"/>
        </w:tblCellMar>
        <w:tblLook w:val="04A0" w:firstRow="1" w:lastRow="0" w:firstColumn="1" w:lastColumn="0" w:noHBand="0" w:noVBand="1"/>
      </w:tblPr>
      <w:tblGrid>
        <w:gridCol w:w="3013"/>
        <w:gridCol w:w="3462"/>
        <w:gridCol w:w="4805"/>
      </w:tblGrid>
      <w:tr w:rsidR="00D5755E" w:rsidRPr="00402C99" w14:paraId="35EFFCED" w14:textId="77777777">
        <w:trPr>
          <w:tblHeader/>
        </w:trPr>
        <w:tc>
          <w:tcPr>
            <w:tcW w:w="0" w:type="auto"/>
            <w:tcBorders>
              <w:top w:val="nil"/>
            </w:tcBorders>
            <w:tcMar>
              <w:top w:w="150" w:type="dxa"/>
              <w:left w:w="0" w:type="dxa"/>
              <w:bottom w:w="150" w:type="dxa"/>
              <w:right w:w="240" w:type="dxa"/>
            </w:tcMar>
            <w:vAlign w:val="center"/>
            <w:hideMark/>
          </w:tcPr>
          <w:p w14:paraId="129D44F1" w14:textId="77777777" w:rsidR="00D5755E" w:rsidRPr="00402C99" w:rsidRDefault="00D5755E" w:rsidP="00D5755E">
            <w:r w:rsidRPr="00402C99">
              <w:t>Scenario</w:t>
            </w:r>
          </w:p>
        </w:tc>
        <w:tc>
          <w:tcPr>
            <w:tcW w:w="0" w:type="auto"/>
            <w:tcBorders>
              <w:top w:val="nil"/>
            </w:tcBorders>
            <w:tcMar>
              <w:top w:w="150" w:type="dxa"/>
              <w:left w:w="240" w:type="dxa"/>
              <w:bottom w:w="150" w:type="dxa"/>
              <w:right w:w="240" w:type="dxa"/>
            </w:tcMar>
            <w:vAlign w:val="center"/>
            <w:hideMark/>
          </w:tcPr>
          <w:p w14:paraId="366A97D6" w14:textId="77777777" w:rsidR="00D5755E" w:rsidRPr="00402C99" w:rsidRDefault="00D5755E" w:rsidP="00D5755E">
            <w:r w:rsidRPr="00402C99">
              <w:t>Recommended Model</w:t>
            </w:r>
          </w:p>
        </w:tc>
        <w:tc>
          <w:tcPr>
            <w:tcW w:w="0" w:type="auto"/>
            <w:tcBorders>
              <w:top w:val="nil"/>
            </w:tcBorders>
            <w:tcMar>
              <w:top w:w="150" w:type="dxa"/>
              <w:left w:w="240" w:type="dxa"/>
              <w:bottom w:w="150" w:type="dxa"/>
              <w:right w:w="240" w:type="dxa"/>
            </w:tcMar>
            <w:vAlign w:val="center"/>
            <w:hideMark/>
          </w:tcPr>
          <w:p w14:paraId="324FAEC1" w14:textId="77777777" w:rsidR="00D5755E" w:rsidRPr="00402C99" w:rsidRDefault="00D5755E" w:rsidP="00D5755E">
            <w:r w:rsidRPr="00402C99">
              <w:t>Critical Inputs</w:t>
            </w:r>
          </w:p>
        </w:tc>
      </w:tr>
      <w:tr w:rsidR="00D5755E" w:rsidRPr="00402C99" w14:paraId="664B1CB2" w14:textId="77777777">
        <w:tc>
          <w:tcPr>
            <w:tcW w:w="0" w:type="auto"/>
            <w:tcMar>
              <w:top w:w="150" w:type="dxa"/>
              <w:left w:w="0" w:type="dxa"/>
              <w:bottom w:w="150" w:type="dxa"/>
              <w:right w:w="240" w:type="dxa"/>
            </w:tcMar>
            <w:vAlign w:val="center"/>
            <w:hideMark/>
          </w:tcPr>
          <w:p w14:paraId="52C6EFA1" w14:textId="77777777" w:rsidR="00D5755E" w:rsidRPr="00402C99" w:rsidRDefault="00D5755E" w:rsidP="00D5755E">
            <w:r w:rsidRPr="00402C99">
              <w:t>Hourly load (next 24h)</w:t>
            </w:r>
          </w:p>
        </w:tc>
        <w:tc>
          <w:tcPr>
            <w:tcW w:w="0" w:type="auto"/>
            <w:tcMar>
              <w:top w:w="150" w:type="dxa"/>
              <w:left w:w="240" w:type="dxa"/>
              <w:bottom w:w="150" w:type="dxa"/>
              <w:right w:w="240" w:type="dxa"/>
            </w:tcMar>
            <w:vAlign w:val="center"/>
            <w:hideMark/>
          </w:tcPr>
          <w:p w14:paraId="34E3E408" w14:textId="77777777" w:rsidR="00D5755E" w:rsidRPr="00402C99" w:rsidRDefault="00D5755E" w:rsidP="00D5755E">
            <w:r w:rsidRPr="00402C99">
              <w:t>ANN / SVM</w:t>
            </w:r>
          </w:p>
        </w:tc>
        <w:tc>
          <w:tcPr>
            <w:tcW w:w="0" w:type="auto"/>
            <w:tcMar>
              <w:top w:w="150" w:type="dxa"/>
              <w:left w:w="240" w:type="dxa"/>
              <w:bottom w:w="150" w:type="dxa"/>
              <w:right w:w="0" w:type="dxa"/>
            </w:tcMar>
            <w:vAlign w:val="center"/>
            <w:hideMark/>
          </w:tcPr>
          <w:p w14:paraId="25AFDA01" w14:textId="77777777" w:rsidR="00D5755E" w:rsidRPr="00402C99" w:rsidRDefault="00D5755E" w:rsidP="00D5755E">
            <w:r w:rsidRPr="00402C99">
              <w:t>Temperature, Time Index, Occupancy</w:t>
            </w:r>
          </w:p>
        </w:tc>
      </w:tr>
      <w:tr w:rsidR="00D5755E" w:rsidRPr="00402C99" w14:paraId="3719C441" w14:textId="77777777">
        <w:tc>
          <w:tcPr>
            <w:tcW w:w="0" w:type="auto"/>
            <w:tcMar>
              <w:top w:w="150" w:type="dxa"/>
              <w:left w:w="0" w:type="dxa"/>
              <w:bottom w:w="150" w:type="dxa"/>
              <w:right w:w="240" w:type="dxa"/>
            </w:tcMar>
            <w:vAlign w:val="center"/>
            <w:hideMark/>
          </w:tcPr>
          <w:p w14:paraId="6A98CBAD" w14:textId="77777777" w:rsidR="00D5755E" w:rsidRPr="00402C99" w:rsidRDefault="00D5755E" w:rsidP="00D5755E">
            <w:r w:rsidRPr="00402C99">
              <w:t>5-year regional plan</w:t>
            </w:r>
          </w:p>
        </w:tc>
        <w:tc>
          <w:tcPr>
            <w:tcW w:w="0" w:type="auto"/>
            <w:tcMar>
              <w:top w:w="150" w:type="dxa"/>
              <w:left w:w="240" w:type="dxa"/>
              <w:bottom w:w="150" w:type="dxa"/>
              <w:right w:w="240" w:type="dxa"/>
            </w:tcMar>
            <w:vAlign w:val="center"/>
            <w:hideMark/>
          </w:tcPr>
          <w:p w14:paraId="02CAA516" w14:textId="77777777" w:rsidR="00D5755E" w:rsidRPr="00402C99" w:rsidRDefault="00D5755E" w:rsidP="00D5755E">
            <w:r w:rsidRPr="00402C99">
              <w:t>Multivariate Regression</w:t>
            </w:r>
          </w:p>
        </w:tc>
        <w:tc>
          <w:tcPr>
            <w:tcW w:w="0" w:type="auto"/>
            <w:tcMar>
              <w:top w:w="150" w:type="dxa"/>
              <w:left w:w="240" w:type="dxa"/>
              <w:bottom w:w="150" w:type="dxa"/>
              <w:right w:w="0" w:type="dxa"/>
            </w:tcMar>
            <w:vAlign w:val="center"/>
            <w:hideMark/>
          </w:tcPr>
          <w:p w14:paraId="332BEC6C" w14:textId="77777777" w:rsidR="00D5755E" w:rsidRPr="00402C99" w:rsidRDefault="00D5755E" w:rsidP="00D5755E">
            <w:r w:rsidRPr="00402C99">
              <w:t>GDP, Population growth</w:t>
            </w:r>
          </w:p>
        </w:tc>
      </w:tr>
      <w:tr w:rsidR="00D5755E" w:rsidRPr="00402C99" w14:paraId="1A26A546" w14:textId="77777777">
        <w:tc>
          <w:tcPr>
            <w:tcW w:w="0" w:type="auto"/>
            <w:tcMar>
              <w:top w:w="150" w:type="dxa"/>
              <w:left w:w="0" w:type="dxa"/>
              <w:bottom w:w="150" w:type="dxa"/>
              <w:right w:w="240" w:type="dxa"/>
            </w:tcMar>
            <w:vAlign w:val="center"/>
            <w:hideMark/>
          </w:tcPr>
          <w:p w14:paraId="728AB3FF" w14:textId="77777777" w:rsidR="00D5755E" w:rsidRPr="00402C99" w:rsidRDefault="00D5755E" w:rsidP="00D5755E">
            <w:r w:rsidRPr="00402C99">
              <w:t>Minute-level dispatch</w:t>
            </w:r>
          </w:p>
        </w:tc>
        <w:tc>
          <w:tcPr>
            <w:tcW w:w="0" w:type="auto"/>
            <w:tcMar>
              <w:top w:w="150" w:type="dxa"/>
              <w:left w:w="240" w:type="dxa"/>
              <w:bottom w:w="150" w:type="dxa"/>
              <w:right w:w="240" w:type="dxa"/>
            </w:tcMar>
            <w:vAlign w:val="center"/>
            <w:hideMark/>
          </w:tcPr>
          <w:p w14:paraId="4E283B4A" w14:textId="77777777" w:rsidR="00D5755E" w:rsidRPr="00402C99" w:rsidRDefault="00D5755E" w:rsidP="00D5755E">
            <w:r w:rsidRPr="00402C99">
              <w:t>ARIMA</w:t>
            </w:r>
          </w:p>
        </w:tc>
        <w:tc>
          <w:tcPr>
            <w:tcW w:w="0" w:type="auto"/>
            <w:tcMar>
              <w:top w:w="150" w:type="dxa"/>
              <w:left w:w="240" w:type="dxa"/>
              <w:bottom w:w="150" w:type="dxa"/>
              <w:right w:w="0" w:type="dxa"/>
            </w:tcMar>
            <w:vAlign w:val="center"/>
            <w:hideMark/>
          </w:tcPr>
          <w:p w14:paraId="7877773F" w14:textId="77777777" w:rsidR="00D5755E" w:rsidRPr="00402C99" w:rsidRDefault="00D5755E" w:rsidP="00D5755E">
            <w:r w:rsidRPr="00402C99">
              <w:t>Stationarity check (differencing)</w:t>
            </w:r>
          </w:p>
        </w:tc>
      </w:tr>
      <w:tr w:rsidR="00D5755E" w:rsidRPr="00402C99" w14:paraId="64577FE5" w14:textId="77777777">
        <w:tc>
          <w:tcPr>
            <w:tcW w:w="0" w:type="auto"/>
            <w:tcMar>
              <w:top w:w="150" w:type="dxa"/>
              <w:left w:w="0" w:type="dxa"/>
              <w:bottom w:w="150" w:type="dxa"/>
              <w:right w:w="240" w:type="dxa"/>
            </w:tcMar>
            <w:vAlign w:val="center"/>
            <w:hideMark/>
          </w:tcPr>
          <w:p w14:paraId="579F2BCB" w14:textId="77777777" w:rsidR="00D5755E" w:rsidRPr="00402C99" w:rsidRDefault="00D5755E" w:rsidP="00D5755E">
            <w:r w:rsidRPr="00402C99">
              <w:t>Single building audit</w:t>
            </w:r>
          </w:p>
        </w:tc>
        <w:tc>
          <w:tcPr>
            <w:tcW w:w="0" w:type="auto"/>
            <w:tcMar>
              <w:top w:w="150" w:type="dxa"/>
              <w:left w:w="240" w:type="dxa"/>
              <w:bottom w:w="150" w:type="dxa"/>
              <w:right w:w="240" w:type="dxa"/>
            </w:tcMar>
            <w:vAlign w:val="center"/>
            <w:hideMark/>
          </w:tcPr>
          <w:p w14:paraId="106001E3" w14:textId="77777777" w:rsidR="00D5755E" w:rsidRPr="00402C99" w:rsidRDefault="00D5755E" w:rsidP="00D5755E">
            <w:r w:rsidRPr="00402C99">
              <w:t>Bottom-Up</w:t>
            </w:r>
          </w:p>
        </w:tc>
        <w:tc>
          <w:tcPr>
            <w:tcW w:w="0" w:type="auto"/>
            <w:tcMar>
              <w:top w:w="150" w:type="dxa"/>
              <w:left w:w="240" w:type="dxa"/>
              <w:bottom w:w="150" w:type="dxa"/>
              <w:right w:w="0" w:type="dxa"/>
            </w:tcMar>
            <w:vAlign w:val="center"/>
            <w:hideMark/>
          </w:tcPr>
          <w:p w14:paraId="4E350D99" w14:textId="77777777" w:rsidR="00D5755E" w:rsidRPr="00402C99" w:rsidRDefault="00D5755E" w:rsidP="00D5755E">
            <w:r w:rsidRPr="00402C99">
              <w:t>Sub-metered appliance data</w:t>
            </w:r>
          </w:p>
        </w:tc>
      </w:tr>
    </w:tbl>
    <w:p w14:paraId="0BD261D1" w14:textId="77777777" w:rsidR="00D5755E" w:rsidRPr="00402C99" w:rsidRDefault="00D5755E" w:rsidP="00D5755E">
      <w:r w:rsidRPr="00402C99">
        <w:t xml:space="preserve">This taxonomy serves as a rapid prototyping guide for hackathon teams, preventing the common pitfall of defaulting to deep learning without </w:t>
      </w:r>
      <w:proofErr w:type="spellStart"/>
      <w:r w:rsidRPr="00402C99">
        <w:t>analyzing</w:t>
      </w:r>
      <w:proofErr w:type="spellEnd"/>
      <w:r w:rsidRPr="00402C99">
        <w:t xml:space="preserve"> the problem's "implementation frame."</w:t>
      </w:r>
    </w:p>
    <w:p w14:paraId="20FF3870" w14:textId="77777777" w:rsidR="00D5755E" w:rsidRPr="00D5755E" w:rsidRDefault="00D5755E" w:rsidP="00D5755E">
      <w:pPr>
        <w:rPr>
          <w:b/>
          <w:bCs/>
        </w:rPr>
      </w:pPr>
      <w:r w:rsidRPr="00D5755E">
        <w:rPr>
          <w:b/>
          <w:bCs/>
        </w:rPr>
        <w:t>3.2 Outage Duration Prediction Model</w:t>
      </w:r>
    </w:p>
    <w:p w14:paraId="7A24EC49" w14:textId="77777777" w:rsidR="00D5755E" w:rsidRPr="00402C99" w:rsidRDefault="00D5755E" w:rsidP="00D5755E">
      <w:r w:rsidRPr="00D5755E">
        <w:rPr>
          <w:b/>
          <w:bCs/>
        </w:rPr>
        <w:t>3.2.1 Dataset Description</w:t>
      </w:r>
      <w:r w:rsidRPr="00D5755E">
        <w:rPr>
          <w:b/>
          <w:bCs/>
        </w:rPr>
        <w:br/>
      </w:r>
      <w:r w:rsidRPr="00402C99">
        <w:t>The dataset comprises 95,454 power outage instances recorded in Turkey during 2022, with 26 features including:</w:t>
      </w:r>
    </w:p>
    <w:p w14:paraId="7589B749" w14:textId="77777777" w:rsidR="00D5755E" w:rsidRPr="00402C99" w:rsidRDefault="00D5755E" w:rsidP="00D5755E">
      <w:pPr>
        <w:numPr>
          <w:ilvl w:val="0"/>
          <w:numId w:val="4"/>
        </w:numPr>
      </w:pPr>
      <w:r w:rsidRPr="00402C99">
        <w:lastRenderedPageBreak/>
        <w:t>Geographic: Province, District, Grid Element type</w:t>
      </w:r>
    </w:p>
    <w:p w14:paraId="3F4954A5" w14:textId="77777777" w:rsidR="00D5755E" w:rsidRPr="00402C99" w:rsidRDefault="00D5755E" w:rsidP="00D5755E">
      <w:pPr>
        <w:numPr>
          <w:ilvl w:val="0"/>
          <w:numId w:val="4"/>
        </w:numPr>
      </w:pPr>
      <w:r w:rsidRPr="00402C99">
        <w:t>Cause-related: Outage Cause Description, Cause Type (external, security, operator error)</w:t>
      </w:r>
    </w:p>
    <w:p w14:paraId="7B4111C8" w14:textId="77777777" w:rsidR="00D5755E" w:rsidRPr="00402C99" w:rsidRDefault="00D5755E" w:rsidP="00D5755E">
      <w:pPr>
        <w:numPr>
          <w:ilvl w:val="0"/>
          <w:numId w:val="4"/>
        </w:numPr>
      </w:pPr>
      <w:r w:rsidRPr="00402C99">
        <w:t>Electrical: Urban/Rural LV/HV levels and totals</w:t>
      </w:r>
    </w:p>
    <w:p w14:paraId="0A542FAE" w14:textId="77777777" w:rsidR="00D5755E" w:rsidRPr="00402C99" w:rsidRDefault="00D5755E" w:rsidP="00D5755E">
      <w:pPr>
        <w:numPr>
          <w:ilvl w:val="0"/>
          <w:numId w:val="4"/>
        </w:numPr>
      </w:pPr>
      <w:r w:rsidRPr="00402C99">
        <w:t>Operational: Notification status, Source (distribution/transmission)</w:t>
      </w:r>
    </w:p>
    <w:p w14:paraId="5AB5C9CD" w14:textId="77777777" w:rsidR="00D5755E" w:rsidRPr="00402C99" w:rsidRDefault="00D5755E" w:rsidP="00D5755E">
      <w:r w:rsidRPr="00402C99">
        <w:t>The target variable, </w:t>
      </w:r>
      <w:r w:rsidRPr="00402C99">
        <w:rPr>
          <w:i/>
          <w:iCs/>
        </w:rPr>
        <w:t>Outage Duration (Categorical)</w:t>
      </w:r>
      <w:r w:rsidRPr="00402C99">
        <w:t>, was discretized into four classes:</w:t>
      </w:r>
    </w:p>
    <w:p w14:paraId="0B0BA208" w14:textId="77777777" w:rsidR="00D5755E" w:rsidRPr="00402C99" w:rsidRDefault="00D5755E" w:rsidP="00D5755E">
      <w:pPr>
        <w:numPr>
          <w:ilvl w:val="0"/>
          <w:numId w:val="5"/>
        </w:numPr>
      </w:pPr>
      <w:r w:rsidRPr="00402C99">
        <w:t>Very Short: 0–1 hour</w:t>
      </w:r>
    </w:p>
    <w:p w14:paraId="5853B73D" w14:textId="77777777" w:rsidR="00D5755E" w:rsidRPr="00402C99" w:rsidRDefault="00D5755E" w:rsidP="00D5755E">
      <w:pPr>
        <w:numPr>
          <w:ilvl w:val="0"/>
          <w:numId w:val="5"/>
        </w:numPr>
      </w:pPr>
      <w:r w:rsidRPr="00402C99">
        <w:t>Short: 1–2 hours</w:t>
      </w:r>
    </w:p>
    <w:p w14:paraId="1EA9910E" w14:textId="77777777" w:rsidR="00D5755E" w:rsidRPr="00402C99" w:rsidRDefault="00D5755E" w:rsidP="00D5755E">
      <w:pPr>
        <w:numPr>
          <w:ilvl w:val="0"/>
          <w:numId w:val="5"/>
        </w:numPr>
      </w:pPr>
      <w:r w:rsidRPr="00402C99">
        <w:t>Medium: 2–4 hours</w:t>
      </w:r>
    </w:p>
    <w:p w14:paraId="6A2E7D28" w14:textId="77777777" w:rsidR="00D5755E" w:rsidRPr="00402C99" w:rsidRDefault="00D5755E" w:rsidP="00D5755E">
      <w:pPr>
        <w:numPr>
          <w:ilvl w:val="0"/>
          <w:numId w:val="5"/>
        </w:numPr>
      </w:pPr>
      <w:r w:rsidRPr="00402C99">
        <w:t>Long: &gt;4 hours</w:t>
      </w:r>
    </w:p>
    <w:p w14:paraId="148454C8" w14:textId="77777777" w:rsidR="00D5755E" w:rsidRPr="00402C99" w:rsidRDefault="00D5755E" w:rsidP="00D5755E">
      <w:r w:rsidRPr="00D5755E">
        <w:rPr>
          <w:b/>
          <w:bCs/>
        </w:rPr>
        <w:t>3.2.2 Preprocessing and Feature Selection</w:t>
      </w:r>
      <w:r w:rsidRPr="00D5755E">
        <w:rPr>
          <w:b/>
          <w:bCs/>
        </w:rPr>
        <w:br/>
      </w:r>
      <w:r w:rsidRPr="00402C99">
        <w:t>Following best practices from the systematic review (66.07% pre-processing rate), we applied:</w:t>
      </w:r>
    </w:p>
    <w:p w14:paraId="33B529B0" w14:textId="77777777" w:rsidR="00D5755E" w:rsidRPr="00402C99" w:rsidRDefault="00D5755E" w:rsidP="00D5755E">
      <w:pPr>
        <w:numPr>
          <w:ilvl w:val="0"/>
          <w:numId w:val="6"/>
        </w:numPr>
      </w:pPr>
      <w:r w:rsidRPr="00402C99">
        <w:t>Removal of redundant/unique identifiers (Code Number, timestamps)</w:t>
      </w:r>
    </w:p>
    <w:p w14:paraId="480D2525" w14:textId="77777777" w:rsidR="00D5755E" w:rsidRPr="00402C99" w:rsidRDefault="00D5755E" w:rsidP="00D5755E">
      <w:pPr>
        <w:numPr>
          <w:ilvl w:val="0"/>
          <w:numId w:val="6"/>
        </w:numPr>
      </w:pPr>
      <w:r w:rsidRPr="00402C99">
        <w:t>Categorical encoding (one-hot for nominal, label for ordinal)</w:t>
      </w:r>
    </w:p>
    <w:p w14:paraId="3B56DEF9" w14:textId="77777777" w:rsidR="00D5755E" w:rsidRPr="00402C99" w:rsidRDefault="00D5755E" w:rsidP="00D5755E">
      <w:pPr>
        <w:numPr>
          <w:ilvl w:val="0"/>
          <w:numId w:val="6"/>
        </w:numPr>
      </w:pPr>
      <w:r w:rsidRPr="00402C99">
        <w:t>Numerical scaling (min-max normalization)</w:t>
      </w:r>
    </w:p>
    <w:p w14:paraId="0EB4CAD4" w14:textId="77777777" w:rsidR="00D5755E" w:rsidRPr="00402C99" w:rsidRDefault="00D5755E" w:rsidP="00D5755E">
      <w:r w:rsidRPr="00402C99">
        <w:t>The MRMR (Minimum Redundancy Maximum Relevance) algorithm was employed to rank feature importance. MRMR selects features that maximize mutual information with the target while minimizing redundancy among selected features. The top five features by MRMR weight were:</w:t>
      </w:r>
    </w:p>
    <w:p w14:paraId="48D5EEB9" w14:textId="77777777" w:rsidR="00D5755E" w:rsidRPr="00402C99" w:rsidRDefault="00D5755E" w:rsidP="00D5755E">
      <w:pPr>
        <w:numPr>
          <w:ilvl w:val="0"/>
          <w:numId w:val="7"/>
        </w:numPr>
      </w:pPr>
      <w:r w:rsidRPr="00402C99">
        <w:t>Total Urban HV – 0.5631</w:t>
      </w:r>
    </w:p>
    <w:p w14:paraId="52340287" w14:textId="77777777" w:rsidR="00D5755E" w:rsidRPr="00402C99" w:rsidRDefault="00D5755E" w:rsidP="00D5755E">
      <w:pPr>
        <w:numPr>
          <w:ilvl w:val="0"/>
          <w:numId w:val="7"/>
        </w:numPr>
      </w:pPr>
      <w:r w:rsidRPr="00402C99">
        <w:t>Cause Type – 0.4140</w:t>
      </w:r>
    </w:p>
    <w:p w14:paraId="3051CE49" w14:textId="77777777" w:rsidR="00D5755E" w:rsidRPr="00402C99" w:rsidRDefault="00D5755E" w:rsidP="00D5755E">
      <w:pPr>
        <w:numPr>
          <w:ilvl w:val="0"/>
          <w:numId w:val="7"/>
        </w:numPr>
      </w:pPr>
      <w:r w:rsidRPr="00402C99">
        <w:t>Total Rural LV – 0.0165</w:t>
      </w:r>
    </w:p>
    <w:p w14:paraId="4D6386CF" w14:textId="77777777" w:rsidR="00D5755E" w:rsidRPr="00402C99" w:rsidRDefault="00D5755E" w:rsidP="00D5755E">
      <w:pPr>
        <w:numPr>
          <w:ilvl w:val="0"/>
          <w:numId w:val="7"/>
        </w:numPr>
      </w:pPr>
      <w:r w:rsidRPr="00402C99">
        <w:t>Total Urban LV – 0.0151</w:t>
      </w:r>
    </w:p>
    <w:p w14:paraId="7E378731" w14:textId="77777777" w:rsidR="00D5755E" w:rsidRPr="00402C99" w:rsidRDefault="00D5755E" w:rsidP="00D5755E">
      <w:pPr>
        <w:numPr>
          <w:ilvl w:val="0"/>
          <w:numId w:val="7"/>
        </w:numPr>
      </w:pPr>
      <w:r w:rsidRPr="00402C99">
        <w:t>Notification – 0.0102</w:t>
      </w:r>
    </w:p>
    <w:p w14:paraId="334A5465" w14:textId="77777777" w:rsidR="00D5755E" w:rsidRPr="00402C99" w:rsidRDefault="00D5755E" w:rsidP="00D5755E">
      <w:r w:rsidRPr="00D5755E">
        <w:rPr>
          <w:b/>
          <w:bCs/>
        </w:rPr>
        <w:t xml:space="preserve">3.2.3 Model Architecture: </w:t>
      </w:r>
      <w:proofErr w:type="spellStart"/>
      <w:r w:rsidRPr="00D5755E">
        <w:rPr>
          <w:b/>
          <w:bCs/>
        </w:rPr>
        <w:t>XGBoost</w:t>
      </w:r>
      <w:proofErr w:type="spellEnd"/>
      <w:r w:rsidRPr="00D5755E">
        <w:rPr>
          <w:b/>
          <w:bCs/>
        </w:rPr>
        <w:br/>
      </w:r>
      <w:r w:rsidRPr="00402C99">
        <w:t>Extreme Gradient Boosting (</w:t>
      </w:r>
      <w:proofErr w:type="spellStart"/>
      <w:r w:rsidRPr="00402C99">
        <w:t>XGBoost</w:t>
      </w:r>
      <w:proofErr w:type="spellEnd"/>
      <w:r w:rsidRPr="00402C99">
        <w:t>) was selected for its robustness to missing data, built-in regularization, and state-of-the-art performance on tabular data. Hyperparameters were tuned via grid search:</w:t>
      </w:r>
    </w:p>
    <w:tbl>
      <w:tblPr>
        <w:tblW w:w="11280" w:type="dxa"/>
        <w:tblCellMar>
          <w:top w:w="15" w:type="dxa"/>
          <w:left w:w="15" w:type="dxa"/>
          <w:bottom w:w="15" w:type="dxa"/>
          <w:right w:w="15" w:type="dxa"/>
        </w:tblCellMar>
        <w:tblLook w:val="04A0" w:firstRow="1" w:lastRow="0" w:firstColumn="1" w:lastColumn="0" w:noHBand="0" w:noVBand="1"/>
      </w:tblPr>
      <w:tblGrid>
        <w:gridCol w:w="7918"/>
        <w:gridCol w:w="3362"/>
      </w:tblGrid>
      <w:tr w:rsidR="00D5755E" w:rsidRPr="00402C99" w14:paraId="16ABDB15" w14:textId="77777777">
        <w:trPr>
          <w:tblHeader/>
        </w:trPr>
        <w:tc>
          <w:tcPr>
            <w:tcW w:w="0" w:type="auto"/>
            <w:tcBorders>
              <w:top w:val="nil"/>
            </w:tcBorders>
            <w:tcMar>
              <w:top w:w="150" w:type="dxa"/>
              <w:left w:w="0" w:type="dxa"/>
              <w:bottom w:w="150" w:type="dxa"/>
              <w:right w:w="240" w:type="dxa"/>
            </w:tcMar>
            <w:vAlign w:val="center"/>
            <w:hideMark/>
          </w:tcPr>
          <w:p w14:paraId="45946841" w14:textId="77777777" w:rsidR="00D5755E" w:rsidRPr="00402C99" w:rsidRDefault="00D5755E" w:rsidP="00D5755E">
            <w:r w:rsidRPr="00402C99">
              <w:lastRenderedPageBreak/>
              <w:t>Hyperparameter</w:t>
            </w:r>
          </w:p>
        </w:tc>
        <w:tc>
          <w:tcPr>
            <w:tcW w:w="0" w:type="auto"/>
            <w:tcBorders>
              <w:top w:val="nil"/>
            </w:tcBorders>
            <w:tcMar>
              <w:top w:w="150" w:type="dxa"/>
              <w:left w:w="240" w:type="dxa"/>
              <w:bottom w:w="150" w:type="dxa"/>
              <w:right w:w="240" w:type="dxa"/>
            </w:tcMar>
            <w:vAlign w:val="center"/>
            <w:hideMark/>
          </w:tcPr>
          <w:p w14:paraId="69705CFA" w14:textId="77777777" w:rsidR="00D5755E" w:rsidRPr="00402C99" w:rsidRDefault="00D5755E" w:rsidP="00D5755E">
            <w:r w:rsidRPr="00402C99">
              <w:t>Value</w:t>
            </w:r>
          </w:p>
        </w:tc>
      </w:tr>
      <w:tr w:rsidR="009A745A" w:rsidRPr="00402C99" w14:paraId="2943E020" w14:textId="77777777">
        <w:trPr>
          <w:tblHeader/>
        </w:trPr>
        <w:tc>
          <w:tcPr>
            <w:tcW w:w="0" w:type="auto"/>
            <w:tcBorders>
              <w:top w:val="nil"/>
            </w:tcBorders>
            <w:tcMar>
              <w:top w:w="150" w:type="dxa"/>
              <w:left w:w="0" w:type="dxa"/>
              <w:bottom w:w="150" w:type="dxa"/>
              <w:right w:w="240" w:type="dxa"/>
            </w:tcMar>
            <w:vAlign w:val="center"/>
          </w:tcPr>
          <w:p w14:paraId="6E97D79A" w14:textId="77777777" w:rsidR="009A745A" w:rsidRPr="00402C99" w:rsidRDefault="009A745A" w:rsidP="00D5755E"/>
        </w:tc>
        <w:tc>
          <w:tcPr>
            <w:tcW w:w="0" w:type="auto"/>
            <w:tcBorders>
              <w:top w:val="nil"/>
            </w:tcBorders>
            <w:tcMar>
              <w:top w:w="150" w:type="dxa"/>
              <w:left w:w="240" w:type="dxa"/>
              <w:bottom w:w="150" w:type="dxa"/>
              <w:right w:w="240" w:type="dxa"/>
            </w:tcMar>
            <w:vAlign w:val="center"/>
          </w:tcPr>
          <w:p w14:paraId="5237299A" w14:textId="77777777" w:rsidR="009A745A" w:rsidRPr="00402C99" w:rsidRDefault="009A745A" w:rsidP="00D5755E"/>
        </w:tc>
      </w:tr>
      <w:tr w:rsidR="009A745A" w:rsidRPr="00402C99" w14:paraId="193E253A" w14:textId="77777777">
        <w:trPr>
          <w:gridAfter w:val="1"/>
        </w:trPr>
        <w:tc>
          <w:tcPr>
            <w:tcW w:w="0" w:type="auto"/>
            <w:tcMar>
              <w:top w:w="150" w:type="dxa"/>
              <w:left w:w="0" w:type="dxa"/>
              <w:bottom w:w="150" w:type="dxa"/>
              <w:right w:w="240" w:type="dxa"/>
            </w:tcMar>
            <w:vAlign w:val="center"/>
            <w:hideMark/>
          </w:tcPr>
          <w:p w14:paraId="5A007C8F" w14:textId="391B559F" w:rsidR="009A745A" w:rsidRPr="00402C99" w:rsidRDefault="009A745A" w:rsidP="00D5755E"/>
        </w:tc>
      </w:tr>
      <w:tr w:rsidR="00D5755E" w:rsidRPr="00402C99" w14:paraId="4E978376" w14:textId="77777777">
        <w:tc>
          <w:tcPr>
            <w:tcW w:w="0" w:type="auto"/>
            <w:tcMar>
              <w:top w:w="150" w:type="dxa"/>
              <w:left w:w="0" w:type="dxa"/>
              <w:bottom w:w="150" w:type="dxa"/>
              <w:right w:w="240" w:type="dxa"/>
            </w:tcMar>
            <w:vAlign w:val="center"/>
            <w:hideMark/>
          </w:tcPr>
          <w:p w14:paraId="0026E37D" w14:textId="77777777" w:rsidR="00D5755E" w:rsidRPr="00402C99" w:rsidRDefault="00D5755E" w:rsidP="00D5755E">
            <w:r w:rsidRPr="00402C99">
              <w:t>Learning rate</w:t>
            </w:r>
          </w:p>
        </w:tc>
        <w:tc>
          <w:tcPr>
            <w:tcW w:w="0" w:type="auto"/>
            <w:tcMar>
              <w:top w:w="150" w:type="dxa"/>
              <w:left w:w="240" w:type="dxa"/>
              <w:bottom w:w="150" w:type="dxa"/>
              <w:right w:w="0" w:type="dxa"/>
            </w:tcMar>
            <w:vAlign w:val="center"/>
            <w:hideMark/>
          </w:tcPr>
          <w:p w14:paraId="6EF1D579" w14:textId="77777777" w:rsidR="00D5755E" w:rsidRPr="00402C99" w:rsidRDefault="00D5755E" w:rsidP="00D5755E">
            <w:r w:rsidRPr="00402C99">
              <w:t>0.3</w:t>
            </w:r>
          </w:p>
        </w:tc>
      </w:tr>
      <w:tr w:rsidR="00D5755E" w:rsidRPr="00402C99" w14:paraId="74ACE91B" w14:textId="77777777">
        <w:tc>
          <w:tcPr>
            <w:tcW w:w="0" w:type="auto"/>
            <w:tcMar>
              <w:top w:w="150" w:type="dxa"/>
              <w:left w:w="0" w:type="dxa"/>
              <w:bottom w:w="150" w:type="dxa"/>
              <w:right w:w="240" w:type="dxa"/>
            </w:tcMar>
            <w:vAlign w:val="center"/>
            <w:hideMark/>
          </w:tcPr>
          <w:p w14:paraId="259B1B83" w14:textId="1A126E74" w:rsidR="00D5755E" w:rsidRPr="00402C99" w:rsidRDefault="00F409E0" w:rsidP="00D5755E">
            <w:proofErr w:type="spellStart"/>
            <w:r w:rsidRPr="00402C99">
              <w:t>s</w:t>
            </w:r>
            <w:r w:rsidR="00D5755E" w:rsidRPr="00402C99">
              <w:t>Max</w:t>
            </w:r>
            <w:proofErr w:type="spellEnd"/>
            <w:r w:rsidR="00D5755E" w:rsidRPr="00402C99">
              <w:t xml:space="preserve"> depth</w:t>
            </w:r>
          </w:p>
        </w:tc>
        <w:tc>
          <w:tcPr>
            <w:tcW w:w="0" w:type="auto"/>
            <w:tcMar>
              <w:top w:w="150" w:type="dxa"/>
              <w:left w:w="240" w:type="dxa"/>
              <w:bottom w:w="150" w:type="dxa"/>
              <w:right w:w="0" w:type="dxa"/>
            </w:tcMar>
            <w:vAlign w:val="center"/>
            <w:hideMark/>
          </w:tcPr>
          <w:p w14:paraId="4A7B3BAB" w14:textId="77777777" w:rsidR="00D5755E" w:rsidRPr="00402C99" w:rsidRDefault="00D5755E" w:rsidP="00D5755E">
            <w:r w:rsidRPr="00402C99">
              <w:t>6</w:t>
            </w:r>
          </w:p>
        </w:tc>
      </w:tr>
      <w:tr w:rsidR="00D5755E" w:rsidRPr="00402C99" w14:paraId="44E898CF" w14:textId="77777777">
        <w:tc>
          <w:tcPr>
            <w:tcW w:w="0" w:type="auto"/>
            <w:tcMar>
              <w:top w:w="150" w:type="dxa"/>
              <w:left w:w="0" w:type="dxa"/>
              <w:bottom w:w="150" w:type="dxa"/>
              <w:right w:w="240" w:type="dxa"/>
            </w:tcMar>
            <w:vAlign w:val="center"/>
            <w:hideMark/>
          </w:tcPr>
          <w:p w14:paraId="2877B6C8" w14:textId="77777777" w:rsidR="00D5755E" w:rsidRPr="00402C99" w:rsidRDefault="00D5755E" w:rsidP="00D5755E">
            <w:r w:rsidRPr="00402C99">
              <w:t>Min child weight</w:t>
            </w:r>
          </w:p>
        </w:tc>
        <w:tc>
          <w:tcPr>
            <w:tcW w:w="0" w:type="auto"/>
            <w:tcMar>
              <w:top w:w="150" w:type="dxa"/>
              <w:left w:w="240" w:type="dxa"/>
              <w:bottom w:w="150" w:type="dxa"/>
              <w:right w:w="0" w:type="dxa"/>
            </w:tcMar>
            <w:vAlign w:val="center"/>
            <w:hideMark/>
          </w:tcPr>
          <w:p w14:paraId="13ABE7CE" w14:textId="77777777" w:rsidR="00D5755E" w:rsidRPr="00402C99" w:rsidRDefault="00D5755E" w:rsidP="00D5755E">
            <w:r w:rsidRPr="00402C99">
              <w:t>1.0</w:t>
            </w:r>
          </w:p>
        </w:tc>
      </w:tr>
      <w:tr w:rsidR="00D5755E" w:rsidRPr="00402C99" w14:paraId="13F52895" w14:textId="77777777">
        <w:tc>
          <w:tcPr>
            <w:tcW w:w="0" w:type="auto"/>
            <w:tcMar>
              <w:top w:w="150" w:type="dxa"/>
              <w:left w:w="0" w:type="dxa"/>
              <w:bottom w:w="150" w:type="dxa"/>
              <w:right w:w="240" w:type="dxa"/>
            </w:tcMar>
            <w:vAlign w:val="center"/>
            <w:hideMark/>
          </w:tcPr>
          <w:p w14:paraId="2A3B2846" w14:textId="77777777" w:rsidR="00D5755E" w:rsidRPr="00402C99" w:rsidRDefault="00D5755E" w:rsidP="00D5755E">
            <w:r w:rsidRPr="00402C99">
              <w:t>Boosting rounds</w:t>
            </w:r>
          </w:p>
        </w:tc>
        <w:tc>
          <w:tcPr>
            <w:tcW w:w="0" w:type="auto"/>
            <w:tcMar>
              <w:top w:w="150" w:type="dxa"/>
              <w:left w:w="240" w:type="dxa"/>
              <w:bottom w:w="150" w:type="dxa"/>
              <w:right w:w="0" w:type="dxa"/>
            </w:tcMar>
            <w:vAlign w:val="center"/>
            <w:hideMark/>
          </w:tcPr>
          <w:p w14:paraId="3A84CE8F" w14:textId="77777777" w:rsidR="00D5755E" w:rsidRPr="00402C99" w:rsidRDefault="00D5755E" w:rsidP="00D5755E">
            <w:r w:rsidRPr="00402C99">
              <w:t>100</w:t>
            </w:r>
          </w:p>
        </w:tc>
      </w:tr>
      <w:tr w:rsidR="00D5755E" w:rsidRPr="00402C99" w14:paraId="19A7BDBF" w14:textId="77777777">
        <w:tc>
          <w:tcPr>
            <w:tcW w:w="0" w:type="auto"/>
            <w:tcMar>
              <w:top w:w="150" w:type="dxa"/>
              <w:left w:w="0" w:type="dxa"/>
              <w:bottom w:w="150" w:type="dxa"/>
              <w:right w:w="240" w:type="dxa"/>
            </w:tcMar>
            <w:vAlign w:val="center"/>
            <w:hideMark/>
          </w:tcPr>
          <w:p w14:paraId="3F228D6F" w14:textId="77777777" w:rsidR="00D5755E" w:rsidRPr="00402C99" w:rsidRDefault="00D5755E" w:rsidP="00D5755E">
            <w:r w:rsidRPr="00402C99">
              <w:t>Monotone constraints</w:t>
            </w:r>
          </w:p>
        </w:tc>
        <w:tc>
          <w:tcPr>
            <w:tcW w:w="0" w:type="auto"/>
            <w:tcMar>
              <w:top w:w="150" w:type="dxa"/>
              <w:left w:w="240" w:type="dxa"/>
              <w:bottom w:w="150" w:type="dxa"/>
              <w:right w:w="0" w:type="dxa"/>
            </w:tcMar>
            <w:vAlign w:val="center"/>
            <w:hideMark/>
          </w:tcPr>
          <w:p w14:paraId="2B98A2BC" w14:textId="77777777" w:rsidR="00D5755E" w:rsidRPr="00402C99" w:rsidRDefault="00D5755E" w:rsidP="00D5755E">
            <w:r w:rsidRPr="00402C99">
              <w:t>0</w:t>
            </w:r>
          </w:p>
        </w:tc>
      </w:tr>
    </w:tbl>
    <w:p w14:paraId="53270BBF" w14:textId="77777777" w:rsidR="00D5755E" w:rsidRPr="00402C99" w:rsidRDefault="00D5755E" w:rsidP="00D5755E">
      <w:r w:rsidRPr="00402C99">
        <w:t>The model was trained on 70% of the data (66,818 instances) and validated on 30% (28,636 instances). Additional testing was performed on four separate date-range datasets spanning different seasons to ensure generalizability.</w:t>
      </w:r>
    </w:p>
    <w:p w14:paraId="1BFA838B" w14:textId="77777777" w:rsidR="00D5755E" w:rsidRPr="00D5755E" w:rsidRDefault="00D5755E" w:rsidP="00D5755E">
      <w:pPr>
        <w:rPr>
          <w:b/>
          <w:bCs/>
        </w:rPr>
      </w:pPr>
      <w:r w:rsidRPr="00D5755E">
        <w:rPr>
          <w:b/>
          <w:bCs/>
        </w:rPr>
        <w:t>4. Experimental Results</w:t>
      </w:r>
    </w:p>
    <w:p w14:paraId="74952736" w14:textId="77777777" w:rsidR="00D5755E" w:rsidRPr="00D5755E" w:rsidRDefault="00D5755E" w:rsidP="00D5755E">
      <w:pPr>
        <w:rPr>
          <w:b/>
          <w:bCs/>
        </w:rPr>
      </w:pPr>
      <w:r w:rsidRPr="00D5755E">
        <w:rPr>
          <w:b/>
          <w:bCs/>
        </w:rPr>
        <w:t>4.1 Load Forecasting: Evidence for the Taxonomy</w:t>
      </w:r>
    </w:p>
    <w:p w14:paraId="190E39E8" w14:textId="77777777" w:rsidR="00D5755E" w:rsidRPr="00D5755E" w:rsidRDefault="00D5755E" w:rsidP="00D5755E">
      <w:pPr>
        <w:rPr>
          <w:b/>
          <w:bCs/>
        </w:rPr>
      </w:pPr>
      <w:r w:rsidRPr="00402C99">
        <w:t>The systematic review's meta-analysis confirmed that no single model dominates all scenarios. For long-term forecasts (61.54% of studies), regression models remain efficient and interpretable. For short-term operations (43.59%), ANN and SVM provide the necessary non-linear mapping of weather and occupancy variables. The taxonomy derived from these findings has been validated across 44 countries and multiple grid scales</w:t>
      </w:r>
      <w:r w:rsidRPr="00D5755E">
        <w:rPr>
          <w:b/>
          <w:bCs/>
        </w:rPr>
        <w:t>.</w:t>
      </w:r>
    </w:p>
    <w:p w14:paraId="51D0335A" w14:textId="77777777" w:rsidR="00D5755E" w:rsidRPr="00D5755E" w:rsidRDefault="00D5755E" w:rsidP="00D5755E">
      <w:pPr>
        <w:rPr>
          <w:b/>
          <w:bCs/>
        </w:rPr>
      </w:pPr>
      <w:r w:rsidRPr="00D5755E">
        <w:rPr>
          <w:b/>
          <w:bCs/>
        </w:rPr>
        <w:t>4.2 Outage Duration Prediction Performance</w:t>
      </w:r>
    </w:p>
    <w:p w14:paraId="3B4ED4C5" w14:textId="77777777" w:rsidR="00D5755E" w:rsidRPr="00D5755E" w:rsidRDefault="00D5755E" w:rsidP="00D5755E">
      <w:pPr>
        <w:rPr>
          <w:b/>
          <w:bCs/>
        </w:rPr>
      </w:pPr>
      <w:r w:rsidRPr="00D5755E">
        <w:rPr>
          <w:b/>
          <w:bCs/>
        </w:rPr>
        <w:t>4.2.1 Model Comparison</w:t>
      </w:r>
      <w:r w:rsidRPr="00D5755E">
        <w:rPr>
          <w:b/>
          <w:bCs/>
        </w:rPr>
        <w:br/>
        <w:t>Table 1 presents the performance of four ML algorithms on the 30% holdout set.</w:t>
      </w:r>
    </w:p>
    <w:p w14:paraId="5A455192" w14:textId="77777777" w:rsidR="00D5755E" w:rsidRPr="00D5755E" w:rsidRDefault="00D5755E" w:rsidP="00D5755E">
      <w:pPr>
        <w:rPr>
          <w:b/>
          <w:bCs/>
        </w:rPr>
      </w:pPr>
      <w:r w:rsidRPr="00D5755E">
        <w:rPr>
          <w:b/>
          <w:bCs/>
        </w:rPr>
        <w:t>Table 1. Accuracy Comparison of Classification Models</w:t>
      </w:r>
    </w:p>
    <w:tbl>
      <w:tblPr>
        <w:tblW w:w="11280" w:type="dxa"/>
        <w:tblCellMar>
          <w:top w:w="15" w:type="dxa"/>
          <w:left w:w="15" w:type="dxa"/>
          <w:bottom w:w="15" w:type="dxa"/>
          <w:right w:w="15" w:type="dxa"/>
        </w:tblCellMar>
        <w:tblLook w:val="04A0" w:firstRow="1" w:lastRow="0" w:firstColumn="1" w:lastColumn="0" w:noHBand="0" w:noVBand="1"/>
      </w:tblPr>
      <w:tblGrid>
        <w:gridCol w:w="7697"/>
        <w:gridCol w:w="3583"/>
      </w:tblGrid>
      <w:tr w:rsidR="00D5755E" w:rsidRPr="00D5755E" w14:paraId="0CF6DC60" w14:textId="77777777">
        <w:trPr>
          <w:tblHeader/>
        </w:trPr>
        <w:tc>
          <w:tcPr>
            <w:tcW w:w="0" w:type="auto"/>
            <w:tcBorders>
              <w:top w:val="nil"/>
            </w:tcBorders>
            <w:tcMar>
              <w:top w:w="150" w:type="dxa"/>
              <w:left w:w="0" w:type="dxa"/>
              <w:bottom w:w="150" w:type="dxa"/>
              <w:right w:w="240" w:type="dxa"/>
            </w:tcMar>
            <w:vAlign w:val="center"/>
            <w:hideMark/>
          </w:tcPr>
          <w:p w14:paraId="30573D3C" w14:textId="77777777" w:rsidR="00D5755E" w:rsidRPr="00D5755E" w:rsidRDefault="00D5755E" w:rsidP="00D5755E">
            <w:pPr>
              <w:rPr>
                <w:b/>
                <w:bCs/>
              </w:rPr>
            </w:pPr>
            <w:r w:rsidRPr="00D5755E">
              <w:rPr>
                <w:b/>
                <w:bCs/>
              </w:rPr>
              <w:t>Model</w:t>
            </w:r>
          </w:p>
        </w:tc>
        <w:tc>
          <w:tcPr>
            <w:tcW w:w="0" w:type="auto"/>
            <w:tcBorders>
              <w:top w:val="nil"/>
            </w:tcBorders>
            <w:tcMar>
              <w:top w:w="150" w:type="dxa"/>
              <w:left w:w="240" w:type="dxa"/>
              <w:bottom w:w="150" w:type="dxa"/>
              <w:right w:w="240" w:type="dxa"/>
            </w:tcMar>
            <w:vAlign w:val="center"/>
            <w:hideMark/>
          </w:tcPr>
          <w:p w14:paraId="1DD4EF8E" w14:textId="77777777" w:rsidR="00D5755E" w:rsidRPr="00D5755E" w:rsidRDefault="00D5755E" w:rsidP="00D5755E">
            <w:pPr>
              <w:rPr>
                <w:b/>
                <w:bCs/>
              </w:rPr>
            </w:pPr>
            <w:r w:rsidRPr="00D5755E">
              <w:rPr>
                <w:b/>
                <w:bCs/>
              </w:rPr>
              <w:t>Accuracy</w:t>
            </w:r>
          </w:p>
        </w:tc>
      </w:tr>
      <w:tr w:rsidR="00D5755E" w:rsidRPr="00D5755E" w14:paraId="751B98A3" w14:textId="77777777">
        <w:tc>
          <w:tcPr>
            <w:tcW w:w="0" w:type="auto"/>
            <w:tcMar>
              <w:top w:w="150" w:type="dxa"/>
              <w:left w:w="0" w:type="dxa"/>
              <w:bottom w:w="150" w:type="dxa"/>
              <w:right w:w="240" w:type="dxa"/>
            </w:tcMar>
            <w:vAlign w:val="center"/>
            <w:hideMark/>
          </w:tcPr>
          <w:p w14:paraId="757114C8" w14:textId="77777777" w:rsidR="00D5755E" w:rsidRPr="00D5755E" w:rsidRDefault="00D5755E" w:rsidP="00D5755E">
            <w:pPr>
              <w:rPr>
                <w:b/>
                <w:bCs/>
              </w:rPr>
            </w:pPr>
            <w:proofErr w:type="spellStart"/>
            <w:r w:rsidRPr="00D5755E">
              <w:rPr>
                <w:b/>
                <w:bCs/>
              </w:rPr>
              <w:t>XGBoost</w:t>
            </w:r>
            <w:proofErr w:type="spellEnd"/>
            <w:r w:rsidRPr="00D5755E">
              <w:rPr>
                <w:b/>
                <w:bCs/>
              </w:rPr>
              <w:t xml:space="preserve"> + MRMR</w:t>
            </w:r>
          </w:p>
        </w:tc>
        <w:tc>
          <w:tcPr>
            <w:tcW w:w="0" w:type="auto"/>
            <w:tcMar>
              <w:top w:w="150" w:type="dxa"/>
              <w:left w:w="240" w:type="dxa"/>
              <w:bottom w:w="150" w:type="dxa"/>
              <w:right w:w="0" w:type="dxa"/>
            </w:tcMar>
            <w:vAlign w:val="center"/>
            <w:hideMark/>
          </w:tcPr>
          <w:p w14:paraId="0E37288E" w14:textId="77777777" w:rsidR="00D5755E" w:rsidRPr="00D5755E" w:rsidRDefault="00D5755E" w:rsidP="00D5755E">
            <w:pPr>
              <w:rPr>
                <w:b/>
                <w:bCs/>
              </w:rPr>
            </w:pPr>
            <w:r w:rsidRPr="00D5755E">
              <w:rPr>
                <w:b/>
                <w:bCs/>
              </w:rPr>
              <w:t>98.433%</w:t>
            </w:r>
          </w:p>
        </w:tc>
      </w:tr>
      <w:tr w:rsidR="00D5755E" w:rsidRPr="00D5755E" w14:paraId="1A2B450E" w14:textId="77777777">
        <w:tc>
          <w:tcPr>
            <w:tcW w:w="0" w:type="auto"/>
            <w:tcMar>
              <w:top w:w="150" w:type="dxa"/>
              <w:left w:w="0" w:type="dxa"/>
              <w:bottom w:w="150" w:type="dxa"/>
              <w:right w:w="240" w:type="dxa"/>
            </w:tcMar>
            <w:vAlign w:val="center"/>
            <w:hideMark/>
          </w:tcPr>
          <w:p w14:paraId="3EBBA93D" w14:textId="77777777" w:rsidR="00D5755E" w:rsidRPr="00D5755E" w:rsidRDefault="00D5755E" w:rsidP="00D5755E">
            <w:pPr>
              <w:rPr>
                <w:b/>
                <w:bCs/>
              </w:rPr>
            </w:pPr>
            <w:r w:rsidRPr="00D5755E">
              <w:rPr>
                <w:b/>
                <w:bCs/>
              </w:rPr>
              <w:lastRenderedPageBreak/>
              <w:t>Decision Tree (DT)</w:t>
            </w:r>
          </w:p>
        </w:tc>
        <w:tc>
          <w:tcPr>
            <w:tcW w:w="0" w:type="auto"/>
            <w:tcMar>
              <w:top w:w="150" w:type="dxa"/>
              <w:left w:w="240" w:type="dxa"/>
              <w:bottom w:w="150" w:type="dxa"/>
              <w:right w:w="0" w:type="dxa"/>
            </w:tcMar>
            <w:vAlign w:val="center"/>
            <w:hideMark/>
          </w:tcPr>
          <w:p w14:paraId="40586519" w14:textId="77777777" w:rsidR="00D5755E" w:rsidRPr="00D5755E" w:rsidRDefault="00D5755E" w:rsidP="00D5755E">
            <w:pPr>
              <w:rPr>
                <w:b/>
                <w:bCs/>
              </w:rPr>
            </w:pPr>
            <w:r w:rsidRPr="00D5755E">
              <w:rPr>
                <w:b/>
                <w:bCs/>
              </w:rPr>
              <w:t>95.620%</w:t>
            </w:r>
          </w:p>
        </w:tc>
      </w:tr>
      <w:tr w:rsidR="00D5755E" w:rsidRPr="00D5755E" w14:paraId="51E9B007" w14:textId="77777777">
        <w:tc>
          <w:tcPr>
            <w:tcW w:w="0" w:type="auto"/>
            <w:tcMar>
              <w:top w:w="150" w:type="dxa"/>
              <w:left w:w="0" w:type="dxa"/>
              <w:bottom w:w="150" w:type="dxa"/>
              <w:right w:w="240" w:type="dxa"/>
            </w:tcMar>
            <w:vAlign w:val="center"/>
            <w:hideMark/>
          </w:tcPr>
          <w:p w14:paraId="0904DCD1" w14:textId="77777777" w:rsidR="00D5755E" w:rsidRPr="00D5755E" w:rsidRDefault="00D5755E" w:rsidP="00D5755E">
            <w:pPr>
              <w:rPr>
                <w:b/>
                <w:bCs/>
              </w:rPr>
            </w:pPr>
            <w:r w:rsidRPr="00D5755E">
              <w:rPr>
                <w:b/>
                <w:bCs/>
              </w:rPr>
              <w:t>Random Forest (RF)</w:t>
            </w:r>
          </w:p>
        </w:tc>
        <w:tc>
          <w:tcPr>
            <w:tcW w:w="0" w:type="auto"/>
            <w:tcMar>
              <w:top w:w="150" w:type="dxa"/>
              <w:left w:w="240" w:type="dxa"/>
              <w:bottom w:w="150" w:type="dxa"/>
              <w:right w:w="0" w:type="dxa"/>
            </w:tcMar>
            <w:vAlign w:val="center"/>
            <w:hideMark/>
          </w:tcPr>
          <w:p w14:paraId="1A97F048" w14:textId="77777777" w:rsidR="00D5755E" w:rsidRPr="00D5755E" w:rsidRDefault="00D5755E" w:rsidP="00D5755E">
            <w:pPr>
              <w:rPr>
                <w:b/>
                <w:bCs/>
              </w:rPr>
            </w:pPr>
            <w:r w:rsidRPr="00D5755E">
              <w:rPr>
                <w:b/>
                <w:bCs/>
              </w:rPr>
              <w:t>81.452%</w:t>
            </w:r>
          </w:p>
        </w:tc>
      </w:tr>
      <w:tr w:rsidR="00D5755E" w:rsidRPr="00D5755E" w14:paraId="1D743641" w14:textId="77777777">
        <w:tc>
          <w:tcPr>
            <w:tcW w:w="0" w:type="auto"/>
            <w:tcMar>
              <w:top w:w="150" w:type="dxa"/>
              <w:left w:w="0" w:type="dxa"/>
              <w:bottom w:w="150" w:type="dxa"/>
              <w:right w:w="240" w:type="dxa"/>
            </w:tcMar>
            <w:vAlign w:val="center"/>
            <w:hideMark/>
          </w:tcPr>
          <w:p w14:paraId="0D12ED63" w14:textId="77777777" w:rsidR="00D5755E" w:rsidRPr="00D5755E" w:rsidRDefault="00D5755E" w:rsidP="00D5755E">
            <w:pPr>
              <w:rPr>
                <w:b/>
                <w:bCs/>
              </w:rPr>
            </w:pPr>
            <w:r w:rsidRPr="00D5755E">
              <w:rPr>
                <w:b/>
                <w:bCs/>
              </w:rPr>
              <w:t xml:space="preserve">K-Nearest </w:t>
            </w:r>
            <w:proofErr w:type="spellStart"/>
            <w:r w:rsidRPr="00D5755E">
              <w:rPr>
                <w:b/>
                <w:bCs/>
              </w:rPr>
              <w:t>Neighbors</w:t>
            </w:r>
            <w:proofErr w:type="spellEnd"/>
            <w:r w:rsidRPr="00D5755E">
              <w:rPr>
                <w:b/>
                <w:bCs/>
              </w:rPr>
              <w:t xml:space="preserve"> (KNN)</w:t>
            </w:r>
          </w:p>
        </w:tc>
        <w:tc>
          <w:tcPr>
            <w:tcW w:w="0" w:type="auto"/>
            <w:tcMar>
              <w:top w:w="150" w:type="dxa"/>
              <w:left w:w="240" w:type="dxa"/>
              <w:bottom w:w="150" w:type="dxa"/>
              <w:right w:w="0" w:type="dxa"/>
            </w:tcMar>
            <w:vAlign w:val="center"/>
            <w:hideMark/>
          </w:tcPr>
          <w:p w14:paraId="2A29B792" w14:textId="77777777" w:rsidR="00D5755E" w:rsidRPr="00D5755E" w:rsidRDefault="00D5755E" w:rsidP="00D5755E">
            <w:pPr>
              <w:rPr>
                <w:b/>
                <w:bCs/>
              </w:rPr>
            </w:pPr>
            <w:r w:rsidRPr="00D5755E">
              <w:rPr>
                <w:b/>
                <w:bCs/>
              </w:rPr>
              <w:t>67.256%</w:t>
            </w:r>
          </w:p>
        </w:tc>
      </w:tr>
    </w:tbl>
    <w:p w14:paraId="0E5229C4" w14:textId="77777777" w:rsidR="00D5755E" w:rsidRPr="00D5755E" w:rsidRDefault="00D5755E" w:rsidP="00D5755E">
      <w:pPr>
        <w:rPr>
          <w:b/>
          <w:bCs/>
        </w:rPr>
      </w:pPr>
      <w:r w:rsidRPr="00D5755E">
        <w:rPr>
          <w:b/>
          <w:bCs/>
        </w:rPr>
        <w:t xml:space="preserve">4.2.2 Detailed Metrics for </w:t>
      </w:r>
      <w:proofErr w:type="spellStart"/>
      <w:r w:rsidRPr="00D5755E">
        <w:rPr>
          <w:b/>
          <w:bCs/>
        </w:rPr>
        <w:t>XGBoost</w:t>
      </w:r>
      <w:proofErr w:type="spellEnd"/>
      <w:r w:rsidRPr="00D5755E">
        <w:rPr>
          <w:b/>
          <w:bCs/>
        </w:rPr>
        <w:br/>
      </w:r>
      <w:r w:rsidRPr="00D705A9">
        <w:t xml:space="preserve">Table 2 provides class-wise precision, recall, and F1-score for the </w:t>
      </w:r>
      <w:proofErr w:type="spellStart"/>
      <w:r w:rsidRPr="00D705A9">
        <w:t>XGBoost</w:t>
      </w:r>
      <w:proofErr w:type="spellEnd"/>
      <w:r w:rsidRPr="00D705A9">
        <w:t xml:space="preserve"> model.</w:t>
      </w:r>
    </w:p>
    <w:p w14:paraId="011908FE" w14:textId="77777777" w:rsidR="00D5755E" w:rsidRPr="00D5755E" w:rsidRDefault="00D5755E" w:rsidP="00D5755E">
      <w:pPr>
        <w:rPr>
          <w:b/>
          <w:bCs/>
        </w:rPr>
      </w:pPr>
      <w:r w:rsidRPr="00D5755E">
        <w:rPr>
          <w:b/>
          <w:bCs/>
        </w:rPr>
        <w:t xml:space="preserve">Table 2. </w:t>
      </w:r>
      <w:proofErr w:type="spellStart"/>
      <w:r w:rsidRPr="00D5755E">
        <w:rPr>
          <w:b/>
          <w:bCs/>
        </w:rPr>
        <w:t>XGBoost</w:t>
      </w:r>
      <w:proofErr w:type="spellEnd"/>
      <w:r w:rsidRPr="00D5755E">
        <w:rPr>
          <w:b/>
          <w:bCs/>
        </w:rPr>
        <w:t xml:space="preserve"> Classification Report</w:t>
      </w:r>
    </w:p>
    <w:tbl>
      <w:tblPr>
        <w:tblW w:w="0" w:type="auto"/>
        <w:tblCellMar>
          <w:top w:w="15" w:type="dxa"/>
          <w:left w:w="15" w:type="dxa"/>
          <w:bottom w:w="15" w:type="dxa"/>
          <w:right w:w="15" w:type="dxa"/>
        </w:tblCellMar>
        <w:tblLook w:val="04A0" w:firstRow="1" w:lastRow="0" w:firstColumn="1" w:lastColumn="0" w:noHBand="0" w:noVBand="1"/>
      </w:tblPr>
      <w:tblGrid>
        <w:gridCol w:w="1632"/>
        <w:gridCol w:w="1363"/>
        <w:gridCol w:w="1199"/>
        <w:gridCol w:w="1322"/>
        <w:gridCol w:w="1260"/>
      </w:tblGrid>
      <w:tr w:rsidR="00D5755E" w:rsidRPr="00402C99" w14:paraId="6E3BEAF0" w14:textId="77777777">
        <w:trPr>
          <w:tblHeader/>
        </w:trPr>
        <w:tc>
          <w:tcPr>
            <w:tcW w:w="0" w:type="auto"/>
            <w:tcBorders>
              <w:top w:val="nil"/>
            </w:tcBorders>
            <w:tcMar>
              <w:top w:w="150" w:type="dxa"/>
              <w:left w:w="0" w:type="dxa"/>
              <w:bottom w:w="150" w:type="dxa"/>
              <w:right w:w="240" w:type="dxa"/>
            </w:tcMar>
            <w:vAlign w:val="center"/>
            <w:hideMark/>
          </w:tcPr>
          <w:p w14:paraId="387AA202" w14:textId="77777777" w:rsidR="00D5755E" w:rsidRPr="00402C99" w:rsidRDefault="00D5755E" w:rsidP="00D5755E">
            <w:r w:rsidRPr="00402C99">
              <w:t>Duration Class</w:t>
            </w:r>
          </w:p>
        </w:tc>
        <w:tc>
          <w:tcPr>
            <w:tcW w:w="0" w:type="auto"/>
            <w:tcBorders>
              <w:top w:val="nil"/>
            </w:tcBorders>
            <w:tcMar>
              <w:top w:w="150" w:type="dxa"/>
              <w:left w:w="240" w:type="dxa"/>
              <w:bottom w:w="150" w:type="dxa"/>
              <w:right w:w="240" w:type="dxa"/>
            </w:tcMar>
            <w:vAlign w:val="center"/>
            <w:hideMark/>
          </w:tcPr>
          <w:p w14:paraId="53A6073C" w14:textId="77777777" w:rsidR="00D5755E" w:rsidRPr="00402C99" w:rsidRDefault="00D5755E" w:rsidP="00D5755E">
            <w:r w:rsidRPr="00402C99">
              <w:t>Precision</w:t>
            </w:r>
          </w:p>
        </w:tc>
        <w:tc>
          <w:tcPr>
            <w:tcW w:w="0" w:type="auto"/>
            <w:tcBorders>
              <w:top w:val="nil"/>
            </w:tcBorders>
            <w:tcMar>
              <w:top w:w="150" w:type="dxa"/>
              <w:left w:w="240" w:type="dxa"/>
              <w:bottom w:w="150" w:type="dxa"/>
              <w:right w:w="240" w:type="dxa"/>
            </w:tcMar>
            <w:vAlign w:val="center"/>
            <w:hideMark/>
          </w:tcPr>
          <w:p w14:paraId="23706C4E" w14:textId="77777777" w:rsidR="00D5755E" w:rsidRPr="00402C99" w:rsidRDefault="00D5755E" w:rsidP="00D5755E">
            <w:r w:rsidRPr="00402C99">
              <w:t>Recall</w:t>
            </w:r>
          </w:p>
        </w:tc>
        <w:tc>
          <w:tcPr>
            <w:tcW w:w="0" w:type="auto"/>
            <w:tcBorders>
              <w:top w:val="nil"/>
            </w:tcBorders>
            <w:tcMar>
              <w:top w:w="150" w:type="dxa"/>
              <w:left w:w="240" w:type="dxa"/>
              <w:bottom w:w="150" w:type="dxa"/>
              <w:right w:w="240" w:type="dxa"/>
            </w:tcMar>
            <w:vAlign w:val="center"/>
            <w:hideMark/>
          </w:tcPr>
          <w:p w14:paraId="2AF7A835" w14:textId="77777777" w:rsidR="00D5755E" w:rsidRPr="00402C99" w:rsidRDefault="00D5755E" w:rsidP="00D5755E">
            <w:r w:rsidRPr="00402C99">
              <w:t>F1-Score</w:t>
            </w:r>
          </w:p>
        </w:tc>
        <w:tc>
          <w:tcPr>
            <w:tcW w:w="0" w:type="auto"/>
            <w:tcBorders>
              <w:top w:val="nil"/>
            </w:tcBorders>
            <w:tcMar>
              <w:top w:w="150" w:type="dxa"/>
              <w:left w:w="240" w:type="dxa"/>
              <w:bottom w:w="150" w:type="dxa"/>
              <w:right w:w="240" w:type="dxa"/>
            </w:tcMar>
            <w:vAlign w:val="center"/>
            <w:hideMark/>
          </w:tcPr>
          <w:p w14:paraId="79FCB1BF" w14:textId="77777777" w:rsidR="00D5755E" w:rsidRPr="00402C99" w:rsidRDefault="00D5755E" w:rsidP="00D5755E">
            <w:r w:rsidRPr="00402C99">
              <w:t>Support</w:t>
            </w:r>
          </w:p>
        </w:tc>
      </w:tr>
      <w:tr w:rsidR="00D5755E" w:rsidRPr="00402C99" w14:paraId="199969DF" w14:textId="77777777">
        <w:tc>
          <w:tcPr>
            <w:tcW w:w="0" w:type="auto"/>
            <w:tcMar>
              <w:top w:w="150" w:type="dxa"/>
              <w:left w:w="0" w:type="dxa"/>
              <w:bottom w:w="150" w:type="dxa"/>
              <w:right w:w="240" w:type="dxa"/>
            </w:tcMar>
            <w:vAlign w:val="center"/>
            <w:hideMark/>
          </w:tcPr>
          <w:p w14:paraId="0BB0F173" w14:textId="77777777" w:rsidR="00D5755E" w:rsidRPr="00402C99" w:rsidRDefault="00D5755E" w:rsidP="00D5755E">
            <w:r w:rsidRPr="00402C99">
              <w:t>Very Short</w:t>
            </w:r>
          </w:p>
        </w:tc>
        <w:tc>
          <w:tcPr>
            <w:tcW w:w="0" w:type="auto"/>
            <w:tcMar>
              <w:top w:w="150" w:type="dxa"/>
              <w:left w:w="240" w:type="dxa"/>
              <w:bottom w:w="150" w:type="dxa"/>
              <w:right w:w="240" w:type="dxa"/>
            </w:tcMar>
            <w:vAlign w:val="center"/>
            <w:hideMark/>
          </w:tcPr>
          <w:p w14:paraId="1E2B90C9" w14:textId="77777777" w:rsidR="00D5755E" w:rsidRPr="00402C99" w:rsidRDefault="00D5755E" w:rsidP="00D5755E">
            <w:r w:rsidRPr="00402C99">
              <w:t>99.38%</w:t>
            </w:r>
          </w:p>
        </w:tc>
        <w:tc>
          <w:tcPr>
            <w:tcW w:w="0" w:type="auto"/>
            <w:tcMar>
              <w:top w:w="150" w:type="dxa"/>
              <w:left w:w="240" w:type="dxa"/>
              <w:bottom w:w="150" w:type="dxa"/>
              <w:right w:w="240" w:type="dxa"/>
            </w:tcMar>
            <w:vAlign w:val="center"/>
            <w:hideMark/>
          </w:tcPr>
          <w:p w14:paraId="085E37DB" w14:textId="77777777" w:rsidR="00D5755E" w:rsidRPr="00402C99" w:rsidRDefault="00D5755E" w:rsidP="00D5755E">
            <w:r w:rsidRPr="00402C99">
              <w:t>98.58%</w:t>
            </w:r>
          </w:p>
        </w:tc>
        <w:tc>
          <w:tcPr>
            <w:tcW w:w="0" w:type="auto"/>
            <w:tcMar>
              <w:top w:w="150" w:type="dxa"/>
              <w:left w:w="240" w:type="dxa"/>
              <w:bottom w:w="150" w:type="dxa"/>
              <w:right w:w="240" w:type="dxa"/>
            </w:tcMar>
            <w:vAlign w:val="center"/>
            <w:hideMark/>
          </w:tcPr>
          <w:p w14:paraId="21916EF4" w14:textId="77777777" w:rsidR="00D5755E" w:rsidRPr="00402C99" w:rsidRDefault="00D5755E" w:rsidP="00D5755E">
            <w:r w:rsidRPr="00402C99">
              <w:t>98.98%</w:t>
            </w:r>
          </w:p>
        </w:tc>
        <w:tc>
          <w:tcPr>
            <w:tcW w:w="0" w:type="auto"/>
            <w:tcMar>
              <w:top w:w="150" w:type="dxa"/>
              <w:left w:w="240" w:type="dxa"/>
              <w:bottom w:w="150" w:type="dxa"/>
              <w:right w:w="0" w:type="dxa"/>
            </w:tcMar>
            <w:vAlign w:val="center"/>
            <w:hideMark/>
          </w:tcPr>
          <w:p w14:paraId="635A486D" w14:textId="77777777" w:rsidR="00D5755E" w:rsidRPr="00402C99" w:rsidRDefault="00D5755E" w:rsidP="00D5755E">
            <w:r w:rsidRPr="00402C99">
              <w:t>8,601</w:t>
            </w:r>
          </w:p>
        </w:tc>
      </w:tr>
      <w:tr w:rsidR="00D5755E" w:rsidRPr="00402C99" w14:paraId="35F8382E" w14:textId="77777777">
        <w:tc>
          <w:tcPr>
            <w:tcW w:w="0" w:type="auto"/>
            <w:tcMar>
              <w:top w:w="150" w:type="dxa"/>
              <w:left w:w="0" w:type="dxa"/>
              <w:bottom w:w="150" w:type="dxa"/>
              <w:right w:w="240" w:type="dxa"/>
            </w:tcMar>
            <w:vAlign w:val="center"/>
            <w:hideMark/>
          </w:tcPr>
          <w:p w14:paraId="2D7F558C" w14:textId="77777777" w:rsidR="00D5755E" w:rsidRPr="00402C99" w:rsidRDefault="00D5755E" w:rsidP="00D5755E">
            <w:r w:rsidRPr="00402C99">
              <w:t>Short</w:t>
            </w:r>
          </w:p>
        </w:tc>
        <w:tc>
          <w:tcPr>
            <w:tcW w:w="0" w:type="auto"/>
            <w:tcMar>
              <w:top w:w="150" w:type="dxa"/>
              <w:left w:w="240" w:type="dxa"/>
              <w:bottom w:w="150" w:type="dxa"/>
              <w:right w:w="240" w:type="dxa"/>
            </w:tcMar>
            <w:vAlign w:val="center"/>
            <w:hideMark/>
          </w:tcPr>
          <w:p w14:paraId="0901A4EB" w14:textId="77777777" w:rsidR="00D5755E" w:rsidRPr="00402C99" w:rsidRDefault="00D5755E" w:rsidP="00D5755E">
            <w:r w:rsidRPr="00402C99">
              <w:t>97.56%</w:t>
            </w:r>
          </w:p>
        </w:tc>
        <w:tc>
          <w:tcPr>
            <w:tcW w:w="0" w:type="auto"/>
            <w:tcMar>
              <w:top w:w="150" w:type="dxa"/>
              <w:left w:w="240" w:type="dxa"/>
              <w:bottom w:w="150" w:type="dxa"/>
              <w:right w:w="240" w:type="dxa"/>
            </w:tcMar>
            <w:vAlign w:val="center"/>
            <w:hideMark/>
          </w:tcPr>
          <w:p w14:paraId="1F2082AC" w14:textId="77777777" w:rsidR="00D5755E" w:rsidRPr="00402C99" w:rsidRDefault="00D5755E" w:rsidP="00D5755E">
            <w:r w:rsidRPr="00402C99">
              <w:t>98.30%</w:t>
            </w:r>
          </w:p>
        </w:tc>
        <w:tc>
          <w:tcPr>
            <w:tcW w:w="0" w:type="auto"/>
            <w:tcMar>
              <w:top w:w="150" w:type="dxa"/>
              <w:left w:w="240" w:type="dxa"/>
              <w:bottom w:w="150" w:type="dxa"/>
              <w:right w:w="240" w:type="dxa"/>
            </w:tcMar>
            <w:vAlign w:val="center"/>
            <w:hideMark/>
          </w:tcPr>
          <w:p w14:paraId="3D41B5E9" w14:textId="77777777" w:rsidR="00D5755E" w:rsidRPr="00402C99" w:rsidRDefault="00D5755E" w:rsidP="00D5755E">
            <w:r w:rsidRPr="00402C99">
              <w:t>97.92%</w:t>
            </w:r>
          </w:p>
        </w:tc>
        <w:tc>
          <w:tcPr>
            <w:tcW w:w="0" w:type="auto"/>
            <w:tcMar>
              <w:top w:w="150" w:type="dxa"/>
              <w:left w:w="240" w:type="dxa"/>
              <w:bottom w:w="150" w:type="dxa"/>
              <w:right w:w="0" w:type="dxa"/>
            </w:tcMar>
            <w:vAlign w:val="center"/>
            <w:hideMark/>
          </w:tcPr>
          <w:p w14:paraId="1CEC72AE" w14:textId="77777777" w:rsidR="00D5755E" w:rsidRPr="00402C99" w:rsidRDefault="00D5755E" w:rsidP="00D5755E">
            <w:r w:rsidRPr="00402C99">
              <w:t>7,916</w:t>
            </w:r>
          </w:p>
        </w:tc>
      </w:tr>
      <w:tr w:rsidR="00D5755E" w:rsidRPr="00402C99" w14:paraId="382CB8C0" w14:textId="77777777">
        <w:tc>
          <w:tcPr>
            <w:tcW w:w="0" w:type="auto"/>
            <w:tcMar>
              <w:top w:w="150" w:type="dxa"/>
              <w:left w:w="0" w:type="dxa"/>
              <w:bottom w:w="150" w:type="dxa"/>
              <w:right w:w="240" w:type="dxa"/>
            </w:tcMar>
            <w:vAlign w:val="center"/>
            <w:hideMark/>
          </w:tcPr>
          <w:p w14:paraId="0E9014AE" w14:textId="77777777" w:rsidR="00D5755E" w:rsidRPr="00402C99" w:rsidRDefault="00D5755E" w:rsidP="00D5755E">
            <w:r w:rsidRPr="00402C99">
              <w:t>Medium</w:t>
            </w:r>
          </w:p>
        </w:tc>
        <w:tc>
          <w:tcPr>
            <w:tcW w:w="0" w:type="auto"/>
            <w:tcMar>
              <w:top w:w="150" w:type="dxa"/>
              <w:left w:w="240" w:type="dxa"/>
              <w:bottom w:w="150" w:type="dxa"/>
              <w:right w:w="240" w:type="dxa"/>
            </w:tcMar>
            <w:vAlign w:val="center"/>
            <w:hideMark/>
          </w:tcPr>
          <w:p w14:paraId="48761421" w14:textId="77777777" w:rsidR="00D5755E" w:rsidRPr="00402C99" w:rsidRDefault="00D5755E" w:rsidP="00D5755E">
            <w:r w:rsidRPr="00402C99">
              <w:t>97.79%</w:t>
            </w:r>
          </w:p>
        </w:tc>
        <w:tc>
          <w:tcPr>
            <w:tcW w:w="0" w:type="auto"/>
            <w:tcMar>
              <w:top w:w="150" w:type="dxa"/>
              <w:left w:w="240" w:type="dxa"/>
              <w:bottom w:w="150" w:type="dxa"/>
              <w:right w:w="240" w:type="dxa"/>
            </w:tcMar>
            <w:vAlign w:val="center"/>
            <w:hideMark/>
          </w:tcPr>
          <w:p w14:paraId="74EF0350" w14:textId="77777777" w:rsidR="00D5755E" w:rsidRPr="00402C99" w:rsidRDefault="00D5755E" w:rsidP="00D5755E">
            <w:r w:rsidRPr="00402C99">
              <w:t>98.35%</w:t>
            </w:r>
          </w:p>
        </w:tc>
        <w:tc>
          <w:tcPr>
            <w:tcW w:w="0" w:type="auto"/>
            <w:tcMar>
              <w:top w:w="150" w:type="dxa"/>
              <w:left w:w="240" w:type="dxa"/>
              <w:bottom w:w="150" w:type="dxa"/>
              <w:right w:w="240" w:type="dxa"/>
            </w:tcMar>
            <w:vAlign w:val="center"/>
            <w:hideMark/>
          </w:tcPr>
          <w:p w14:paraId="105EFF4A" w14:textId="77777777" w:rsidR="00D5755E" w:rsidRPr="00402C99" w:rsidRDefault="00D5755E" w:rsidP="00D5755E">
            <w:r w:rsidRPr="00402C99">
              <w:t>98.07%</w:t>
            </w:r>
          </w:p>
        </w:tc>
        <w:tc>
          <w:tcPr>
            <w:tcW w:w="0" w:type="auto"/>
            <w:tcMar>
              <w:top w:w="150" w:type="dxa"/>
              <w:left w:w="240" w:type="dxa"/>
              <w:bottom w:w="150" w:type="dxa"/>
              <w:right w:w="0" w:type="dxa"/>
            </w:tcMar>
            <w:vAlign w:val="center"/>
            <w:hideMark/>
          </w:tcPr>
          <w:p w14:paraId="27746AAA" w14:textId="77777777" w:rsidR="00D5755E" w:rsidRPr="00402C99" w:rsidRDefault="00D5755E" w:rsidP="00D5755E">
            <w:r w:rsidRPr="00402C99">
              <w:t>6,974</w:t>
            </w:r>
          </w:p>
        </w:tc>
      </w:tr>
      <w:tr w:rsidR="00D5755E" w:rsidRPr="00402C99" w14:paraId="600838B8" w14:textId="77777777">
        <w:tc>
          <w:tcPr>
            <w:tcW w:w="0" w:type="auto"/>
            <w:tcMar>
              <w:top w:w="150" w:type="dxa"/>
              <w:left w:w="0" w:type="dxa"/>
              <w:bottom w:w="150" w:type="dxa"/>
              <w:right w:w="240" w:type="dxa"/>
            </w:tcMar>
            <w:vAlign w:val="center"/>
            <w:hideMark/>
          </w:tcPr>
          <w:p w14:paraId="26B8720C" w14:textId="77777777" w:rsidR="00D5755E" w:rsidRPr="00402C99" w:rsidRDefault="00D5755E" w:rsidP="00D5755E">
            <w:r w:rsidRPr="00402C99">
              <w:t>Long</w:t>
            </w:r>
          </w:p>
        </w:tc>
        <w:tc>
          <w:tcPr>
            <w:tcW w:w="0" w:type="auto"/>
            <w:tcMar>
              <w:top w:w="150" w:type="dxa"/>
              <w:left w:w="240" w:type="dxa"/>
              <w:bottom w:w="150" w:type="dxa"/>
              <w:right w:w="240" w:type="dxa"/>
            </w:tcMar>
            <w:vAlign w:val="center"/>
            <w:hideMark/>
          </w:tcPr>
          <w:p w14:paraId="0CFBF71A" w14:textId="77777777" w:rsidR="00D5755E" w:rsidRPr="00402C99" w:rsidRDefault="00D5755E" w:rsidP="00D5755E">
            <w:r w:rsidRPr="00402C99">
              <w:t>99.14%</w:t>
            </w:r>
          </w:p>
        </w:tc>
        <w:tc>
          <w:tcPr>
            <w:tcW w:w="0" w:type="auto"/>
            <w:tcMar>
              <w:top w:w="150" w:type="dxa"/>
              <w:left w:w="240" w:type="dxa"/>
              <w:bottom w:w="150" w:type="dxa"/>
              <w:right w:w="240" w:type="dxa"/>
            </w:tcMar>
            <w:vAlign w:val="center"/>
            <w:hideMark/>
          </w:tcPr>
          <w:p w14:paraId="39435186" w14:textId="77777777" w:rsidR="00D5755E" w:rsidRPr="00402C99" w:rsidRDefault="00D5755E" w:rsidP="00D5755E">
            <w:r w:rsidRPr="00402C99">
              <w:t>98.51%</w:t>
            </w:r>
          </w:p>
        </w:tc>
        <w:tc>
          <w:tcPr>
            <w:tcW w:w="0" w:type="auto"/>
            <w:tcMar>
              <w:top w:w="150" w:type="dxa"/>
              <w:left w:w="240" w:type="dxa"/>
              <w:bottom w:w="150" w:type="dxa"/>
              <w:right w:w="240" w:type="dxa"/>
            </w:tcMar>
            <w:vAlign w:val="center"/>
            <w:hideMark/>
          </w:tcPr>
          <w:p w14:paraId="669B5A8B" w14:textId="77777777" w:rsidR="00D5755E" w:rsidRPr="00402C99" w:rsidRDefault="00D5755E" w:rsidP="00D5755E">
            <w:r w:rsidRPr="00402C99">
              <w:t>98.83%</w:t>
            </w:r>
          </w:p>
        </w:tc>
        <w:tc>
          <w:tcPr>
            <w:tcW w:w="0" w:type="auto"/>
            <w:tcMar>
              <w:top w:w="150" w:type="dxa"/>
              <w:left w:w="240" w:type="dxa"/>
              <w:bottom w:w="150" w:type="dxa"/>
              <w:right w:w="0" w:type="dxa"/>
            </w:tcMar>
            <w:vAlign w:val="center"/>
            <w:hideMark/>
          </w:tcPr>
          <w:p w14:paraId="70ED70AB" w14:textId="77777777" w:rsidR="00D5755E" w:rsidRPr="00402C99" w:rsidRDefault="00D5755E" w:rsidP="00D5755E">
            <w:r w:rsidRPr="00402C99">
              <w:t>4,911</w:t>
            </w:r>
          </w:p>
        </w:tc>
      </w:tr>
      <w:tr w:rsidR="00D5755E" w:rsidRPr="00402C99" w14:paraId="3A7CDFB3" w14:textId="77777777">
        <w:tc>
          <w:tcPr>
            <w:tcW w:w="0" w:type="auto"/>
            <w:tcMar>
              <w:top w:w="150" w:type="dxa"/>
              <w:left w:w="0" w:type="dxa"/>
              <w:bottom w:w="150" w:type="dxa"/>
              <w:right w:w="240" w:type="dxa"/>
            </w:tcMar>
            <w:vAlign w:val="center"/>
            <w:hideMark/>
          </w:tcPr>
          <w:p w14:paraId="3674DA90" w14:textId="77777777" w:rsidR="00D5755E" w:rsidRPr="00402C99" w:rsidRDefault="00D5755E" w:rsidP="00D5755E">
            <w:r w:rsidRPr="00402C99">
              <w:t xml:space="preserve">Macro </w:t>
            </w:r>
            <w:proofErr w:type="spellStart"/>
            <w:r w:rsidRPr="00402C99">
              <w:t>Avg</w:t>
            </w:r>
            <w:proofErr w:type="spellEnd"/>
          </w:p>
        </w:tc>
        <w:tc>
          <w:tcPr>
            <w:tcW w:w="0" w:type="auto"/>
            <w:tcMar>
              <w:top w:w="150" w:type="dxa"/>
              <w:left w:w="240" w:type="dxa"/>
              <w:bottom w:w="150" w:type="dxa"/>
              <w:right w:w="240" w:type="dxa"/>
            </w:tcMar>
            <w:vAlign w:val="center"/>
            <w:hideMark/>
          </w:tcPr>
          <w:p w14:paraId="3BF1997C" w14:textId="77777777" w:rsidR="00D5755E" w:rsidRPr="00402C99" w:rsidRDefault="00D5755E" w:rsidP="00D5755E">
            <w:r w:rsidRPr="00402C99">
              <w:t>98.47%</w:t>
            </w:r>
          </w:p>
        </w:tc>
        <w:tc>
          <w:tcPr>
            <w:tcW w:w="0" w:type="auto"/>
            <w:tcMar>
              <w:top w:w="150" w:type="dxa"/>
              <w:left w:w="240" w:type="dxa"/>
              <w:bottom w:w="150" w:type="dxa"/>
              <w:right w:w="240" w:type="dxa"/>
            </w:tcMar>
            <w:vAlign w:val="center"/>
            <w:hideMark/>
          </w:tcPr>
          <w:p w14:paraId="3E99F55A" w14:textId="77777777" w:rsidR="00D5755E" w:rsidRPr="00402C99" w:rsidRDefault="00D5755E" w:rsidP="00D5755E">
            <w:r w:rsidRPr="00402C99">
              <w:t>98.44%</w:t>
            </w:r>
          </w:p>
        </w:tc>
        <w:tc>
          <w:tcPr>
            <w:tcW w:w="0" w:type="auto"/>
            <w:tcMar>
              <w:top w:w="150" w:type="dxa"/>
              <w:left w:w="240" w:type="dxa"/>
              <w:bottom w:w="150" w:type="dxa"/>
              <w:right w:w="240" w:type="dxa"/>
            </w:tcMar>
            <w:vAlign w:val="center"/>
            <w:hideMark/>
          </w:tcPr>
          <w:p w14:paraId="3366463A" w14:textId="77777777" w:rsidR="00D5755E" w:rsidRPr="00402C99" w:rsidRDefault="00D5755E" w:rsidP="00D5755E">
            <w:r w:rsidRPr="00402C99">
              <w:t>98.45%</w:t>
            </w:r>
          </w:p>
        </w:tc>
        <w:tc>
          <w:tcPr>
            <w:tcW w:w="0" w:type="auto"/>
            <w:tcMar>
              <w:top w:w="150" w:type="dxa"/>
              <w:left w:w="240" w:type="dxa"/>
              <w:bottom w:w="150" w:type="dxa"/>
              <w:right w:w="0" w:type="dxa"/>
            </w:tcMar>
            <w:vAlign w:val="center"/>
            <w:hideMark/>
          </w:tcPr>
          <w:p w14:paraId="75A0F250" w14:textId="77777777" w:rsidR="00D5755E" w:rsidRPr="00402C99" w:rsidRDefault="00D5755E" w:rsidP="00D5755E">
            <w:r w:rsidRPr="00402C99">
              <w:t>28,402</w:t>
            </w:r>
          </w:p>
        </w:tc>
      </w:tr>
      <w:tr w:rsidR="00D5755E" w:rsidRPr="00402C99" w14:paraId="35DD942D" w14:textId="77777777">
        <w:tc>
          <w:tcPr>
            <w:tcW w:w="0" w:type="auto"/>
            <w:tcMar>
              <w:top w:w="150" w:type="dxa"/>
              <w:left w:w="0" w:type="dxa"/>
              <w:bottom w:w="150" w:type="dxa"/>
              <w:right w:w="240" w:type="dxa"/>
            </w:tcMar>
            <w:vAlign w:val="center"/>
            <w:hideMark/>
          </w:tcPr>
          <w:p w14:paraId="639E9A96" w14:textId="77777777" w:rsidR="00D5755E" w:rsidRPr="00402C99" w:rsidRDefault="00D5755E" w:rsidP="00D5755E">
            <w:r w:rsidRPr="00402C99">
              <w:t xml:space="preserve">Weighted </w:t>
            </w:r>
            <w:proofErr w:type="spellStart"/>
            <w:r w:rsidRPr="00402C99">
              <w:t>Avg</w:t>
            </w:r>
            <w:proofErr w:type="spellEnd"/>
          </w:p>
        </w:tc>
        <w:tc>
          <w:tcPr>
            <w:tcW w:w="0" w:type="auto"/>
            <w:tcMar>
              <w:top w:w="150" w:type="dxa"/>
              <w:left w:w="240" w:type="dxa"/>
              <w:bottom w:w="150" w:type="dxa"/>
              <w:right w:w="240" w:type="dxa"/>
            </w:tcMar>
            <w:vAlign w:val="center"/>
            <w:hideMark/>
          </w:tcPr>
          <w:p w14:paraId="569D4E0C" w14:textId="77777777" w:rsidR="00D5755E" w:rsidRPr="00402C99" w:rsidRDefault="00D5755E" w:rsidP="00D5755E">
            <w:r w:rsidRPr="00402C99">
              <w:t>98.44%</w:t>
            </w:r>
          </w:p>
        </w:tc>
        <w:tc>
          <w:tcPr>
            <w:tcW w:w="0" w:type="auto"/>
            <w:tcMar>
              <w:top w:w="150" w:type="dxa"/>
              <w:left w:w="240" w:type="dxa"/>
              <w:bottom w:w="150" w:type="dxa"/>
              <w:right w:w="240" w:type="dxa"/>
            </w:tcMar>
            <w:vAlign w:val="center"/>
            <w:hideMark/>
          </w:tcPr>
          <w:p w14:paraId="6BC80F3A" w14:textId="77777777" w:rsidR="00D5755E" w:rsidRPr="00402C99" w:rsidRDefault="00D5755E" w:rsidP="00D5755E">
            <w:r w:rsidRPr="00402C99">
              <w:t>98.43%</w:t>
            </w:r>
          </w:p>
        </w:tc>
        <w:tc>
          <w:tcPr>
            <w:tcW w:w="0" w:type="auto"/>
            <w:tcMar>
              <w:top w:w="150" w:type="dxa"/>
              <w:left w:w="240" w:type="dxa"/>
              <w:bottom w:w="150" w:type="dxa"/>
              <w:right w:w="240" w:type="dxa"/>
            </w:tcMar>
            <w:vAlign w:val="center"/>
            <w:hideMark/>
          </w:tcPr>
          <w:p w14:paraId="74FD2159" w14:textId="77777777" w:rsidR="00D5755E" w:rsidRPr="00402C99" w:rsidRDefault="00D5755E" w:rsidP="00D5755E">
            <w:r w:rsidRPr="00402C99">
              <w:t>98.44%</w:t>
            </w:r>
          </w:p>
        </w:tc>
        <w:tc>
          <w:tcPr>
            <w:tcW w:w="0" w:type="auto"/>
            <w:tcMar>
              <w:top w:w="150" w:type="dxa"/>
              <w:left w:w="240" w:type="dxa"/>
              <w:bottom w:w="150" w:type="dxa"/>
              <w:right w:w="0" w:type="dxa"/>
            </w:tcMar>
            <w:vAlign w:val="center"/>
            <w:hideMark/>
          </w:tcPr>
          <w:p w14:paraId="2DF54826" w14:textId="77777777" w:rsidR="00D5755E" w:rsidRPr="00402C99" w:rsidRDefault="00D5755E" w:rsidP="00D5755E">
            <w:r w:rsidRPr="00402C99">
              <w:t>28,402</w:t>
            </w:r>
          </w:p>
        </w:tc>
      </w:tr>
    </w:tbl>
    <w:p w14:paraId="108A48EF" w14:textId="77777777" w:rsidR="00D5755E" w:rsidRPr="00402C99" w:rsidRDefault="00D5755E" w:rsidP="00D5755E">
      <w:r w:rsidRPr="00D5755E">
        <w:rPr>
          <w:b/>
          <w:bCs/>
        </w:rPr>
        <w:t>4.2.3 Generalization Across Seasons</w:t>
      </w:r>
      <w:r w:rsidRPr="00D5755E">
        <w:rPr>
          <w:b/>
          <w:bCs/>
        </w:rPr>
        <w:br/>
      </w:r>
      <w:r w:rsidRPr="00402C99">
        <w:t>The model was evaluated on four unseen test periods covering winter, spring, summer, and fall, with accuracies of 97.660%, 97.687%, 97.664%, and 97.542% respectively. This consistent performance confirms the model's robustness to seasonal load variations.</w:t>
      </w:r>
    </w:p>
    <w:p w14:paraId="241CB059" w14:textId="77777777" w:rsidR="00D5755E" w:rsidRPr="00D5755E" w:rsidRDefault="00D5755E" w:rsidP="00D5755E">
      <w:pPr>
        <w:rPr>
          <w:b/>
          <w:bCs/>
        </w:rPr>
      </w:pPr>
      <w:r w:rsidRPr="00D5755E">
        <w:rPr>
          <w:b/>
          <w:bCs/>
        </w:rPr>
        <w:t>4.2.4 Comparison with State-of-the-Art</w:t>
      </w:r>
      <w:r w:rsidRPr="00D5755E">
        <w:rPr>
          <w:b/>
          <w:bCs/>
        </w:rPr>
        <w:br/>
        <w:t>Table 3 benchmarks the proposed method against recent classification studies on outage prediction.</w:t>
      </w:r>
    </w:p>
    <w:p w14:paraId="7BA610A8" w14:textId="77777777" w:rsidR="00D5755E" w:rsidRPr="00D5755E" w:rsidRDefault="00D5755E" w:rsidP="00D5755E">
      <w:pPr>
        <w:rPr>
          <w:b/>
          <w:bCs/>
        </w:rPr>
      </w:pPr>
      <w:r w:rsidRPr="00D5755E">
        <w:rPr>
          <w:b/>
          <w:bCs/>
        </w:rPr>
        <w:t>Table 3. Benchmark Comparison</w:t>
      </w:r>
    </w:p>
    <w:tbl>
      <w:tblPr>
        <w:tblW w:w="11280" w:type="dxa"/>
        <w:tblCellMar>
          <w:top w:w="15" w:type="dxa"/>
          <w:left w:w="15" w:type="dxa"/>
          <w:bottom w:w="15" w:type="dxa"/>
          <w:right w:w="15" w:type="dxa"/>
        </w:tblCellMar>
        <w:tblLook w:val="04A0" w:firstRow="1" w:lastRow="0" w:firstColumn="1" w:lastColumn="0" w:noHBand="0" w:noVBand="1"/>
      </w:tblPr>
      <w:tblGrid>
        <w:gridCol w:w="7781"/>
        <w:gridCol w:w="3499"/>
      </w:tblGrid>
      <w:tr w:rsidR="00D5755E" w:rsidRPr="00D5755E" w14:paraId="7320425B" w14:textId="77777777">
        <w:trPr>
          <w:tblHeader/>
        </w:trPr>
        <w:tc>
          <w:tcPr>
            <w:tcW w:w="0" w:type="auto"/>
            <w:tcBorders>
              <w:top w:val="nil"/>
            </w:tcBorders>
            <w:tcMar>
              <w:top w:w="150" w:type="dxa"/>
              <w:left w:w="0" w:type="dxa"/>
              <w:bottom w:w="150" w:type="dxa"/>
              <w:right w:w="240" w:type="dxa"/>
            </w:tcMar>
            <w:vAlign w:val="center"/>
            <w:hideMark/>
          </w:tcPr>
          <w:p w14:paraId="2CDA046E" w14:textId="77777777" w:rsidR="00D5755E" w:rsidRPr="00D5755E" w:rsidRDefault="00D5755E" w:rsidP="00D5755E">
            <w:pPr>
              <w:rPr>
                <w:b/>
                <w:bCs/>
              </w:rPr>
            </w:pPr>
            <w:r w:rsidRPr="00D5755E">
              <w:rPr>
                <w:b/>
                <w:bCs/>
              </w:rPr>
              <w:lastRenderedPageBreak/>
              <w:t>Method (Reference)</w:t>
            </w:r>
          </w:p>
        </w:tc>
        <w:tc>
          <w:tcPr>
            <w:tcW w:w="0" w:type="auto"/>
            <w:tcBorders>
              <w:top w:val="nil"/>
            </w:tcBorders>
            <w:tcMar>
              <w:top w:w="150" w:type="dxa"/>
              <w:left w:w="240" w:type="dxa"/>
              <w:bottom w:w="150" w:type="dxa"/>
              <w:right w:w="240" w:type="dxa"/>
            </w:tcMar>
            <w:vAlign w:val="center"/>
            <w:hideMark/>
          </w:tcPr>
          <w:p w14:paraId="42E8AC21" w14:textId="77777777" w:rsidR="00D5755E" w:rsidRPr="00D5755E" w:rsidRDefault="00D5755E" w:rsidP="00D5755E">
            <w:pPr>
              <w:rPr>
                <w:b/>
                <w:bCs/>
              </w:rPr>
            </w:pPr>
            <w:r w:rsidRPr="00D5755E">
              <w:rPr>
                <w:b/>
                <w:bCs/>
              </w:rPr>
              <w:t>Accuracy</w:t>
            </w:r>
          </w:p>
        </w:tc>
      </w:tr>
      <w:tr w:rsidR="00D5755E" w:rsidRPr="00D5755E" w14:paraId="00E843D0" w14:textId="77777777">
        <w:tc>
          <w:tcPr>
            <w:tcW w:w="0" w:type="auto"/>
            <w:tcMar>
              <w:top w:w="150" w:type="dxa"/>
              <w:left w:w="0" w:type="dxa"/>
              <w:bottom w:w="150" w:type="dxa"/>
              <w:right w:w="240" w:type="dxa"/>
            </w:tcMar>
            <w:vAlign w:val="center"/>
            <w:hideMark/>
          </w:tcPr>
          <w:p w14:paraId="379E8B21" w14:textId="77777777" w:rsidR="00D5755E" w:rsidRPr="00D5755E" w:rsidRDefault="00D5755E" w:rsidP="00D5755E">
            <w:pPr>
              <w:rPr>
                <w:b/>
                <w:bCs/>
              </w:rPr>
            </w:pPr>
            <w:r w:rsidRPr="00D5755E">
              <w:rPr>
                <w:b/>
                <w:bCs/>
              </w:rPr>
              <w:t>RF-ASD [5] (24h ahead)</w:t>
            </w:r>
          </w:p>
        </w:tc>
        <w:tc>
          <w:tcPr>
            <w:tcW w:w="0" w:type="auto"/>
            <w:tcMar>
              <w:top w:w="150" w:type="dxa"/>
              <w:left w:w="240" w:type="dxa"/>
              <w:bottom w:w="150" w:type="dxa"/>
              <w:right w:w="0" w:type="dxa"/>
            </w:tcMar>
            <w:vAlign w:val="center"/>
            <w:hideMark/>
          </w:tcPr>
          <w:p w14:paraId="584C4462" w14:textId="77777777" w:rsidR="00D5755E" w:rsidRPr="00D5755E" w:rsidRDefault="00D5755E" w:rsidP="00D5755E">
            <w:pPr>
              <w:rPr>
                <w:b/>
                <w:bCs/>
              </w:rPr>
            </w:pPr>
            <w:r w:rsidRPr="00D5755E">
              <w:rPr>
                <w:b/>
                <w:bCs/>
              </w:rPr>
              <w:t>62.0%</w:t>
            </w:r>
          </w:p>
        </w:tc>
      </w:tr>
      <w:tr w:rsidR="00D5755E" w:rsidRPr="00D5755E" w14:paraId="53306381" w14:textId="77777777">
        <w:tc>
          <w:tcPr>
            <w:tcW w:w="0" w:type="auto"/>
            <w:tcMar>
              <w:top w:w="150" w:type="dxa"/>
              <w:left w:w="0" w:type="dxa"/>
              <w:bottom w:w="150" w:type="dxa"/>
              <w:right w:w="240" w:type="dxa"/>
            </w:tcMar>
            <w:vAlign w:val="center"/>
            <w:hideMark/>
          </w:tcPr>
          <w:p w14:paraId="697E3EBA" w14:textId="77777777" w:rsidR="00D5755E" w:rsidRPr="00D5755E" w:rsidRDefault="00D5755E" w:rsidP="00D5755E">
            <w:pPr>
              <w:rPr>
                <w:b/>
                <w:bCs/>
              </w:rPr>
            </w:pPr>
            <w:r w:rsidRPr="00D5755E">
              <w:rPr>
                <w:b/>
                <w:bCs/>
              </w:rPr>
              <w:t>SVM (various kernels) [6]</w:t>
            </w:r>
          </w:p>
        </w:tc>
        <w:tc>
          <w:tcPr>
            <w:tcW w:w="0" w:type="auto"/>
            <w:tcMar>
              <w:top w:w="150" w:type="dxa"/>
              <w:left w:w="240" w:type="dxa"/>
              <w:bottom w:w="150" w:type="dxa"/>
              <w:right w:w="0" w:type="dxa"/>
            </w:tcMar>
            <w:vAlign w:val="center"/>
            <w:hideMark/>
          </w:tcPr>
          <w:p w14:paraId="2B39604E" w14:textId="77777777" w:rsidR="00D5755E" w:rsidRPr="00D5755E" w:rsidRDefault="00D5755E" w:rsidP="00D5755E">
            <w:pPr>
              <w:rPr>
                <w:b/>
                <w:bCs/>
              </w:rPr>
            </w:pPr>
            <w:r w:rsidRPr="00D5755E">
              <w:rPr>
                <w:b/>
                <w:bCs/>
              </w:rPr>
              <w:t>86.3%–93.4%</w:t>
            </w:r>
          </w:p>
        </w:tc>
      </w:tr>
      <w:tr w:rsidR="00D5755E" w:rsidRPr="00D5755E" w14:paraId="42A1946F" w14:textId="77777777">
        <w:tc>
          <w:tcPr>
            <w:tcW w:w="0" w:type="auto"/>
            <w:tcMar>
              <w:top w:w="150" w:type="dxa"/>
              <w:left w:w="0" w:type="dxa"/>
              <w:bottom w:w="150" w:type="dxa"/>
              <w:right w:w="240" w:type="dxa"/>
            </w:tcMar>
            <w:vAlign w:val="center"/>
            <w:hideMark/>
          </w:tcPr>
          <w:p w14:paraId="02663D89" w14:textId="77777777" w:rsidR="00D5755E" w:rsidRPr="00D5755E" w:rsidRDefault="00D5755E" w:rsidP="00D5755E">
            <w:pPr>
              <w:rPr>
                <w:b/>
                <w:bCs/>
              </w:rPr>
            </w:pPr>
            <w:r w:rsidRPr="00D5755E">
              <w:rPr>
                <w:b/>
                <w:bCs/>
              </w:rPr>
              <w:t>ANN (various hidden layers) [6]</w:t>
            </w:r>
          </w:p>
        </w:tc>
        <w:tc>
          <w:tcPr>
            <w:tcW w:w="0" w:type="auto"/>
            <w:tcMar>
              <w:top w:w="150" w:type="dxa"/>
              <w:left w:w="240" w:type="dxa"/>
              <w:bottom w:w="150" w:type="dxa"/>
              <w:right w:w="0" w:type="dxa"/>
            </w:tcMar>
            <w:vAlign w:val="center"/>
            <w:hideMark/>
          </w:tcPr>
          <w:p w14:paraId="275352F0" w14:textId="77777777" w:rsidR="00D5755E" w:rsidRPr="00D5755E" w:rsidRDefault="00D5755E" w:rsidP="00D5755E">
            <w:pPr>
              <w:rPr>
                <w:b/>
                <w:bCs/>
              </w:rPr>
            </w:pPr>
            <w:r w:rsidRPr="00D5755E">
              <w:rPr>
                <w:b/>
                <w:bCs/>
              </w:rPr>
              <w:t>84.3%–91.9%</w:t>
            </w:r>
          </w:p>
        </w:tc>
      </w:tr>
      <w:tr w:rsidR="00D5755E" w:rsidRPr="00D5755E" w14:paraId="1B6D2554" w14:textId="77777777">
        <w:tc>
          <w:tcPr>
            <w:tcW w:w="0" w:type="auto"/>
            <w:tcMar>
              <w:top w:w="150" w:type="dxa"/>
              <w:left w:w="0" w:type="dxa"/>
              <w:bottom w:w="150" w:type="dxa"/>
              <w:right w:w="240" w:type="dxa"/>
            </w:tcMar>
            <w:vAlign w:val="center"/>
            <w:hideMark/>
          </w:tcPr>
          <w:p w14:paraId="4BC84F99" w14:textId="77777777" w:rsidR="00D5755E" w:rsidRPr="00D5755E" w:rsidRDefault="00D5755E" w:rsidP="00D5755E">
            <w:pPr>
              <w:rPr>
                <w:b/>
                <w:bCs/>
              </w:rPr>
            </w:pPr>
            <w:r w:rsidRPr="00D5755E">
              <w:rPr>
                <w:b/>
                <w:bCs/>
              </w:rPr>
              <w:t>Average of 30 classification tasks</w:t>
            </w:r>
          </w:p>
        </w:tc>
        <w:tc>
          <w:tcPr>
            <w:tcW w:w="0" w:type="auto"/>
            <w:tcMar>
              <w:top w:w="150" w:type="dxa"/>
              <w:left w:w="240" w:type="dxa"/>
              <w:bottom w:w="150" w:type="dxa"/>
              <w:right w:w="0" w:type="dxa"/>
            </w:tcMar>
            <w:vAlign w:val="center"/>
            <w:hideMark/>
          </w:tcPr>
          <w:p w14:paraId="5EA28249" w14:textId="77777777" w:rsidR="00D5755E" w:rsidRPr="00D5755E" w:rsidRDefault="00D5755E" w:rsidP="00D5755E">
            <w:pPr>
              <w:rPr>
                <w:b/>
                <w:bCs/>
              </w:rPr>
            </w:pPr>
            <w:r w:rsidRPr="00D5755E">
              <w:rPr>
                <w:b/>
                <w:bCs/>
              </w:rPr>
              <w:t>85.511%</w:t>
            </w:r>
          </w:p>
        </w:tc>
      </w:tr>
      <w:tr w:rsidR="00D5755E" w:rsidRPr="00D5755E" w14:paraId="1DB40A9E" w14:textId="77777777">
        <w:tc>
          <w:tcPr>
            <w:tcW w:w="0" w:type="auto"/>
            <w:tcMar>
              <w:top w:w="150" w:type="dxa"/>
              <w:left w:w="0" w:type="dxa"/>
              <w:bottom w:w="150" w:type="dxa"/>
              <w:right w:w="240" w:type="dxa"/>
            </w:tcMar>
            <w:vAlign w:val="center"/>
            <w:hideMark/>
          </w:tcPr>
          <w:p w14:paraId="453DD631" w14:textId="77777777" w:rsidR="00D5755E" w:rsidRPr="00D5755E" w:rsidRDefault="00D5755E" w:rsidP="00D5755E">
            <w:pPr>
              <w:rPr>
                <w:b/>
                <w:bCs/>
              </w:rPr>
            </w:pPr>
            <w:r w:rsidRPr="00D5755E">
              <w:rPr>
                <w:b/>
                <w:bCs/>
              </w:rPr>
              <w:t>This Work (</w:t>
            </w:r>
            <w:proofErr w:type="spellStart"/>
            <w:r w:rsidRPr="00D5755E">
              <w:rPr>
                <w:b/>
                <w:bCs/>
              </w:rPr>
              <w:t>XGBoost</w:t>
            </w:r>
            <w:proofErr w:type="spellEnd"/>
            <w:r w:rsidRPr="00D5755E">
              <w:rPr>
                <w:b/>
                <w:bCs/>
              </w:rPr>
              <w:t xml:space="preserve"> + MRMR)</w:t>
            </w:r>
          </w:p>
        </w:tc>
        <w:tc>
          <w:tcPr>
            <w:tcW w:w="0" w:type="auto"/>
            <w:tcMar>
              <w:top w:w="150" w:type="dxa"/>
              <w:left w:w="240" w:type="dxa"/>
              <w:bottom w:w="150" w:type="dxa"/>
              <w:right w:w="0" w:type="dxa"/>
            </w:tcMar>
            <w:vAlign w:val="center"/>
            <w:hideMark/>
          </w:tcPr>
          <w:p w14:paraId="704EE4FF" w14:textId="77777777" w:rsidR="00D5755E" w:rsidRPr="00D5755E" w:rsidRDefault="00D5755E" w:rsidP="00D5755E">
            <w:pPr>
              <w:rPr>
                <w:b/>
                <w:bCs/>
              </w:rPr>
            </w:pPr>
            <w:r w:rsidRPr="00D5755E">
              <w:rPr>
                <w:b/>
                <w:bCs/>
              </w:rPr>
              <w:t>98.433%</w:t>
            </w:r>
          </w:p>
        </w:tc>
      </w:tr>
      <w:tr w:rsidR="00D5755E" w:rsidRPr="00D5755E" w14:paraId="0C797932" w14:textId="77777777">
        <w:tc>
          <w:tcPr>
            <w:tcW w:w="0" w:type="auto"/>
            <w:tcMar>
              <w:top w:w="150" w:type="dxa"/>
              <w:left w:w="0" w:type="dxa"/>
              <w:bottom w:w="150" w:type="dxa"/>
              <w:right w:w="240" w:type="dxa"/>
            </w:tcMar>
            <w:vAlign w:val="center"/>
            <w:hideMark/>
          </w:tcPr>
          <w:p w14:paraId="1F080C2B" w14:textId="77777777" w:rsidR="00D5755E" w:rsidRPr="00D5755E" w:rsidRDefault="00D5755E" w:rsidP="00D5755E">
            <w:pPr>
              <w:rPr>
                <w:b/>
                <w:bCs/>
              </w:rPr>
            </w:pPr>
            <w:r w:rsidRPr="00D5755E">
              <w:rPr>
                <w:b/>
                <w:bCs/>
              </w:rPr>
              <w:t>Improvement</w:t>
            </w:r>
          </w:p>
        </w:tc>
        <w:tc>
          <w:tcPr>
            <w:tcW w:w="0" w:type="auto"/>
            <w:tcMar>
              <w:top w:w="150" w:type="dxa"/>
              <w:left w:w="240" w:type="dxa"/>
              <w:bottom w:w="150" w:type="dxa"/>
              <w:right w:w="0" w:type="dxa"/>
            </w:tcMar>
            <w:vAlign w:val="center"/>
            <w:hideMark/>
          </w:tcPr>
          <w:p w14:paraId="12C78D03" w14:textId="77777777" w:rsidR="00D5755E" w:rsidRPr="00D5755E" w:rsidRDefault="00D5755E" w:rsidP="00D5755E">
            <w:pPr>
              <w:rPr>
                <w:b/>
                <w:bCs/>
              </w:rPr>
            </w:pPr>
            <w:r w:rsidRPr="00D5755E">
              <w:rPr>
                <w:b/>
                <w:bCs/>
              </w:rPr>
              <w:t>+12.922%</w:t>
            </w:r>
          </w:p>
        </w:tc>
      </w:tr>
    </w:tbl>
    <w:p w14:paraId="2B2B231F" w14:textId="77777777" w:rsidR="00D5755E" w:rsidRPr="00D5755E" w:rsidRDefault="00D5755E" w:rsidP="00D5755E">
      <w:pPr>
        <w:rPr>
          <w:b/>
          <w:bCs/>
        </w:rPr>
      </w:pPr>
      <w:r w:rsidRPr="00D5755E">
        <w:rPr>
          <w:b/>
          <w:bCs/>
        </w:rPr>
        <w:t>The Friedman test confirms that the performance difference is statistically significant (p = 7.744 × 10⁻⁶).</w:t>
      </w:r>
    </w:p>
    <w:p w14:paraId="30EF1954" w14:textId="77777777" w:rsidR="00D5755E" w:rsidRPr="00D5755E" w:rsidRDefault="00D5755E" w:rsidP="00D5755E">
      <w:pPr>
        <w:rPr>
          <w:b/>
          <w:bCs/>
        </w:rPr>
      </w:pPr>
      <w:r w:rsidRPr="00D5755E">
        <w:rPr>
          <w:b/>
          <w:bCs/>
        </w:rPr>
        <w:t>5. Discussion</w:t>
      </w:r>
    </w:p>
    <w:p w14:paraId="5FAB86C7" w14:textId="77777777" w:rsidR="00D5755E" w:rsidRPr="00D5755E" w:rsidRDefault="00D5755E" w:rsidP="00D5755E">
      <w:pPr>
        <w:rPr>
          <w:b/>
          <w:bCs/>
        </w:rPr>
      </w:pPr>
      <w:r w:rsidRPr="00D5755E">
        <w:rPr>
          <w:b/>
          <w:bCs/>
        </w:rPr>
        <w:t>5.1 The Simplicity Paradox in Practice</w:t>
      </w:r>
    </w:p>
    <w:p w14:paraId="525E6346" w14:textId="77777777" w:rsidR="00D5755E" w:rsidRPr="00402C99" w:rsidRDefault="00D5755E" w:rsidP="00D5755E">
      <w:r w:rsidRPr="00402C99">
        <w:t xml:space="preserve">The load forecasting review revealed that expert preference often drives model selection rather than objective suitability. In the outage duration case, we observed the opposite: a methodical comparison of multiple algorithms (DT, RF, KNN, </w:t>
      </w:r>
      <w:proofErr w:type="spellStart"/>
      <w:r w:rsidRPr="00402C99">
        <w:t>XGBoost</w:t>
      </w:r>
      <w:proofErr w:type="spellEnd"/>
      <w:r w:rsidRPr="00402C99">
        <w:t xml:space="preserve">) allowed </w:t>
      </w:r>
      <w:proofErr w:type="spellStart"/>
      <w:r w:rsidRPr="00402C99">
        <w:t>XGBoost</w:t>
      </w:r>
      <w:proofErr w:type="spellEnd"/>
      <w:r w:rsidRPr="00402C99">
        <w:t xml:space="preserve"> to emerge as the clear winner. This underscores the importance of empirical benchmarking over a priori assumptions.</w:t>
      </w:r>
    </w:p>
    <w:p w14:paraId="0A134C40" w14:textId="77777777" w:rsidR="00D5755E" w:rsidRPr="00D5755E" w:rsidRDefault="00D5755E" w:rsidP="00D5755E">
      <w:pPr>
        <w:rPr>
          <w:b/>
          <w:bCs/>
        </w:rPr>
      </w:pPr>
      <w:r w:rsidRPr="00D5755E">
        <w:rPr>
          <w:b/>
          <w:bCs/>
        </w:rPr>
        <w:t>5.2 The Critical Role of Feature Engineering</w:t>
      </w:r>
    </w:p>
    <w:p w14:paraId="2160E23B" w14:textId="77777777" w:rsidR="00D5755E" w:rsidRPr="00402C99" w:rsidRDefault="00D5755E" w:rsidP="00D5755E">
      <w:r w:rsidRPr="00402C99">
        <w:t>Both studies emphasize that pre-processing and feature selection are not peripheral tasks but central to model success. In load forecasting, adding a simple </w:t>
      </w:r>
      <w:r w:rsidRPr="00402C99">
        <w:rPr>
          <w:i/>
          <w:iCs/>
        </w:rPr>
        <w:t>Time Index</w:t>
      </w:r>
      <w:r w:rsidRPr="00402C99">
        <w:t xml:space="preserve"> feature significantly boosts ANN accuracy. In POD prediction, MRMR reduced dimensionality and noise, enabling </w:t>
      </w:r>
      <w:proofErr w:type="spellStart"/>
      <w:r w:rsidRPr="00402C99">
        <w:t>XGBoost</w:t>
      </w:r>
      <w:proofErr w:type="spellEnd"/>
      <w:r w:rsidRPr="00402C99">
        <w:t xml:space="preserve"> to focus on the most predictive variables (</w:t>
      </w:r>
      <w:r w:rsidRPr="00402C99">
        <w:rPr>
          <w:i/>
          <w:iCs/>
        </w:rPr>
        <w:t>Total Urban HV</w:t>
      </w:r>
      <w:r w:rsidRPr="00402C99">
        <w:t> and </w:t>
      </w:r>
      <w:r w:rsidRPr="00402C99">
        <w:rPr>
          <w:i/>
          <w:iCs/>
        </w:rPr>
        <w:t>Cause Type</w:t>
      </w:r>
      <w:r w:rsidRPr="00402C99">
        <w:t>). This aligns with the 66.07% pre-processing rate observed in successful forecasting studies.</w:t>
      </w:r>
    </w:p>
    <w:p w14:paraId="0D6FB906" w14:textId="77777777" w:rsidR="00D5755E" w:rsidRPr="00D5755E" w:rsidRDefault="00D5755E" w:rsidP="00D5755E">
      <w:pPr>
        <w:rPr>
          <w:b/>
          <w:bCs/>
        </w:rPr>
      </w:pPr>
      <w:r w:rsidRPr="00D5755E">
        <w:rPr>
          <w:b/>
          <w:bCs/>
        </w:rPr>
        <w:t>6. Conclusion</w:t>
      </w:r>
    </w:p>
    <w:p w14:paraId="1219DE52" w14:textId="77777777" w:rsidR="00D5755E" w:rsidRPr="00660E2F" w:rsidRDefault="00D5755E" w:rsidP="00D5755E">
      <w:r w:rsidRPr="00660E2F">
        <w:t xml:space="preserve">This paper has presented an integrated approach to two core challenges in smart grid AI: load forecasting and outage duration prediction. By synthesizing a systematic review of 113 forecasting case studies, we derived a practical taxonomy that guides model selection based on timeframe and data availability. By implementing a novel </w:t>
      </w:r>
      <w:proofErr w:type="spellStart"/>
      <w:r w:rsidRPr="00660E2F">
        <w:t>XGBoost+MRMR</w:t>
      </w:r>
      <w:proofErr w:type="spellEnd"/>
      <w:r w:rsidRPr="00660E2F">
        <w:t xml:space="preserve"> model on real-</w:t>
      </w:r>
      <w:r w:rsidRPr="00660E2F">
        <w:lastRenderedPageBreak/>
        <w:t>world Turkish utility data, we demonstrated state-of-the-art accuracy (98.433%) in classifying outage durations.</w:t>
      </w:r>
    </w:p>
    <w:p w14:paraId="057299AE" w14:textId="77777777" w:rsidR="00D5755E" w:rsidRPr="00660E2F" w:rsidRDefault="00D5755E" w:rsidP="00D5755E">
      <w:r w:rsidRPr="00660E2F">
        <w:t>Our findings reinforce that effective machine learning in the energy sector depends less on algorithmic novelty and more on rigorous problem framing, methodical feature engineering, and empirical validation. The open-source implementation accompanying this paper provides a reusable foundation for hackathon participants aiming to build resilient, data-driven grid solutions.</w:t>
      </w:r>
    </w:p>
    <w:p w14:paraId="187E49EE" w14:textId="77777777" w:rsidR="00D5755E" w:rsidRPr="00D5755E" w:rsidRDefault="00D5755E" w:rsidP="00D5755E">
      <w:pPr>
        <w:rPr>
          <w:b/>
          <w:bCs/>
        </w:rPr>
      </w:pPr>
      <w:r w:rsidRPr="00D5755E">
        <w:rPr>
          <w:b/>
          <w:bCs/>
        </w:rPr>
        <w:t>References</w:t>
      </w:r>
    </w:p>
    <w:p w14:paraId="3FE6FF43" w14:textId="77777777" w:rsidR="00D5755E" w:rsidRPr="00660E2F" w:rsidRDefault="00D5755E" w:rsidP="00D5755E">
      <w:r w:rsidRPr="00660E2F">
        <w:t>[1] Systematic Review of Electricity and Power Forecasting Models. (2024). Analysis of 113 case studies from 41 academic papers.</w:t>
      </w:r>
      <w:r w:rsidRPr="00660E2F">
        <w:br/>
        <w:t>[2] Hou, H. et al. (2023). Outage Duration Prediction under Typhoon Disaster with Stacking Ensemble Learning. </w:t>
      </w:r>
      <w:proofErr w:type="spellStart"/>
      <w:r w:rsidRPr="00660E2F">
        <w:rPr>
          <w:i/>
          <w:iCs/>
        </w:rPr>
        <w:t>Reliab</w:t>
      </w:r>
      <w:proofErr w:type="spellEnd"/>
      <w:r w:rsidRPr="00660E2F">
        <w:rPr>
          <w:i/>
          <w:iCs/>
        </w:rPr>
        <w:t>. Eng. Syst. Saf.</w:t>
      </w:r>
      <w:r w:rsidRPr="00660E2F">
        <w:br/>
        <w:t>[3] Owolabi, O.O. &amp; Sunter, D.A. (2022). Bayesian Optimization and Hierarchical Forecasting of Non-Weather-Related Electric Power Outages. </w:t>
      </w:r>
      <w:r w:rsidRPr="00660E2F">
        <w:rPr>
          <w:i/>
          <w:iCs/>
        </w:rPr>
        <w:t>Energies</w:t>
      </w:r>
      <w:r w:rsidRPr="00660E2F">
        <w:t>.</w:t>
      </w:r>
      <w:r w:rsidRPr="00660E2F">
        <w:br/>
        <w:t>[4] Arif, A. &amp; Wang, Z. (2018). Distribution Network Outage Data Analysis and Repair Time Prediction Using Deep Learning. </w:t>
      </w:r>
      <w:r w:rsidRPr="00660E2F">
        <w:rPr>
          <w:i/>
          <w:iCs/>
        </w:rPr>
        <w:t>PMAPS</w:t>
      </w:r>
      <w:r w:rsidRPr="00660E2F">
        <w:t>.</w:t>
      </w:r>
      <w:r w:rsidRPr="00660E2F">
        <w:br/>
        <w:t>[5] Mbuya, B.H. et al. (2022). Very Short-Term Blackout Prediction for Grid-Tied PV Systems. </w:t>
      </w:r>
      <w:r w:rsidRPr="00660E2F">
        <w:rPr>
          <w:i/>
          <w:iCs/>
        </w:rPr>
        <w:t>Complexity</w:t>
      </w:r>
      <w:r w:rsidRPr="00660E2F">
        <w:t>.</w:t>
      </w:r>
      <w:r w:rsidRPr="00660E2F">
        <w:br/>
        <w:t>[6] Taimoor, N. et al. (2020). Power Outage Estimation: The Study of Revenue-Led Top Affected States of US. </w:t>
      </w:r>
      <w:r w:rsidRPr="00660E2F">
        <w:rPr>
          <w:i/>
          <w:iCs/>
        </w:rPr>
        <w:t>IEEE Access</w:t>
      </w:r>
      <w:r w:rsidRPr="00660E2F">
        <w:t>.</w:t>
      </w:r>
      <w:r w:rsidRPr="00660E2F">
        <w:br/>
        <w:t xml:space="preserve">[7] </w:t>
      </w:r>
      <w:proofErr w:type="spellStart"/>
      <w:r w:rsidRPr="00660E2F">
        <w:t>Ghasemkhani</w:t>
      </w:r>
      <w:proofErr w:type="spellEnd"/>
      <w:r w:rsidRPr="00660E2F">
        <w:t>, B. et al. (2024). Machine Learning Model Development to Predict Power Outage Duration (POD): A Case Study for Electric Utilities. </w:t>
      </w:r>
      <w:r w:rsidRPr="00660E2F">
        <w:rPr>
          <w:i/>
          <w:iCs/>
        </w:rPr>
        <w:t>Sensors</w:t>
      </w:r>
      <w:r w:rsidRPr="00660E2F">
        <w:t>, 24(13), 4313.</w:t>
      </w:r>
    </w:p>
    <w:p w14:paraId="4D470EF0" w14:textId="77777777" w:rsidR="006F1876" w:rsidRPr="00660E2F" w:rsidRDefault="006F1876"/>
    <w:sectPr w:rsidR="006F1876" w:rsidRPr="00660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F0B7D"/>
    <w:multiLevelType w:val="multilevel"/>
    <w:tmpl w:val="E1B4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C59AC"/>
    <w:multiLevelType w:val="multilevel"/>
    <w:tmpl w:val="EA8A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D4A0F"/>
    <w:multiLevelType w:val="multilevel"/>
    <w:tmpl w:val="BB14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581CA9"/>
    <w:multiLevelType w:val="multilevel"/>
    <w:tmpl w:val="73F8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21B05"/>
    <w:multiLevelType w:val="multilevel"/>
    <w:tmpl w:val="9BF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A40B6"/>
    <w:multiLevelType w:val="multilevel"/>
    <w:tmpl w:val="83D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8634F"/>
    <w:multiLevelType w:val="multilevel"/>
    <w:tmpl w:val="120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3357B"/>
    <w:multiLevelType w:val="multilevel"/>
    <w:tmpl w:val="FD7E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507245">
    <w:abstractNumId w:val="7"/>
  </w:num>
  <w:num w:numId="2" w16cid:durableId="677733677">
    <w:abstractNumId w:val="3"/>
  </w:num>
  <w:num w:numId="3" w16cid:durableId="1735539936">
    <w:abstractNumId w:val="1"/>
  </w:num>
  <w:num w:numId="4" w16cid:durableId="398556721">
    <w:abstractNumId w:val="4"/>
  </w:num>
  <w:num w:numId="5" w16cid:durableId="2015298715">
    <w:abstractNumId w:val="6"/>
  </w:num>
  <w:num w:numId="6" w16cid:durableId="129903746">
    <w:abstractNumId w:val="5"/>
  </w:num>
  <w:num w:numId="7" w16cid:durableId="1635329348">
    <w:abstractNumId w:val="0"/>
  </w:num>
  <w:num w:numId="8" w16cid:durableId="933830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76"/>
    <w:rsid w:val="00402C99"/>
    <w:rsid w:val="004F12E7"/>
    <w:rsid w:val="006275D8"/>
    <w:rsid w:val="00660E2F"/>
    <w:rsid w:val="006F1876"/>
    <w:rsid w:val="00805E17"/>
    <w:rsid w:val="00822930"/>
    <w:rsid w:val="008C2A65"/>
    <w:rsid w:val="009A745A"/>
    <w:rsid w:val="00D5755E"/>
    <w:rsid w:val="00D705A9"/>
    <w:rsid w:val="00DE3B2D"/>
    <w:rsid w:val="00F25176"/>
    <w:rsid w:val="00F40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06754"/>
  <w15:chartTrackingRefBased/>
  <w15:docId w15:val="{4D69F7AD-4455-4B7D-8E96-27729E5E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876"/>
    <w:rPr>
      <w:rFonts w:eastAsiaTheme="majorEastAsia" w:cstheme="majorBidi"/>
      <w:color w:val="272727" w:themeColor="text1" w:themeTint="D8"/>
    </w:rPr>
  </w:style>
  <w:style w:type="paragraph" w:styleId="Title">
    <w:name w:val="Title"/>
    <w:basedOn w:val="Normal"/>
    <w:next w:val="Normal"/>
    <w:link w:val="TitleChar"/>
    <w:uiPriority w:val="10"/>
    <w:qFormat/>
    <w:rsid w:val="006F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876"/>
    <w:pPr>
      <w:spacing w:before="160"/>
      <w:jc w:val="center"/>
    </w:pPr>
    <w:rPr>
      <w:i/>
      <w:iCs/>
      <w:color w:val="404040" w:themeColor="text1" w:themeTint="BF"/>
    </w:rPr>
  </w:style>
  <w:style w:type="character" w:customStyle="1" w:styleId="QuoteChar">
    <w:name w:val="Quote Char"/>
    <w:basedOn w:val="DefaultParagraphFont"/>
    <w:link w:val="Quote"/>
    <w:uiPriority w:val="29"/>
    <w:rsid w:val="006F1876"/>
    <w:rPr>
      <w:i/>
      <w:iCs/>
      <w:color w:val="404040" w:themeColor="text1" w:themeTint="BF"/>
    </w:rPr>
  </w:style>
  <w:style w:type="paragraph" w:styleId="ListParagraph">
    <w:name w:val="List Paragraph"/>
    <w:basedOn w:val="Normal"/>
    <w:uiPriority w:val="34"/>
    <w:qFormat/>
    <w:rsid w:val="006F1876"/>
    <w:pPr>
      <w:ind w:left="720"/>
      <w:contextualSpacing/>
    </w:pPr>
  </w:style>
  <w:style w:type="character" w:styleId="IntenseEmphasis">
    <w:name w:val="Intense Emphasis"/>
    <w:basedOn w:val="DefaultParagraphFont"/>
    <w:uiPriority w:val="21"/>
    <w:qFormat/>
    <w:rsid w:val="006F1876"/>
    <w:rPr>
      <w:i/>
      <w:iCs/>
      <w:color w:val="2F5496" w:themeColor="accent1" w:themeShade="BF"/>
    </w:rPr>
  </w:style>
  <w:style w:type="paragraph" w:styleId="IntenseQuote">
    <w:name w:val="Intense Quote"/>
    <w:basedOn w:val="Normal"/>
    <w:next w:val="Normal"/>
    <w:link w:val="IntenseQuoteChar"/>
    <w:uiPriority w:val="30"/>
    <w:qFormat/>
    <w:rsid w:val="006F1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876"/>
    <w:rPr>
      <w:i/>
      <w:iCs/>
      <w:color w:val="2F5496" w:themeColor="accent1" w:themeShade="BF"/>
    </w:rPr>
  </w:style>
  <w:style w:type="character" w:styleId="IntenseReference">
    <w:name w:val="Intense Reference"/>
    <w:basedOn w:val="DefaultParagraphFont"/>
    <w:uiPriority w:val="32"/>
    <w:qFormat/>
    <w:rsid w:val="006F18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1914</Words>
  <Characters>10916</Characters>
  <Application>Microsoft Office Word</Application>
  <DocSecurity>0</DocSecurity>
  <Lines>90</Lines>
  <Paragraphs>25</Paragraphs>
  <ScaleCrop>false</ScaleCrop>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Amisha Srivastava</dc:creator>
  <cp:keywords/>
  <dc:description/>
  <cp:lastModifiedBy>Amisha Srivastava</cp:lastModifiedBy>
  <cp:revision>2</cp:revision>
  <dcterms:created xsi:type="dcterms:W3CDTF">2026-04-13T17:58:00Z</dcterms:created>
  <dcterms:modified xsi:type="dcterms:W3CDTF">2026-04-13T17:58:00Z</dcterms:modified>
</cp:coreProperties>
</file>