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u w:val="none"/>
        </w:rPr>
        <w:t>Spettabile</w:t>
      </w:r>
    </w:p>
    <w:p>
      <w:pPr>
        <w:spacing w:after="0"/>
      </w:pPr>
      <w:r>
        <w:rPr>
          <w:b/>
          <w:u w:val="none"/>
        </w:rPr>
        <w:t>SIEM S.R.L.</w:t>
      </w:r>
    </w:p>
    <w:p>
      <w:pPr>
        <w:spacing w:after="60"/>
      </w:pPr>
      <w:r>
        <w:t>Via Maccari 2 – 60131 Ancona (AN)</w:t>
      </w:r>
    </w:p>
    <w:p>
      <w:pPr>
        <w:spacing w:after="60"/>
      </w:pPr>
      <w:r>
        <w:t>C.f. 00325350429</w:t>
      </w:r>
    </w:p>
    <w:p>
      <w:pPr>
        <w:spacing w:after="60"/>
      </w:pPr>
      <w:r>
        <w:t xml:space="preserve">Pec: </w:t>
      </w:r>
      <w:r>
        <w:rPr>
          <w:highlight w:val="lightGray"/>
        </w:rPr>
        <w:t>_______________________________</w:t>
      </w:r>
    </w:p>
    <w:p>
      <w:pPr>
        <w:spacing w:after="40"/>
      </w:pPr>
    </w:p>
    <w:p>
      <w:pPr>
        <w:spacing w:after="0"/>
      </w:pPr>
      <w:r>
        <w:rPr>
          <w:b w:val="0"/>
          <w:u w:val="none"/>
        </w:rPr>
        <w:t>Spettabile</w:t>
      </w:r>
    </w:p>
    <w:p>
      <w:pPr>
        <w:spacing w:after="0"/>
      </w:pPr>
      <w:r>
        <w:rPr>
          <w:b/>
          <w:u w:val="none"/>
        </w:rPr>
        <w:t>SPV SIEM S.R.L.</w:t>
      </w:r>
    </w:p>
    <w:p>
      <w:pPr>
        <w:spacing w:after="60"/>
      </w:pPr>
      <w:r>
        <w:t xml:space="preserve">Sede: </w:t>
      </w:r>
      <w:r>
        <w:rPr>
          <w:highlight w:val="lightGray"/>
        </w:rPr>
        <w:t>______________________________________</w:t>
      </w:r>
    </w:p>
    <w:p>
      <w:pPr>
        <w:spacing w:after="60"/>
      </w:pPr>
      <w:r>
        <w:t xml:space="preserve">C.f. </w:t>
      </w:r>
      <w:r>
        <w:rPr>
          <w:highlight w:val="lightGray"/>
        </w:rPr>
        <w:t>_________________________</w:t>
      </w:r>
    </w:p>
    <w:p>
      <w:pPr>
        <w:spacing w:after="60"/>
      </w:pPr>
      <w:r>
        <w:t xml:space="preserve">Pec: </w:t>
      </w:r>
      <w:r>
        <w:rPr>
          <w:highlight w:val="lightGray"/>
        </w:rPr>
        <w:t>_______________________________</w:t>
      </w:r>
    </w:p>
    <w:p>
      <w:pPr>
        <w:spacing w:after="40"/>
      </w:pPr>
    </w:p>
    <w:p>
      <w:r>
        <w:rPr>
          <w:b w:val="0"/>
          <w:u w:val="none"/>
        </w:rPr>
        <w:t>Alla cortese attenzione degli Organi Amministrativi</w:t>
      </w:r>
    </w:p>
    <w:p>
      <w:pPr>
        <w:spacing w:after="60"/>
      </w:pPr>
      <w:r>
        <w:rPr>
          <w:highlight w:val="lightGray"/>
        </w:rPr>
        <w:t>Verona</w:t>
      </w:r>
      <w:r>
        <w:t xml:space="preserve"> , </w:t>
      </w:r>
      <w:r>
        <w:rPr>
          <w:highlight w:val="lightGray"/>
        </w:rPr>
        <w:t>____________________</w:t>
      </w:r>
    </w:p>
    <w:p>
      <w:pPr>
        <w:spacing w:before="200" w:after="200"/>
        <w:jc w:val="both"/>
      </w:pPr>
      <w:r>
        <w:rPr>
          <w:b/>
          <w:u w:val="single"/>
        </w:rPr>
        <w:t>Oggetto: Proposta di incarico per l'emissione della relazione prevista dall'art. 2501-bis, comma 5, del Codice Civile (fusione per incorporazione di SPV SIEM S.r.l. in SIEM S.r.l.)</w:t>
      </w:r>
    </w:p>
    <w:p>
      <w:pPr>
        <w:jc w:val="both"/>
      </w:pPr>
      <w:r>
        <w:rPr>
          <w:b w:val="0"/>
          <w:u w:val="none"/>
        </w:rPr>
        <w:t>Egregi Signori,</w:t>
      </w:r>
    </w:p>
    <w:p>
      <w:pPr>
        <w:jc w:val="both"/>
      </w:pPr>
      <w:r>
        <w:rPr>
          <w:b w:val="0"/>
          <w:u w:val="none"/>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u w:val="none"/>
        </w:rPr>
        <w:t>Per quanto ci avete rappresentato e per quanto risulta dalla documentazione ricevuta:</w:t>
      </w:r>
    </w:p>
    <w:p>
      <w:pPr>
        <w:spacing w:after="120"/>
        <w:ind w:left="981" w:hanging="283"/>
        <w:jc w:val="both"/>
      </w:pPr>
      <w:r>
        <w:t>-</w:t>
        <w:tab/>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spacing w:after="120"/>
        <w:ind w:left="981" w:hanging="283"/>
        <w:jc w:val="both"/>
      </w:pPr>
      <w:r>
        <w:t>-</w:t>
        <w:tab/>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spacing w:after="120"/>
        <w:ind w:left="981" w:hanging="283"/>
        <w:jc w:val="both"/>
      </w:pPr>
      <w:r>
        <w:t>-</w:t>
        <w:tab/>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spacing w:after="120"/>
        <w:ind w:left="981" w:hanging="283"/>
        <w:jc w:val="both"/>
      </w:pPr>
      <w:r>
        <w:t>-</w:t>
        <w:tab/>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u w:val="none"/>
        </w:rPr>
        <w:t>L'operazione rientra pertanto nella fattispecie della fusione a seguito di acquisizione con indebitamento disciplinata dall'art. 2501-bis del Codice Civile (c.d. merger leveraged buy out), che richiede, tra l'altro:</w:t>
      </w:r>
    </w:p>
    <w:p>
      <w:pPr>
        <w:spacing w:after="120"/>
        <w:ind w:left="981" w:hanging="283"/>
        <w:jc w:val="both"/>
      </w:pPr>
      <w:r>
        <w:t>-</w:t>
        <w:tab/>
        <w:t>che il progetto di fusione indichi le risorse finanziarie previste per il soddisfacimento delle obbligazioni della società risultante dalla fusione (comma 2);</w:t>
      </w:r>
    </w:p>
    <w:p>
      <w:pPr>
        <w:spacing w:after="120"/>
        <w:ind w:left="981" w:hanging="283"/>
        <w:jc w:val="both"/>
      </w:pPr>
      <w:r>
        <w:t>-</w:t>
        <w:tab/>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spacing w:after="120"/>
        <w:ind w:left="981" w:hanging="283"/>
        <w:jc w:val="both"/>
      </w:pPr>
      <w:r>
        <w:t>-</w:t>
        <w:tab/>
        <w:t>che la relazione degli esperti di cui all'art. 2501-sexies c.c. attesti la ragionevolezza delle indicazioni contenute nel progetto di fusione ai sensi del comma 2 (comma 4);</w:t>
      </w:r>
    </w:p>
    <w:p>
      <w:pPr>
        <w:spacing w:after="120"/>
        <w:ind w:left="981" w:hanging="283"/>
        <w:jc w:val="both"/>
      </w:pPr>
      <w:r>
        <w:t>-</w:t>
        <w:tab/>
        <w:t>che al progetto sia allegata una relazione del soggetto incaricato della revisione legale dei conti della società obiettivo o della società acquirente (comma 5).</w:t>
      </w:r>
    </w:p>
    <w:p>
      <w:pPr>
        <w:jc w:val="both"/>
      </w:pPr>
      <w:r>
        <w:rPr>
          <w:b w:val="0"/>
          <w:u w:val="none"/>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spacing w:before="220" w:after="160"/>
        <w:jc w:val="center"/>
      </w:pPr>
      <w:r>
        <w:rPr>
          <w:b/>
          <w:sz w:val="26"/>
          <w:u w:val="none"/>
        </w:rPr>
        <w:t>Oggetto dell'incarico</w:t>
      </w:r>
    </w:p>
    <w:p>
      <w:pPr>
        <w:jc w:val="both"/>
      </w:pPr>
      <w:r>
        <w:rPr>
          <w:b w:val="0"/>
          <w:u w:val="none"/>
        </w:rPr>
        <w:t>Oggetto della proposta è il seguente:</w:t>
      </w:r>
    </w:p>
    <w:p>
      <w:pPr>
        <w:spacing w:after="120"/>
        <w:ind w:left="981" w:hanging="283"/>
        <w:jc w:val="both"/>
      </w:pPr>
      <w:r>
        <w:t>-</w:t>
        <w:tab/>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spacing w:after="120"/>
        <w:ind w:left="981" w:hanging="283"/>
        <w:jc w:val="both"/>
      </w:pPr>
      <w:r>
        <w:t>-</w:t>
        <w:tab/>
        <w:t>l'esame, a tal fine, delle ipotesi e degli elementi posti a fondamento del piano economico e finanziario e della documentazione di supporto;</w:t>
      </w:r>
    </w:p>
    <w:p>
      <w:pPr>
        <w:spacing w:after="60"/>
      </w:pPr>
      <w:r>
        <w:t>- la consegna della relazione in tempo utile per gli adempimenti pubblicitari relativi al progetto di</w:t>
      </w:r>
    </w:p>
    <w:p>
      <w:pPr>
        <w:spacing w:after="60"/>
      </w:pPr>
      <w:r>
        <w:t xml:space="preserve">  fusione ai sensi dell'art. 2501-ter, terzo comma, del Codice Civile, indicativamente entro il </w:t>
      </w:r>
      <w:r>
        <w:rPr>
          <w:highlight w:val="lightGray"/>
        </w:rPr>
        <w:t>_____________</w:t>
      </w:r>
    </w:p>
    <w:p>
      <w:pPr>
        <w:jc w:val="both"/>
      </w:pPr>
      <w:r>
        <w:rPr>
          <w:b w:val="0"/>
          <w:u w:val="none"/>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40" w:after="140"/>
      </w:pPr>
      <w:r>
        <w:rPr>
          <w:b/>
          <w:sz w:val="22"/>
          <w:u w:val="single"/>
        </w:rPr>
        <w:t>1. Natura dell'incarico</w:t>
      </w:r>
    </w:p>
    <w:p>
      <w:pPr>
        <w:jc w:val="both"/>
      </w:pPr>
      <w:r>
        <w:rPr>
          <w:b w:val="0"/>
          <w:u w:val="none"/>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u w:val="none"/>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u w:val="none"/>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u w:val="none"/>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40" w:after="140"/>
      </w:pPr>
      <w:r>
        <w:rPr>
          <w:b/>
          <w:sz w:val="22"/>
          <w:u w:val="single"/>
        </w:rPr>
        <w:t>2. Modalità di svolgimento dell'incarico</w:t>
      </w:r>
    </w:p>
    <w:p>
      <w:pPr>
        <w:jc w:val="both"/>
      </w:pPr>
      <w:r>
        <w:rPr>
          <w:b w:val="0"/>
          <w:u w:val="none"/>
        </w:rPr>
        <w:t>Il lavoro comprenderà, tra l'altro, le seguenti attività:</w:t>
      </w:r>
    </w:p>
    <w:p>
      <w:pPr>
        <w:spacing w:after="120"/>
        <w:ind w:left="981" w:hanging="283"/>
        <w:jc w:val="both"/>
      </w:pPr>
      <w:r>
        <w:t>-</w:t>
        <w:tab/>
        <w:t>acquisizione della conoscenza dell'operazione, della struttura dell'acquisizione e delle relative fonti di finanziamento, anche mediante colloqui con la direzione e con i consulenti delle Società;</w:t>
      </w:r>
    </w:p>
    <w:p>
      <w:pPr>
        <w:spacing w:after="120"/>
        <w:ind w:left="981" w:hanging="283"/>
        <w:jc w:val="both"/>
      </w:pPr>
      <w:r>
        <w:t>-</w:t>
        <w:tab/>
        <w:t>lettura del progetto di fusione, delle relazioni degli organi amministrativi di cui agli artt. 2501-quinquies e 2501-bis, comma 3, del Codice Civile e della documentazione relativa all'indebitamento contratto per l'acquisizione;</w:t>
      </w:r>
    </w:p>
    <w:p>
      <w:pPr>
        <w:spacing w:after="120"/>
        <w:ind w:left="981" w:hanging="283"/>
        <w:jc w:val="both"/>
      </w:pPr>
      <w:r>
        <w:t>-</w:t>
        <w:tab/>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spacing w:after="120"/>
        <w:ind w:left="981" w:hanging="283"/>
        <w:jc w:val="both"/>
      </w:pPr>
      <w:r>
        <w:t>-</w:t>
        <w:tab/>
        <w:t>verifica della correttezza aritmetica del piano e della sua corretta elaborazione sulla base delle ipotesi formulate;</w:t>
      </w:r>
    </w:p>
    <w:p>
      <w:pPr>
        <w:spacing w:after="120"/>
        <w:ind w:left="981" w:hanging="283"/>
        <w:jc w:val="both"/>
      </w:pPr>
      <w:r>
        <w:t>-</w:t>
        <w:tab/>
        <w:t>esame degli eventi successivi intervenuti sino alla data della relazione, nella misura in cui siano rilevanti rispetto alle conclusioni;</w:t>
      </w:r>
    </w:p>
    <w:p>
      <w:pPr>
        <w:spacing w:after="120"/>
        <w:ind w:left="981" w:hanging="283"/>
        <w:jc w:val="both"/>
      </w:pPr>
      <w:r>
        <w:t>-</w:t>
        <w:tab/>
        <w:t>acquisizione di una lettera di attestazione sottoscritta dagli organi amministrativi delle Società.</w:t>
      </w:r>
    </w:p>
    <w:p>
      <w:pPr>
        <w:spacing w:before="240" w:after="140"/>
      </w:pPr>
      <w:r>
        <w:rPr>
          <w:b/>
          <w:sz w:val="22"/>
          <w:u w:val="single"/>
        </w:rPr>
        <w:t>3. Responsabilità e attestazioni degli Organi Amministrativi</w:t>
      </w:r>
    </w:p>
    <w:p>
      <w:pPr>
        <w:jc w:val="both"/>
      </w:pPr>
      <w:r>
        <w:rPr>
          <w:b w:val="0"/>
          <w:u w:val="none"/>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u w:val="none"/>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4.</w:t>
      </w:r>
    </w:p>
    <w:p>
      <w:pPr>
        <w:jc w:val="both"/>
      </w:pPr>
      <w:r>
        <w:rPr>
          <w:b w:val="0"/>
          <w:u w:val="none"/>
        </w:rPr>
        <w:t>Considerata l'importanza che le informazioni e le attestazioni fornite dagli organi amministrativi hanno per il corretto svolgimento dell'incarico, resta inteso che le Società dovranno tenere indenni la nostra società e il personale che ha partecipato all'incarico da eventuali danni conseguenti a false e/o omesse informazioni e attestazioni fornite. Il mancato rilascio della lettera di attestazione costituisce una limitazione allo svolgimento delle verifiche e sarà trattato in conformità alla prassi professionale di riferimento.</w:t>
      </w:r>
    </w:p>
    <w:p>
      <w:pPr>
        <w:spacing w:before="240" w:after="140"/>
      </w:pPr>
      <w:r>
        <w:rPr>
          <w:b/>
          <w:sz w:val="22"/>
          <w:u w:val="single"/>
        </w:rPr>
        <w:t>4. Personale impiegato, tempi, corrispettivi e altre spese accessorie</w:t>
      </w:r>
    </w:p>
    <w:p>
      <w:pPr>
        <w:spacing w:before="200" w:after="120"/>
      </w:pPr>
      <w:r>
        <w:rPr>
          <w:b/>
          <w:sz w:val="21"/>
          <w:u w:val="none"/>
        </w:rPr>
        <w:t>●   Personale impiegato</w:t>
      </w:r>
    </w:p>
    <w:p>
      <w:pPr>
        <w:spacing w:after="60"/>
      </w:pPr>
      <w:r>
        <w:t>L'incarico verrà svolto dal personale del nostro ufficio di Verona, coordinato e diretto da un nostro</w:t>
      </w:r>
    </w:p>
    <w:p>
      <w:pPr>
        <w:spacing w:after="60"/>
      </w:pPr>
      <w:r>
        <w:t xml:space="preserve">dirigente e sotto la responsabilità del Dott. </w:t>
      </w:r>
      <w:r>
        <w:rPr>
          <w:highlight w:val="lightGray"/>
        </w:rPr>
        <w:t>_________________________________</w:t>
      </w:r>
      <w:r>
        <w:t>,</w:t>
      </w:r>
    </w:p>
    <w:p>
      <w:pPr>
        <w:spacing w:after="60"/>
      </w:pPr>
      <w:r>
        <w:t xml:space="preserve">socio della nostra società. Il riesame della qualità dell'incarico è affidato a </w:t>
      </w:r>
      <w:r>
        <w:rPr>
          <w:highlight w:val="lightGray"/>
        </w:rPr>
        <w:t>_________________________</w:t>
      </w:r>
      <w:r>
        <w:t>.</w:t>
      </w:r>
    </w:p>
    <w:p>
      <w:pPr>
        <w:spacing w:after="60"/>
      </w:pPr>
      <w:r>
        <w:t xml:space="preserve">Il team di lavoro è composto da: </w:t>
      </w:r>
      <w:r>
        <w:rPr>
          <w:highlight w:val="lightGray"/>
        </w:rPr>
        <w:t>______________________________________________</w:t>
      </w:r>
      <w:r>
        <w:t>.</w:t>
      </w:r>
    </w:p>
    <w:p>
      <w:pPr>
        <w:jc w:val="both"/>
      </w:pPr>
      <w:r>
        <w:rPr>
          <w:b w:val="0"/>
          <w:u w:val="none"/>
        </w:rPr>
        <w:t>Nel corso dello svolgimento delle nostre attività di verifica, potremo, qualora ritenuto necessario, avvalerci della collaborazione di professionisti esperti in specifiche discipline che opereranno con obbligo di riservatezza. La scelta degli esperti viene effettuata dalla nostra società in considerazione della competenza tecnica necessaria per l'intervento richiesto e in maniera da garantire l'indipendenza del giudizio dello stesso esperto. Sarà nostra cura informarVi, tempestivamente, degli obiettivi e delle modalità di svolgimento dell'eventuale attività dell'esperto.</w:t>
      </w:r>
    </w:p>
    <w:p>
      <w:pPr>
        <w:spacing w:before="200" w:after="120"/>
      </w:pPr>
      <w:r>
        <w:rPr>
          <w:b/>
          <w:sz w:val="21"/>
          <w:u w:val="none"/>
        </w:rPr>
        <w:t>●   Tempi e corrispettivi</w:t>
      </w:r>
    </w:p>
    <w:p>
      <w:pPr>
        <w:jc w:val="both"/>
      </w:pPr>
      <w:r>
        <w:rPr>
          <w:b w:val="0"/>
          <w:u w:val="none"/>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jc w:val="both"/>
      </w:pPr>
      <w:r>
        <w:rPr>
          <w:b w:val="0"/>
          <w:u w:val="none"/>
        </w:rPr>
        <w:t>Il riepilogo delle stime dei tempi di lavoro e dei relativi corrispettivi risulta essere il seguente:</w:t>
      </w:r>
    </w:p>
    <w:tbl>
      <w:tblPr>
        <w:tblStyle w:val="TableGrid"/>
        <w:tblW w:type="auto" w:w="0"/>
        <w:jc w:val="center"/>
        <w:tblLook w:firstColumn="1" w:firstRow="1" w:lastColumn="0" w:lastRow="0" w:noHBand="0" w:noVBand="1" w:val="04A0"/>
      </w:tblPr>
      <w:tblGrid>
        <w:gridCol w:w="6350"/>
        <w:gridCol w:w="1134"/>
        <w:gridCol w:w="2098"/>
      </w:tblGrid>
      <w:tr>
        <w:tc>
          <w:tcPr>
            <w:tcW w:type="dxa" w:w="6350"/>
            <w:shd w:val="clear" w:fill="DDEBF7"/>
          </w:tcPr>
          <w:p>
            <w:r>
              <w:rPr>
                <w:sz w:val="20"/>
              </w:rPr>
              <w:t>CORRISPETTIVI</w:t>
            </w:r>
          </w:p>
        </w:tc>
        <w:tc>
          <w:tcPr>
            <w:tcW w:type="dxa" w:w="1134"/>
            <w:shd w:val="clear" w:fill="DDEBF7"/>
          </w:tcPr>
          <w:p>
            <w:pPr>
              <w:jc w:val="center"/>
            </w:pPr>
            <w:r>
              <w:rPr>
                <w:sz w:val="20"/>
              </w:rPr>
              <w:t>ORE</w:t>
            </w:r>
          </w:p>
        </w:tc>
        <w:tc>
          <w:tcPr>
            <w:tcW w:type="dxa" w:w="2098"/>
            <w:shd w:val="clear" w:fill="DDEBF7"/>
          </w:tcPr>
          <w:p>
            <w:pPr>
              <w:jc w:val="center"/>
            </w:pPr>
            <w:r>
              <w:rPr>
                <w:sz w:val="20"/>
              </w:rPr>
              <w:t>EURO</w:t>
            </w:r>
          </w:p>
        </w:tc>
      </w:tr>
      <w:tr>
        <w:tc>
          <w:tcPr>
            <w:tcW w:type="dxa" w:w="6350"/>
          </w:tcPr>
          <w:p/>
        </w:tc>
        <w:tc>
          <w:tcPr>
            <w:tcW w:type="dxa" w:w="1134"/>
          </w:tcPr>
          <w:p/>
        </w:tc>
        <w:tc>
          <w:tcPr>
            <w:tcW w:type="dxa" w:w="2098"/>
          </w:tcPr>
          <w:p/>
        </w:tc>
      </w:tr>
      <w:tr>
        <w:tc>
          <w:tcPr>
            <w:tcW w:type="dxa" w:w="6350"/>
          </w:tcPr>
          <w:p>
            <w:r>
              <w:rPr>
                <w:sz w:val="19"/>
              </w:rPr>
              <w:t>a) Comprensione dell'operazione ed esame della documentazione di fusione</w:t>
            </w:r>
          </w:p>
        </w:tc>
        <w:tc>
          <w:tcPr>
            <w:tcW w:type="dxa" w:w="1134"/>
          </w:tcPr>
          <w:p>
            <w:pPr>
              <w:jc w:val="center"/>
            </w:pPr>
            <w:r>
              <w:rPr>
                <w:sz w:val="19"/>
                <w:highlight w:val="lightGray"/>
              </w:rPr>
              <w:t>24</w:t>
            </w:r>
          </w:p>
        </w:tc>
        <w:tc>
          <w:tcPr>
            <w:tcW w:type="dxa" w:w="2098"/>
          </w:tcPr>
          <w:p>
            <w:pPr>
              <w:jc w:val="center"/>
            </w:pPr>
            <w:r>
              <w:rPr>
                <w:sz w:val="19"/>
                <w:highlight w:val="lightGray"/>
              </w:rPr>
              <w:t>3.000</w:t>
            </w:r>
          </w:p>
        </w:tc>
      </w:tr>
      <w:tr>
        <w:tc>
          <w:tcPr>
            <w:tcW w:type="dxa" w:w="6350"/>
          </w:tcPr>
          <w:p>
            <w:r>
              <w:rPr>
                <w:sz w:val="19"/>
              </w:rPr>
              <w:t>b) Esame del piano economico-finanziario e analisi di sostenibilità dell'indebitamento</w:t>
            </w:r>
          </w:p>
        </w:tc>
        <w:tc>
          <w:tcPr>
            <w:tcW w:type="dxa" w:w="1134"/>
          </w:tcPr>
          <w:p>
            <w:pPr>
              <w:jc w:val="center"/>
            </w:pPr>
            <w:r>
              <w:rPr>
                <w:sz w:val="19"/>
                <w:highlight w:val="lightGray"/>
              </w:rPr>
              <w:t>36</w:t>
            </w:r>
          </w:p>
        </w:tc>
        <w:tc>
          <w:tcPr>
            <w:tcW w:type="dxa" w:w="2098"/>
          </w:tcPr>
          <w:p>
            <w:pPr>
              <w:jc w:val="center"/>
            </w:pPr>
            <w:r>
              <w:rPr>
                <w:sz w:val="19"/>
                <w:highlight w:val="lightGray"/>
              </w:rPr>
              <w:t>4.500</w:t>
            </w:r>
          </w:p>
        </w:tc>
      </w:tr>
      <w:tr>
        <w:tc>
          <w:tcPr>
            <w:tcW w:type="dxa" w:w="6350"/>
          </w:tcPr>
          <w:p>
            <w:r>
              <w:rPr>
                <w:sz w:val="19"/>
              </w:rPr>
              <w:t>c) Predisposizione ed emissione della relazione ex art. 2501-bis, comma 5, c.c.</w:t>
            </w:r>
          </w:p>
        </w:tc>
        <w:tc>
          <w:tcPr>
            <w:tcW w:type="dxa" w:w="1134"/>
          </w:tcPr>
          <w:p>
            <w:pPr>
              <w:jc w:val="center"/>
            </w:pPr>
            <w:r>
              <w:rPr>
                <w:sz w:val="19"/>
                <w:highlight w:val="lightGray"/>
              </w:rPr>
              <w:t>20</w:t>
            </w:r>
          </w:p>
        </w:tc>
        <w:tc>
          <w:tcPr>
            <w:tcW w:type="dxa" w:w="2098"/>
          </w:tcPr>
          <w:p>
            <w:pPr>
              <w:jc w:val="center"/>
            </w:pPr>
            <w:r>
              <w:rPr>
                <w:sz w:val="19"/>
                <w:highlight w:val="lightGray"/>
              </w:rPr>
              <w:t>2.500</w:t>
            </w:r>
          </w:p>
        </w:tc>
      </w:tr>
      <w:tr>
        <w:tc>
          <w:tcPr>
            <w:tcW w:type="dxa" w:w="6350"/>
          </w:tcPr>
          <w:p/>
        </w:tc>
        <w:tc>
          <w:tcPr>
            <w:tcW w:type="dxa" w:w="1134"/>
          </w:tcPr>
          <w:p/>
        </w:tc>
        <w:tc>
          <w:tcPr>
            <w:tcW w:type="dxa" w:w="2098"/>
          </w:tcPr>
          <w:p/>
        </w:tc>
      </w:tr>
      <w:tr>
        <w:tc>
          <w:tcPr>
            <w:tcW w:type="dxa" w:w="6350"/>
          </w:tcPr>
          <w:p>
            <w:r>
              <w:rPr>
                <w:b/>
                <w:sz w:val="20"/>
              </w:rPr>
              <w:t>TOTALE</w:t>
            </w:r>
          </w:p>
        </w:tc>
        <w:tc>
          <w:tcPr>
            <w:tcW w:type="dxa" w:w="1134"/>
          </w:tcPr>
          <w:p>
            <w:pPr>
              <w:jc w:val="center"/>
            </w:pPr>
            <w:r>
              <w:rPr>
                <w:b/>
                <w:sz w:val="19"/>
                <w:highlight w:val="lightGray"/>
              </w:rPr>
              <w:t>80</w:t>
            </w:r>
          </w:p>
        </w:tc>
        <w:tc>
          <w:tcPr>
            <w:tcW w:type="dxa" w:w="2098"/>
          </w:tcPr>
          <w:p>
            <w:pPr>
              <w:jc w:val="center"/>
            </w:pPr>
            <w:r>
              <w:rPr>
                <w:b/>
                <w:sz w:val="19"/>
                <w:highlight w:val="lightGray"/>
              </w:rPr>
              <w:t>10.000</w:t>
            </w:r>
          </w:p>
        </w:tc>
      </w:tr>
    </w:tbl>
    <w:p>
      <w:pPr>
        <w:spacing w:after="40"/>
      </w:pPr>
    </w:p>
    <w:p>
      <w:pPr>
        <w:spacing w:after="60"/>
      </w:pPr>
      <w:r>
        <w:t xml:space="preserve">La stima si basa su una tariffa oraria media di Euro </w:t>
      </w:r>
      <w:r>
        <w:rPr>
          <w:highlight w:val="lightGray"/>
        </w:rPr>
        <w:t>125</w:t>
      </w:r>
      <w:r>
        <w:t>, determinata in ragione della prevalenza di</w:t>
      </w:r>
    </w:p>
    <w:p>
      <w:pPr>
        <w:spacing w:after="60"/>
      </w:pPr>
      <w:r>
        <w:t>ore di partner e manager richiesta dall'incarico.</w:t>
      </w:r>
    </w:p>
    <w:p>
      <w:pPr>
        <w:jc w:val="both"/>
      </w:pPr>
      <w:r>
        <w:rPr>
          <w:b w:val="0"/>
          <w:u w:val="none"/>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sopra indicata, previa comunicazione alle Società.</w:t>
      </w:r>
    </w:p>
    <w:p>
      <w:pPr>
        <w:jc w:val="both"/>
      </w:pPr>
      <w:r>
        <w:rPr>
          <w:b w:val="0"/>
          <w:u w:val="none"/>
        </w:rPr>
        <w:t>I tempi di lavoro sono stati stimati presupponendo che potremo contare sulla collaborazione del personale delle Società per la messa a disposizione di dati e documenti e delle elaborazioni che si renderanno necessarie per l'effettuazione delle verifiche.</w:t>
      </w:r>
    </w:p>
    <w:p>
      <w:pPr>
        <w:spacing w:before="200" w:after="120"/>
      </w:pPr>
      <w:r>
        <w:rPr>
          <w:b/>
          <w:sz w:val="21"/>
          <w:u w:val="none"/>
        </w:rPr>
        <w:t>●   Altre spese e modalità di fatturazione</w:t>
      </w:r>
    </w:p>
    <w:p>
      <w:pPr>
        <w:jc w:val="both"/>
      </w:pPr>
      <w:r>
        <w:rPr>
          <w:b w:val="0"/>
          <w:u w:val="none"/>
        </w:rPr>
        <w:t>I corrispettivi sopra indicati riguardano esclusivamente le prestazioni professionali per l'incarico in oggetto e non comprendono le spese sostenute per lo svolgimento del lavoro, quali, indicativamente, le spese relative a viaggi, vitto e alloggio, che verranno addebitate alle Società nella stessa misura in cui sono sostenute.</w:t>
      </w:r>
    </w:p>
    <w:p>
      <w:pPr>
        <w:jc w:val="both"/>
      </w:pPr>
      <w:r>
        <w:rPr>
          <w:b w:val="0"/>
          <w:u w:val="none"/>
        </w:rPr>
        <w:t>Saranno addebitate alle Società, inoltre, tutte le spese accessorie relative alla tecnologia, banche dati, software, ecc. ed ai servizi di segreteria e comunicazione, nella misura forfettaria del 5% degli onorari fatturati, nonché l'IVA.</w:t>
      </w:r>
    </w:p>
    <w:p>
      <w:pPr>
        <w:jc w:val="both"/>
      </w:pPr>
      <w:r>
        <w:t xml:space="preserve">La fatturazione dei corrispettivi avverrà: </w:t>
      </w:r>
      <w:r>
        <w:rPr>
          <w:b/>
        </w:rPr>
        <w:t>quanto al 50%, all'accettazione della presente proposta; quanto al residuo 50%, alla consegna della relazione</w:t>
      </w:r>
      <w:r>
        <w:t>, oltre spese ed IVA.</w:t>
      </w:r>
    </w:p>
    <w:p>
      <w:pPr>
        <w:jc w:val="both"/>
      </w:pPr>
      <w:r>
        <w:t xml:space="preserve">Il pagamento dovrà essere effettuato a </w:t>
      </w:r>
      <w:r>
        <w:rPr>
          <w:b/>
        </w:rPr>
        <w:t>30 giorni data fattura tramite ricevuta bancaria a scadenza.</w:t>
      </w:r>
    </w:p>
    <w:p>
      <w:pPr>
        <w:spacing w:after="60"/>
      </w:pPr>
      <w:r>
        <w:t xml:space="preserve">I corrispettivi saranno fatturati a </w:t>
      </w:r>
      <w:r>
        <w:rPr>
          <w:highlight w:val="lightGray"/>
        </w:rPr>
        <w:t>SIEM S.R.L.</w:t>
      </w:r>
      <w:r>
        <w:t>.</w:t>
      </w:r>
    </w:p>
    <w:p>
      <w:pPr>
        <w:jc w:val="both"/>
      </w:pPr>
      <w:r>
        <w:rPr>
          <w:b w:val="0"/>
          <w:u w:val="none"/>
        </w:rPr>
        <w:t>Ad eccezione di situazioni qualificabili quale giusta causa, qualunque contestazione fosse sollevata dalle Società o dovesse comunque sorgere tra le parti, le Società non potranno sospendere o ritardare l'obbligo di pagare nei termini fissati nella presente proposta le somme dovute, né gli altri obblighi assunti con l'accettazione della presente proposta, con espressa rinuncia a sollevare eccezioni di qualsiasi genere.</w:t>
      </w:r>
    </w:p>
    <w:p>
      <w:pPr>
        <w:jc w:val="both"/>
      </w:pPr>
      <w:r>
        <w:rPr>
          <w:b w:val="0"/>
          <w:u w:val="none"/>
        </w:rPr>
        <w:t>In caso di ritardato pagamento rispetto ai termini indicati nella presente proposta, REVILAW S.p.A., senza necessità di intimazione o formale messa in mora da parte di quest'ultima, si riserva la possibilità di addebitare gli interessi sugli importi scaduti calcolati nella misura prevista dal Decreto Legislativo n. 231 del 09/10/2002 decorrenti dalla data di scadenza del pagamento sino al saldo.</w:t>
      </w:r>
    </w:p>
    <w:p>
      <w:pPr>
        <w:jc w:val="both"/>
      </w:pPr>
      <w:r>
        <w:rPr>
          <w:b w:val="0"/>
          <w:u w:val="none"/>
        </w:rPr>
        <w:t>Ogni pagamento previsto nella presente proposta, salvo diverso accordo scritto, dovrà essere adempiuto in favore della REVILAW S.p.A. presso la sede legale e amministrativa e contabile della stessa, sita in Verona, Via XX Settembre, 9, a mezzo bonifico bancario sul conto corrente di cui alle coordinate bancarie che saranno indicate di volta in volta in fattura.</w:t>
      </w:r>
    </w:p>
    <w:p>
      <w:pPr>
        <w:jc w:val="both"/>
      </w:pPr>
      <w:r>
        <w:rPr>
          <w:b w:val="0"/>
          <w:u w:val="none"/>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40" w:after="140"/>
      </w:pPr>
      <w:r>
        <w:rPr>
          <w:b/>
          <w:sz w:val="22"/>
          <w:u w:val="single"/>
        </w:rPr>
        <w:t>5. Comunicazioni e coordinamento con l'esperto ex art. 2501-sexies c.c.</w:t>
      </w:r>
    </w:p>
    <w:p>
      <w:pPr>
        <w:jc w:val="both"/>
      </w:pPr>
      <w:r>
        <w:rPr>
          <w:b w:val="0"/>
          <w:u w:val="none"/>
        </w:rPr>
        <w:t>L'incarico sarà svolto in coordinamento con le attività dell'esperto incaricato della relazione di cui all'art. 2501-sexies del Codice Civile, ferma restando l'autonomia delle rispettive conclusioni. Manterremo inoltre un adeguato livello di comunicazione con gli organi amministrativi e di controllo delle Società in merito alla portata e alla tempistica delle verifiche, alle difficoltà significative eventualmente riscontrate e ad ogni altro aspetto rilevante emerso nel corso dell'incarico.</w:t>
      </w:r>
    </w:p>
    <w:p>
      <w:pPr>
        <w:spacing w:before="240" w:after="140"/>
      </w:pPr>
      <w:r>
        <w:rPr>
          <w:b/>
          <w:sz w:val="22"/>
          <w:u w:val="single"/>
        </w:rPr>
        <w:t>6. Documenti Finali</w:t>
      </w:r>
    </w:p>
    <w:p>
      <w:pPr>
        <w:jc w:val="both"/>
      </w:pPr>
      <w:r>
        <w:rPr>
          <w:b w:val="0"/>
          <w:u w:val="none"/>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u w:val="none"/>
        </w:rPr>
        <w:t>La versione definitiva ed ufficiale della nostra relazione sarà quella firmata in originale e non saremo responsabili per errori od inesattezze esistenti in qualsiasi riproduzione da Voi effettuata. Ogni utilizzo della relazione diverso da quello sopra indicato, ovvero la sua riproduzione parziale, dovrà essere preventivamente autorizzato per iscritto dalla scrivente.</w:t>
      </w:r>
    </w:p>
    <w:p>
      <w:pPr>
        <w:jc w:val="both"/>
      </w:pPr>
      <w:r>
        <w:rPr>
          <w:b w:val="0"/>
          <w:u w:val="none"/>
        </w:rPr>
        <w:t>La relazione sarà riferita alla data della sua emissione: non assumiamo alcun obbligo di aggiornarla per eventi o circostanze successivi, salvo separato incarico.</w:t>
      </w:r>
    </w:p>
    <w:p>
      <w:pPr>
        <w:spacing w:before="240" w:after="140"/>
      </w:pPr>
      <w:r>
        <w:rPr>
          <w:b/>
          <w:sz w:val="22"/>
          <w:u w:val="single"/>
        </w:rPr>
        <w:t>7. Indipendenza</w:t>
      </w:r>
    </w:p>
    <w:p>
      <w:pPr>
        <w:jc w:val="both"/>
      </w:pPr>
      <w:r>
        <w:rPr>
          <w:b w:val="0"/>
          <w:u w:val="none"/>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 Confermiamo l'impegno a monitorare eventuali minacce alla nostra indipendenza che possano sorgere nel corso dell'incarico ed a porre in essere tempestivamente le misure di salvaguardia che si rendessero di volta in volta necessarie.</w:t>
      </w:r>
    </w:p>
    <w:p>
      <w:pPr>
        <w:spacing w:before="240" w:after="140"/>
      </w:pPr>
      <w:r>
        <w:rPr>
          <w:b/>
          <w:sz w:val="22"/>
          <w:u w:val="single"/>
        </w:rPr>
        <w:t>8. Riservatezza dei dati</w:t>
      </w:r>
    </w:p>
    <w:p>
      <w:pPr>
        <w:jc w:val="both"/>
      </w:pPr>
      <w:r>
        <w:rPr>
          <w:b w:val="0"/>
          <w:u w:val="none"/>
        </w:rPr>
        <w:t>Ai sensi e per gli effetti dell'art. 13 del D.Lgs. 196/2003, codice in materia di protezione dei dati personali, (di seguito anche “Codice”), REVILAW S.p.A., con sede in Verona, Via XX Settembre, 9, in qualità di Titolare del trattamento dei dati, è tenuta a fornire alcune informazioni riguardanti l'utilizzo dei dati ottenuti durante lo svolgimento dell'incarico.</w:t>
      </w:r>
    </w:p>
    <w:p>
      <w:pPr>
        <w:jc w:val="both"/>
      </w:pPr>
      <w:r>
        <w:rPr>
          <w:b w:val="0"/>
          <w:u w:val="none"/>
        </w:rPr>
        <w:t>I dati e le informazioni raccolte durante lo svolgimento dell'incarico sono trattati per:</w:t>
      </w:r>
    </w:p>
    <w:p>
      <w:pPr>
        <w:spacing w:after="120"/>
        <w:ind w:left="981" w:hanging="283"/>
        <w:jc w:val="both"/>
      </w:pPr>
      <w:r>
        <w:t>-</w:t>
        <w:tab/>
        <w:t>finalità strettamente connesse alla gestione dell'incarico oggetto della presente proposta;</w:t>
      </w:r>
    </w:p>
    <w:p>
      <w:pPr>
        <w:spacing w:after="120"/>
        <w:ind w:left="981" w:hanging="283"/>
        <w:jc w:val="both"/>
      </w:pPr>
      <w:r>
        <w:t>-</w:t>
        <w:tab/>
        <w:t>finalità connesse agli obblighi previsti da leggi, regolamenti e normativa comunitaria nonché da disposizioni impartite da autorità a ciò legittimate dalla legge;</w:t>
      </w:r>
    </w:p>
    <w:p>
      <w:pPr>
        <w:spacing w:after="120"/>
        <w:ind w:left="981" w:hanging="283"/>
        <w:jc w:val="both"/>
      </w:pPr>
      <w:r>
        <w:t>-</w:t>
        <w:tab/>
        <w:t>finalità connesse alla disciplina in tema di antiriciclaggio;</w:t>
      </w:r>
    </w:p>
    <w:p>
      <w:pPr>
        <w:spacing w:after="120"/>
        <w:ind w:left="981" w:hanging="283"/>
        <w:jc w:val="both"/>
      </w:pPr>
      <w:r>
        <w:t>-</w:t>
        <w:tab/>
        <w:t>finalità informative del servizio resoVi al fine di partecipare a gare ad evidenza pubblica ovvero quali referenze o credenziali in offerte presentate a soggetti terzi.</w:t>
      </w:r>
    </w:p>
    <w:p>
      <w:pPr>
        <w:jc w:val="both"/>
      </w:pPr>
      <w:r>
        <w:rPr>
          <w:b w:val="0"/>
          <w:u w:val="none"/>
        </w:rPr>
        <w:t>In relazione alle indicate finalità il trattamento dei dati avverrà in modo da garantire la sicurezza e la riservatezza e potrà essere effettuato attraverso strumenti manuali, informatici e telematici atti a memorizzare, gestire e trasmettere i dati stessi nel rispetto delle misure di sicurezza previste dal Codice. Tutti gli Amministratori e dipendenti di REVILAW S.p.A. sono tenuti al segreto previsto dall'art. 2407 del codice civile.</w:t>
      </w:r>
    </w:p>
    <w:p>
      <w:pPr>
        <w:jc w:val="both"/>
      </w:pPr>
      <w:r>
        <w:rPr>
          <w:b w:val="0"/>
          <w:u w:val="none"/>
        </w:rPr>
        <w:t>I dati in possesso di REVILAW S.p.A. vengono raccolti direttamente presso di Voi; il conferimento dei dati è obbligatorio; la mancata disponibilità di dati rilevanti ai fini del corretto e completo svolgimento dell'attività di REVILAW S.p.A. in relazione all'incarico conferitole può rendere più difficile, più costoso ed - in alcuni casi - impossibile l'attività di REVILAW S.p.A.</w:t>
      </w:r>
    </w:p>
    <w:p>
      <w:pPr>
        <w:jc w:val="both"/>
      </w:pPr>
      <w:r>
        <w:rPr>
          <w:b w:val="0"/>
          <w:u w:val="none"/>
        </w:rPr>
        <w:t>L'accettazione della presente proposta comporta il Vostro consenso affinché da parte nostra si possa accedere ai - ed utilizzare i - dati che ci saranno necessari per lo svolgimento dell'attività oggetto della presente proposta.</w:t>
      </w:r>
    </w:p>
    <w:p>
      <w:pPr>
        <w:jc w:val="both"/>
      </w:pPr>
      <w:r>
        <w:rPr>
          <w:b w:val="0"/>
          <w:u w:val="none"/>
        </w:rPr>
        <w:t>Tutti i dati e le informazioni acquisite, in aggiunta alle comunicazioni previste nei confronti di soggetti e organi che hanno responsabilità di direzione, supervisione e controllo potranno essere comunicati esclusivamente a:</w:t>
      </w:r>
    </w:p>
    <w:p>
      <w:pPr>
        <w:spacing w:after="120"/>
        <w:ind w:left="981" w:hanging="283"/>
        <w:jc w:val="both"/>
      </w:pPr>
      <w:r>
        <w:t>-</w:t>
        <w:tab/>
        <w:t>autorità di Vigilanza, italiane o estere, nei casi e con le limitazioni previste dalla legge;</w:t>
      </w:r>
    </w:p>
    <w:p>
      <w:pPr>
        <w:spacing w:after="120"/>
        <w:ind w:left="981" w:hanging="283"/>
        <w:jc w:val="both"/>
      </w:pPr>
      <w:r>
        <w:t>-</w:t>
        <w:tab/>
        <w:t>autorità Amministrativa, giudiziaria e fiscale, nei casi e con le limitazioni previsti dalla Legge;</w:t>
      </w:r>
    </w:p>
    <w:p>
      <w:pPr>
        <w:spacing w:after="120"/>
        <w:ind w:left="981" w:hanging="283"/>
        <w:jc w:val="both"/>
      </w:pPr>
      <w:r>
        <w:t>-</w:t>
        <w:tab/>
        <w:t>altre Società di revisione, nei limiti previsti dalla normativa vigente e dai principi di revisione di riferimento e associazioni di categoria nell'ambito dello svolgimento delle procedure di controllo della qualità.</w:t>
      </w:r>
    </w:p>
    <w:p>
      <w:pPr>
        <w:jc w:val="both"/>
      </w:pPr>
      <w:r>
        <w:rPr>
          <w:b w:val="0"/>
          <w:u w:val="none"/>
        </w:rPr>
        <w:t>In questi casi provvederemo ad ottenere il Vostro preventivo consenso scritto, assicurandoci comunque che i destinatari della comunicazione assumano un obbligo di riservatezza e confidenzialità identico al nostro.</w:t>
      </w:r>
    </w:p>
    <w:p>
      <w:pPr>
        <w:jc w:val="both"/>
      </w:pPr>
      <w:r>
        <w:rPr>
          <w:b w:val="0"/>
          <w:u w:val="none"/>
        </w:rPr>
        <w:t>Nei casi in cui, per lo svolgimento della nostra attività fosse necessario trattare informazioni e dati personali di terzi, spetta a Voi garantire che la comunicazione a REVILAW S.p.A. di tali informazioni o dati personali di terzi avviene nel pieno e totale rispetto di quanto previsto dal Codice. Qualora tale comunicazione di informazioni e dati personali di terzi richieda il consenso degli interessati, sarà Vostra cura procurare tale consenso in modo da consentirci il corretto esercizio dell'attività.</w:t>
      </w:r>
    </w:p>
    <w:p>
      <w:pPr>
        <w:jc w:val="both"/>
      </w:pPr>
      <w:r>
        <w:rPr>
          <w:b w:val="0"/>
          <w:u w:val="none"/>
        </w:rPr>
        <w:t>Vi informiamo che l'art. 7 del D.Lgs. n. 196 del 30 giugno 2003 conferisce all'interessato il potere di esercitare specifici diritti a propria tutela. Vi informiamo infine che il responsabile del trattamento sarà il socio che assumerà la responsabilità dell'incarico.</w:t>
      </w:r>
    </w:p>
    <w:p>
      <w:pPr>
        <w:spacing w:before="240" w:after="140"/>
      </w:pPr>
      <w:r>
        <w:rPr>
          <w:b/>
          <w:sz w:val="22"/>
          <w:u w:val="single"/>
        </w:rPr>
        <w:t>9. Carte di lavoro</w:t>
      </w:r>
    </w:p>
    <w:p>
      <w:pPr>
        <w:jc w:val="both"/>
      </w:pPr>
      <w:r>
        <w:rPr>
          <w:b w:val="0"/>
          <w:u w:val="none"/>
        </w:rPr>
        <w:t>Le carte di lavoro, sia su formato cartaceo che elettronico, da noi preparate ovvero acquisite dalle Società o da terzi, a supporto dell'attività oggetto del presente incarico, sono di proprietà di REVILAW S.p.A. e tutte le informazioni in esse contenute saranno da noi considerate strettamente riservate e confidenziali e trattate in conformità a quanto indicato nell'informativa sulla riservatezza dei dati di cui al precedente paragrafo.</w:t>
      </w:r>
    </w:p>
    <w:p>
      <w:pPr>
        <w:jc w:val="both"/>
      </w:pPr>
      <w:r>
        <w:rPr>
          <w:b w:val="0"/>
          <w:u w:val="none"/>
        </w:rPr>
        <w:t>Qualsiasi richiesta di consultazione delle nostre carte di lavoro da parte Vostra o di soggetti terzi verrà trattata nei limiti e con le modalità previste dai principi professionali di riferimento e dalle procedure di risk management. Al fine di preservare la riservatezza e la confidenzialità delle informazioni contenute nelle nostre carte di lavoro, sarà Vostra cura fare in modo che i locali che saranno assegnati al team di lavoro per lo svolgimento delle fasi di lavoro presso le Vostre Società siano dotati di ragionevoli misure di sicurezza.</w:t>
      </w:r>
    </w:p>
    <w:p>
      <w:pPr>
        <w:spacing w:before="240" w:after="140"/>
      </w:pPr>
      <w:r>
        <w:rPr>
          <w:b/>
          <w:sz w:val="22"/>
          <w:u w:val="single"/>
        </w:rPr>
        <w:t>10. Comunicazioni elettroniche</w:t>
      </w:r>
    </w:p>
    <w:p>
      <w:pPr>
        <w:jc w:val="both"/>
      </w:pPr>
      <w:r>
        <w:rPr>
          <w:b w:val="0"/>
          <w:u w:val="none"/>
        </w:rPr>
        <w:t>In considerazione del fatto che durante lo svolgimento dell'incarico oggetto della presente proposta saranno utilizzate comunicazioni elettroniche, si precisa che la trasmissione elettronica di informazioni non garantisce la riservatezza e l'assenza di errori e che tali informazioni possono essere intercettate, modificate, perse, distrutte, tardive o incomplete, o essere in altro modo danneggiate risultando non sicure per la loro utilizzazione.</w:t>
      </w:r>
    </w:p>
    <w:p>
      <w:pPr>
        <w:jc w:val="both"/>
      </w:pPr>
      <w:r>
        <w:rPr>
          <w:b w:val="0"/>
          <w:u w:val="none"/>
        </w:rPr>
        <w:t>L'invio da parte nostra in formato elettronico di qualsiasi documento destinato ad avere validità legale potrà avvenire solo a titolo di anticipazione del documento firmato in originale dal socio responsabile dell'incarico, che Vi sarà successivamente trasmesso e che rappresenterà il documento su cui fare affidamento.</w:t>
      </w:r>
    </w:p>
    <w:p>
      <w:pPr>
        <w:spacing w:before="240" w:after="140"/>
      </w:pPr>
      <w:r>
        <w:rPr>
          <w:b/>
          <w:sz w:val="22"/>
          <w:u w:val="single"/>
        </w:rPr>
        <w:t>11. Accesso alla rete informatica del cliente</w:t>
      </w:r>
    </w:p>
    <w:p>
      <w:pPr>
        <w:jc w:val="both"/>
      </w:pPr>
      <w:r>
        <w:rPr>
          <w:b w:val="0"/>
          <w:u w:val="none"/>
        </w:rPr>
        <w:t>Durante lo svolgimento del nostro lavoro si può rendere necessaria la connessione alla rete informatica delle Vostre Società, al fine di accedere ai sistemi informativi della nostra società di revisione e archiviare elettronicamente le carte di lavoro.</w:t>
      </w:r>
    </w:p>
    <w:p>
      <w:pPr>
        <w:spacing w:before="240" w:after="140"/>
      </w:pPr>
      <w:r>
        <w:rPr>
          <w:b/>
          <w:sz w:val="22"/>
          <w:u w:val="single"/>
        </w:rPr>
        <w:t>12. Normativa Antiriciclaggio</w:t>
      </w:r>
    </w:p>
    <w:p>
      <w:pPr>
        <w:jc w:val="both"/>
      </w:pPr>
      <w:r>
        <w:rPr>
          <w:b w:val="0"/>
          <w:u w:val="none"/>
        </w:rPr>
        <w:t>REVILAW S.p.A. è destinataria degli obblighi previsti dal Decreto Legislativo 21 novembre 2007, n. 231 e s.m.i. (di seguito "Decreto Antiriciclaggio") in attuazione della direttiva 2005/60/CE relativa alla prevenzione dell'uso del sistema finanziario a scopo di riciclaggio dei proventi di attività criminose e di finanziamento del terrorismo.</w:t>
      </w:r>
    </w:p>
    <w:p>
      <w:pPr>
        <w:jc w:val="both"/>
      </w:pPr>
      <w:r>
        <w:rPr>
          <w:b w:val="0"/>
          <w:u w:val="none"/>
        </w:rPr>
        <w:t>In particolare, fra tali obblighi figurano:</w:t>
      </w:r>
    </w:p>
    <w:p>
      <w:pPr>
        <w:spacing w:after="120"/>
        <w:ind w:left="981" w:hanging="283"/>
        <w:jc w:val="both"/>
      </w:pPr>
      <w:r>
        <w:t>-</w:t>
        <w:tab/>
        <w:t>l'identificazione di tutti i Clienti nonché delle persone politicamente esposte (PEP), la verifica dei dati acquisiti nello svolgimento della propria attività professionale e la registrazione e conservazione delle informazioni relative in un apposito Registro Elettronico Antiriciclaggio;</w:t>
      </w:r>
    </w:p>
    <w:p>
      <w:pPr>
        <w:spacing w:after="120"/>
        <w:ind w:left="981" w:hanging="283"/>
        <w:jc w:val="both"/>
      </w:pPr>
      <w:r>
        <w:t>-</w:t>
        <w:tab/>
        <w:t>l'identificazione e la verifica dell'identità del "titolare effettivo" della prestazione;</w:t>
      </w:r>
    </w:p>
    <w:p>
      <w:pPr>
        <w:spacing w:after="120"/>
        <w:ind w:left="981" w:hanging="283"/>
        <w:jc w:val="both"/>
      </w:pPr>
      <w:r>
        <w:t>-</w:t>
        <w:tab/>
        <w:t>la segnalazione all'Unità di Informazione Finanziaria, ai sensi dell'art. 41 del Decreto Antiriciclaggio, delle operazioni sospette;</w:t>
      </w:r>
    </w:p>
    <w:p>
      <w:pPr>
        <w:spacing w:after="120"/>
        <w:ind w:left="981" w:hanging="283"/>
        <w:jc w:val="both"/>
      </w:pPr>
      <w:r>
        <w:t>-</w:t>
        <w:tab/>
        <w:t>la comunicazione al Ministero dell'Economia e delle Finanze, ai sensi dell'art. 51 del Decreto Antiriciclaggio, delle infrazioni in merito alle limitazioni all'uso del contante e dei titoli al portatore;</w:t>
      </w:r>
    </w:p>
    <w:p>
      <w:pPr>
        <w:spacing w:after="120"/>
        <w:ind w:left="981" w:hanging="283"/>
        <w:jc w:val="both"/>
      </w:pPr>
      <w:r>
        <w:t>-</w:t>
        <w:tab/>
        <w:t>l'obbligo di identificazione di cui al punto a) precedente non si applica invece nei confronti di determinate categorie di soggetti indicate dall'art. 25 del Decreto Antiriciclaggio (a scopo esemplificativo: banche, intermediari finanziari, Poste italiane S.p.A., uffici della pubblica amministrazione, istituzioni o organismi che svolgono funzioni pubbliche conformemente al trattato sull'Unione europea, ai trattati sulle Comunità europee o al diritto comunitario derivato), fermo restando l'obbligo di verificare che il cliente appartenga ad una delle suddette categorie.</w:t>
      </w:r>
    </w:p>
    <w:p>
      <w:pPr>
        <w:jc w:val="both"/>
      </w:pPr>
      <w:r>
        <w:rPr>
          <w:b w:val="0"/>
          <w:u w:val="none"/>
        </w:rPr>
        <w:t>Si evidenzia, con riferimento all'obbligo di cui al punto c) precedente, la cui violazione comporta l'applicazione di sanzioni, che lo stesso dovrà essere assolto, laddove ne ricorrano i presupposti, con la massima tempestività da parte di REVILAW S.p.A. e che esso è presidiato dal vincolo di riservatezza, anche nei confronti delle Vostre Società, con l'unica eccezione delle autorità di vigilanza ed investigative competenti.</w:t>
      </w:r>
    </w:p>
    <w:p>
      <w:pPr>
        <w:jc w:val="both"/>
      </w:pPr>
      <w:r>
        <w:rPr>
          <w:b w:val="0"/>
          <w:u w:val="none"/>
        </w:rPr>
        <w:t>Al fine di assolvere all'obbligo di identificazione il Cliente deve fornire, sotto la propria responsabilità, tutte le informazioni necessarie e aggiornate per consentire l'adeguata verifica sulla base dell'obbligo previsto dall'art. 21 del Decreto Antiriciclaggio; la violazione di tale obbligo espone il Cliente a responsabilità penali.</w:t>
      </w:r>
    </w:p>
    <w:p>
      <w:pPr>
        <w:jc w:val="both"/>
      </w:pPr>
      <w:r>
        <w:rPr>
          <w:b w:val="0"/>
          <w:u w:val="none"/>
        </w:rPr>
        <w:t>Dal suo canto, la società di revisione è chiamata ad effettuare, prima dell'inizio dell'attività professionale, le seguenti attività:</w:t>
      </w:r>
    </w:p>
    <w:p>
      <w:pPr>
        <w:spacing w:after="120"/>
        <w:ind w:left="981" w:hanging="283"/>
        <w:jc w:val="both"/>
      </w:pPr>
      <w:r>
        <w:t>-</w:t>
        <w:tab/>
        <w:t>acquisizione dei dati identificativi del cliente (persona fisica o persona giuridica) e verifica dei relativi dati;</w:t>
      </w:r>
    </w:p>
    <w:p>
      <w:pPr>
        <w:spacing w:after="120"/>
        <w:ind w:left="981" w:hanging="283"/>
        <w:jc w:val="both"/>
      </w:pPr>
      <w:r>
        <w:t>-</w:t>
        <w:tab/>
        <w:t>verifica dei poteri del firmatario della proposta di servizi professionali, se diverso dal rappresentante legale. L'acquisizione e contestuale verifica dei predetti dati ed informazioni sono svolte mediante documenti ufficiali consegnati dal Cliente oppure raccolti dalla società di revisione, di cui occorre conservare copia cartacea od elettronica. Può trattarsi, ad esempio, di una visura del Registro delle Imprese, una comunicazione/estratto dal sito istituzionale delle autorità di vigilanza o un atto pubblico, purché aggiornati, e da cui risultino tutti i dati ed informazioni necessarie per l'adempimento degli obblighi antiriciclaggio;</w:t>
      </w:r>
    </w:p>
    <w:p>
      <w:pPr>
        <w:spacing w:after="120"/>
        <w:ind w:left="981" w:hanging="283"/>
        <w:jc w:val="both"/>
      </w:pPr>
      <w:r>
        <w:t>-</w:t>
        <w:tab/>
        <w:t>acquisizione dei dati identificativi del titolare effettivo e verifica dei relativi dati;</w:t>
      </w:r>
    </w:p>
    <w:p>
      <w:pPr>
        <w:spacing w:after="120"/>
        <w:ind w:left="981" w:hanging="283"/>
        <w:jc w:val="both"/>
      </w:pPr>
      <w:r>
        <w:t>-</w:t>
        <w:tab/>
        <w:t>verifica, ai sensi dell'art. 28 del Decreto Antiriciclaggio, dell'appartenenza del cliente o del titolare effettivo alla categoria delle persone politicamente esposte (PEP), così come individuate dall'Allegato Tecnico del Decreto Antiriciclaggio.</w:t>
      </w:r>
    </w:p>
    <w:p>
      <w:pPr>
        <w:jc w:val="both"/>
      </w:pPr>
      <w:r>
        <w:rPr>
          <w:b w:val="0"/>
          <w:u w:val="none"/>
        </w:rPr>
        <w:t>L'inadempimento degli obblighi di identificazione così come l'omesso, tardivo o incompleto obbligo di registrazione comporta per la società di revisione l'applicazione di sanzioni penali. Resta inteso che, in virtù di quanto previsto dall'art. 14 della Delibera Consob n. 18802 del 18 febbraio 2014, la società di revisione nel caso in cui non sia in grado di rispettare gli obblighi di adeguata verifica della clientela, non accetterà l'incarico ovvero, se il rapporto contrattuale è in corso di esecuzione, porrà fine al rapporto medesimo, rassegnando le dimissioni, secondo le modalità previste dall'art. 13 del Decreto Legislativo n. 39/2010, ove si tratti di revisione legale.</w:t>
      </w:r>
    </w:p>
    <w:p>
      <w:pPr>
        <w:jc w:val="both"/>
      </w:pPr>
      <w:r>
        <w:rPr>
          <w:b w:val="0"/>
          <w:u w:val="none"/>
        </w:rPr>
        <w:t>Vi invitiamo a prendere visione dell'allegata "Scheda antiriciclaggio" e delle relative istruzioni, necessarie ai fini dell'assolvimento del nostro obbligo di adeguata verifica del Cliente. Tale scheda dovrà esserci restituita da Voi debitamente compilata (per le sezioni della medesima a Voi applicabili) e firmata. Nel caso in cui nei confronti delle Vostre Società sia applicabile l'obbligo di identificazione del cliente, unitamente alla scheda antiriciclaggio dovrà essere consegnata altresì una fotocopia dei documenti d'identità dei soggetti identificati e la documentazione necessaria alla verifica dei poteri di rappresentanza in capo agli stessi.</w:t>
      </w:r>
    </w:p>
    <w:p>
      <w:pPr>
        <w:spacing w:before="240" w:after="140"/>
      </w:pPr>
      <w:r>
        <w:rPr>
          <w:b/>
          <w:sz w:val="22"/>
          <w:u w:val="single"/>
        </w:rPr>
        <w:t>13. Normativa in materia di Salute e Sicurezza nei luoghi di lavoro</w:t>
      </w:r>
    </w:p>
    <w:p>
      <w:pPr>
        <w:jc w:val="both"/>
      </w:pPr>
      <w:r>
        <w:rPr>
          <w:b w:val="0"/>
          <w:u w:val="none"/>
        </w:rPr>
        <w:t>In considerazione del fatto che i servizi professionali di natura intellettuale oggetto dell'incarico di cui alla presente proposta saranno resi prevalentemente presso i Vostri locali, si richiamano le disposizioni di cui al Decreto Legislativo 9 aprile 2008, n. 81 (Testo unico in materia di salute e sicurezza nei luoghi di lavoro) al fine di invitarVi a fornire, in contestualità all'accettazione della presente proposta e comunque non oltre la data concordata per l'avvio delle attività, tutte le più dettagliate informazioni in merito agli eventuali specifici rischi esistenti negli ambienti di lavoro a cui il nostro personale avrà accesso, nonché a precisare quali siano le misure di prevenzione più appropriate da adottare per escludere tali rischi.</w:t>
      </w:r>
    </w:p>
    <w:p>
      <w:pPr>
        <w:spacing w:before="240" w:after="140"/>
      </w:pPr>
      <w:r>
        <w:rPr>
          <w:b/>
          <w:sz w:val="22"/>
          <w:u w:val="single"/>
        </w:rPr>
        <w:t>14. Interruzione dell'incarico e limitazione di responsabilità</w:t>
      </w:r>
    </w:p>
    <w:p>
      <w:pPr>
        <w:jc w:val="both"/>
      </w:pPr>
      <w:r>
        <w:rPr>
          <w:b w:val="0"/>
          <w:u w:val="none"/>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w:t>
      </w:r>
    </w:p>
    <w:p>
      <w:pPr>
        <w:jc w:val="both"/>
      </w:pPr>
      <w:r>
        <w:rPr>
          <w:b w:val="0"/>
          <w:u w:val="none"/>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precedente punto 6.</w:t>
      </w:r>
    </w:p>
    <w:p>
      <w:pPr>
        <w:spacing w:before="240" w:after="140"/>
      </w:pPr>
      <w:r>
        <w:rPr>
          <w:b/>
          <w:sz w:val="22"/>
          <w:u w:val="single"/>
        </w:rPr>
        <w:t>15. Utilizzo di sistemi di intelligenza artificiale nello svolgimento dell'incarico</w:t>
      </w:r>
    </w:p>
    <w:p>
      <w:pPr>
        <w:jc w:val="both"/>
      </w:pPr>
      <w:r>
        <w:rPr>
          <w:b w:val="0"/>
          <w:u w:val="none"/>
        </w:rPr>
        <w:t>La Società di Revisione, nell'espletamento dell'incarico oggetto della presente proposta, potrà avvalersi di sistemi di intelligenza artificiale (di seguito "IA"), inclusi strumenti di IA generativa, esclusivamente con funzione ausiliaria e strumentale alle procedure di verifica, a titolo esemplificativo e non esaustivo per: analisi massiva di popolazioni di dati contabili e supporto alle procedure di analisi comparativa; estrazione, classificazione e riconciliazione di informazioni da documentazione contabile, contrattuale e amministrativa; ricerca documentale su fonti normative, principi contabili e principi di revisione; redazione di bozze di carte di lavoro, memo e comunicazioni; supporto nelle procedure di identificazione e valutazione dei rischi di errori significativi.</w:t>
      </w:r>
    </w:p>
    <w:p>
      <w:pPr>
        <w:jc w:val="both"/>
      </w:pPr>
      <w:r>
        <w:rPr>
          <w:b w:val="0"/>
          <w:u w:val="none"/>
        </w:rPr>
        <w:t>Resta in ogni caso fermo che il giudizio professionale, lo scetticismo professionale, la valutazione della significatività e del rischio, la determinazione della natura, tempistica ed estensione delle procedure di verifica, nonché la formulazione della relazione ai sensi dell'art. 2501-bis, comma 5, del Codice Civile sono attività riservate in via esclusiva al Revisore responsabile dell'incarico e al team di lavoro, nel rispetto dei principi professionali applicabili e del sistema di controllo della qualità ISQM Italia 1. Ogni output generato da sistemi di IA è sottoposto a revisione critica, validazione e assunzione di responsabilità da parte del professionista incaricato, che esercita un controllo umano effettivo su tutte le fasi dell'attività.</w:t>
      </w:r>
    </w:p>
    <w:p>
      <w:pPr>
        <w:jc w:val="both"/>
      </w:pPr>
      <w:r>
        <w:rPr>
          <w:b w:val="0"/>
          <w:u w:val="none"/>
        </w:rPr>
        <w:t>Il Cliente prende atto che l'impiego di sistemi di IA nell'ambito dell'incarico non comporta l'adozione di decisioni unicamente automatizzate ai sensi dell'art. 22 del Regolamento (UE) 2016/679, né produce effetti giuridici o significativamente analoghi nei confronti del Cliente o di terzi. Qualora l'utilizzo di tali strumenti comporti il trattamento di dati personali riferibili al Cliente, ai suoi amministratori, dipendenti, clienti, fornitori o ad altri soggetti terzi, la Società di Revisione garantisce che il trattamento avverrà nel rispetto del Regolamento (UE) 2016/679 (GDPR), del Regolamento (UE) 2024/1689 (AI Act), della L. 132/2025, della normativa nazionale applicabile e dell'informativa resa ex art. 13 GDPR, nonché nel rispetto degli obblighi di riservatezza e di segreto professionale di cui all'art. 9-bis D.Lgs. 39/2010.</w:t>
      </w:r>
    </w:p>
    <w:p>
      <w:pPr>
        <w:jc w:val="both"/>
      </w:pPr>
      <w:r>
        <w:rPr>
          <w:b w:val="0"/>
          <w:u w:val="none"/>
        </w:rPr>
        <w:t>La Società di Revisione adotta strumenti di IA forniti da provider selezionati sulla base di criteri di sicurezza informatica, conformità normativa e tutela della riservatezza, privilegiando soluzioni che escludano l'utilizzo dei dati del Cliente per finalità di addestramento dei modelli e che garantiscano adeguate misure tecniche e organizzative, ivi inclusa, ove disponibile, la sottoscrizione di appositi Data Processing Addendum e, se del caso, di clausole di Zero-Data-Retention. La documentazione relativa ai sistemi di IA utilizzati e alle verifiche effettuate è conservata nell'ambito della documentazione dell'incarico ai sensi dell'art. 10-ter D.Lgs. 39/2010.</w:t>
      </w:r>
    </w:p>
    <w:p>
      <w:pPr>
        <w:jc w:val="both"/>
      </w:pPr>
      <w:r>
        <w:rPr>
          <w:b w:val="0"/>
          <w:u w:val="none"/>
        </w:rPr>
        <w:t>La Società di Revisione si impegna, su richiesta del Cliente, a fornire informazioni chiare, semplici ed esaustive - in conformità all'art. 13, comma 2, L. 132/2025 - in merito alla tipologia di sistemi di IA impiegati, alle finalità del loro utilizzo, ai soggetti fornitori, nonché alle misure adottate per garantirne correttezza, affidabilità, sicurezza e conformità normativa.</w:t>
      </w:r>
    </w:p>
    <w:p>
      <w:pPr>
        <w:jc w:val="both"/>
      </w:pPr>
      <w:r>
        <w:rPr>
          <w:b w:val="0"/>
          <w:u w:val="none"/>
        </w:rPr>
        <w:t>Il Cliente ha facoltà, mediante richiesta espressa e motivata rivolta al Revisore responsabile dell'incarico, di chiedere la limitazione o l'esclusione dell'utilizzo di specifici strumenti di IA nell'ambito dell'incarico, fermi restando gli obblighi di indipendenza, diligenza professionale e rispetto dei principi professionali applicabili, nonché la facoltà della Società di Revisione di rideterminare, ove ciò comporti un significativo incremento delle ore necessarie all'espletamento dell'incarico, il corrispettivo pattuito.</w:t>
      </w:r>
    </w:p>
    <w:p>
      <w:pPr>
        <w:jc w:val="both"/>
      </w:pPr>
      <w:r>
        <w:rPr>
          <w:b w:val="0"/>
          <w:u w:val="none"/>
        </w:rPr>
        <w:t>La presente clausola non incide sugli obblighi di indipendenza di cui all'art. 10 D.Lgs. 39/2010, né sulle responsabilità del Revisore previste dall'art. 15 del medesimo decreto.</w:t>
      </w:r>
    </w:p>
    <w:p>
      <w:pPr>
        <w:spacing w:before="240" w:after="140"/>
      </w:pPr>
      <w:r>
        <w:rPr>
          <w:b/>
          <w:sz w:val="22"/>
          <w:u w:val="single"/>
        </w:rPr>
        <w:t>16. Modello Organizzativo ex D.Lgs. 231/2001</w:t>
      </w:r>
    </w:p>
    <w:p>
      <w:pPr>
        <w:jc w:val="both"/>
      </w:pPr>
      <w:r>
        <w:rPr>
          <w:b w:val="0"/>
          <w:u w:val="none"/>
        </w:rPr>
        <w:t>Il cliente dispone di un Modello di Organizzazione, Gestione e Controllo ai sensi del D.Lgs. n. 231/2001 e non richiede a REVILAW S.p.A. alcuna attestazione concernente il rispetto degli standard di condotta in esso contenuti.</w:t>
      </w:r>
    </w:p>
    <w:p>
      <w:pPr>
        <w:spacing w:before="240" w:after="140"/>
      </w:pPr>
      <w:r>
        <w:rPr>
          <w:b/>
          <w:sz w:val="22"/>
          <w:u w:val="single"/>
        </w:rPr>
        <w:t>17. Legislazione applicabile e Foro Competente</w:t>
      </w:r>
    </w:p>
    <w:p>
      <w:pPr>
        <w:jc w:val="both"/>
      </w:pPr>
      <w:r>
        <w:rPr>
          <w:b w:val="0"/>
          <w:u w:val="none"/>
        </w:rPr>
        <w:t>La presente Lettera, inclusi i rispettivi diritti e doveri delle parti e tutte le controversie che possono sorgere dalla, o in relazione alla, presente Lettera di Incarico o al suo oggetto, dovranno essere regolate e interpretate ai sensi della legge italiana, senza applicazione delle norme sui conflitti di leggi.</w:t>
      </w:r>
    </w:p>
    <w:p>
      <w:pPr>
        <w:jc w:val="both"/>
      </w:pPr>
      <w:r>
        <w:rPr>
          <w:b w:val="0"/>
          <w:u w:val="none"/>
        </w:rPr>
        <w:t>Il Foro di Verona avrà esclusiva giurisdizione e competenza su ogni controversia relativa a questa Lettera di Incarico, al suo oggetto o alla sua interpretazione.</w:t>
      </w:r>
    </w:p>
    <w:p>
      <w:pPr>
        <w:spacing w:before="240" w:after="140"/>
      </w:pPr>
      <w:r>
        <w:rPr>
          <w:b/>
          <w:sz w:val="22"/>
          <w:u w:val="single"/>
        </w:rPr>
        <w:t>18. Eventuali modifiche della proposta</w:t>
      </w:r>
    </w:p>
    <w:p>
      <w:pPr>
        <w:jc w:val="both"/>
      </w:pPr>
      <w:r>
        <w:rPr>
          <w:b w:val="0"/>
          <w:u w:val="none"/>
        </w:rPr>
        <w:t>Ogni modifica delle condizioni e dei termini della presente proposta richiede la forma scritta a pena di nullità.</w:t>
      </w:r>
    </w:p>
    <w:p>
      <w:pPr>
        <w:spacing w:before="240" w:after="140"/>
      </w:pPr>
      <w:r>
        <w:rPr>
          <w:b/>
          <w:sz w:val="22"/>
          <w:u w:val="single"/>
        </w:rPr>
        <w:t>19. Allegati</w:t>
      </w:r>
    </w:p>
    <w:p>
      <w:pPr>
        <w:jc w:val="both"/>
      </w:pPr>
      <w:r>
        <w:rPr>
          <w:b w:val="0"/>
          <w:u w:val="none"/>
        </w:rPr>
        <w:t>Gli Allegati formano parte integrante della presente proposta.</w:t>
      </w:r>
    </w:p>
    <w:p>
      <w:pPr>
        <w:jc w:val="both"/>
      </w:pPr>
      <w:r>
        <w:rPr>
          <w:b w:val="0"/>
          <w:u w:val="none"/>
        </w:rPr>
        <w:t>Desideriamo esprimere i nostri ringraziamenti per l'opportunità offertaci e ribadire il nostro vivo interesse professionale per l'assegnazione dell'incarico, che svolgeremo con la massima cura.</w:t>
      </w:r>
    </w:p>
    <w:p>
      <w:pPr>
        <w:jc w:val="both"/>
      </w:pPr>
      <w:r>
        <w:rPr>
          <w:b w:val="0"/>
          <w:u w:val="none"/>
        </w:rPr>
        <w:t>Vorrete quindi comunicarci per iscritto la Vostra determinazione in ordine al conferimento dell'incarico, sulla base delle deliberazioni dei rispettivi organi competenti delle Vostre Società, restituendoci la presente proposta firmata per accettazione da entrambe le Società.</w:t>
      </w:r>
    </w:p>
    <w:p>
      <w:pPr>
        <w:jc w:val="both"/>
      </w:pPr>
      <w:r>
        <w:rPr>
          <w:b w:val="0"/>
          <w:u w:val="none"/>
        </w:rPr>
        <w:t>Con i migliori saluti</w:t>
      </w:r>
    </w:p>
    <w:p>
      <w:pPr>
        <w:spacing w:before="320" w:after="800"/>
        <w:jc w:val="center"/>
      </w:pPr>
      <w:r>
        <w:rPr>
          <w:b/>
          <w:u w:val="none"/>
        </w:rPr>
        <w:t>REVILAW S.p.A.</w:t>
      </w:r>
    </w:p>
    <w:tbl>
      <w:tblPr>
        <w:tblW w:type="auto" w:w="0"/>
        <w:jc w:val="center"/>
        <w:tblLook w:firstColumn="1" w:firstRow="1" w:lastColumn="0" w:lastRow="0" w:noHBand="0" w:noVBand="1" w:val="04A0"/>
      </w:tblPr>
      <w:tblGrid>
        <w:gridCol w:w="4649"/>
        <w:gridCol w:w="4649"/>
      </w:tblGrid>
      <w:tr>
        <w:tc>
          <w:tcPr>
            <w:tcW w:type="dxa" w:w="4649"/>
          </w:tcPr>
          <w:p>
            <w:r>
              <w:rPr>
                <w:sz w:val="19"/>
              </w:rPr>
              <w:t>Per accettazione:</w:t>
            </w:r>
          </w:p>
          <w:p>
            <w:pPr>
              <w:spacing w:before="240"/>
            </w:pPr>
            <w:r>
              <w:rPr>
                <w:b/>
                <w:sz w:val="19"/>
              </w:rPr>
              <w:t>SIEM S.R.L.</w:t>
            </w:r>
          </w:p>
          <w:p>
            <w:r>
              <w:rPr>
                <w:sz w:val="19"/>
              </w:rPr>
              <w:t xml:space="preserve">Data:  </w:t>
            </w:r>
            <w:r>
              <w:rPr>
                <w:highlight w:val="lightGray"/>
              </w:rPr>
              <w:t>__________</w:t>
            </w:r>
          </w:p>
          <w:p>
            <w:r>
              <w:rPr>
                <w:sz w:val="19"/>
              </w:rPr>
              <w:t>Timbro e Firma:</w:t>
            </w:r>
          </w:p>
          <w:p>
            <w:pPr>
              <w:spacing w:before="240"/>
            </w:pPr>
            <w:r>
              <w:rPr>
                <w:b/>
                <w:sz w:val="19"/>
              </w:rPr>
              <w:t>SPV SIEM S.R.L.</w:t>
            </w:r>
          </w:p>
          <w:p>
            <w:r>
              <w:rPr>
                <w:sz w:val="19"/>
              </w:rPr>
              <w:t xml:space="preserve">Data:  </w:t>
            </w:r>
            <w:r>
              <w:rPr>
                <w:highlight w:val="lightGray"/>
              </w:rPr>
              <w:t>__________</w:t>
            </w:r>
          </w:p>
          <w:p>
            <w:r>
              <w:rPr>
                <w:sz w:val="19"/>
              </w:rPr>
              <w:t>Timbro e Firma:</w:t>
            </w:r>
          </w:p>
        </w:tc>
        <w:tc>
          <w:tcPr>
            <w:tcW w:type="dxa" w:w="4649"/>
          </w:tcPr>
          <w:p>
            <w:r>
              <w:rPr>
                <w:sz w:val="19"/>
              </w:rPr>
              <w:t>Per accettazione specifica, in quanto ciò possa occorrere, dei paragrafi dal n.8 al n.18 inclusi, per quanto riguarda espressamente indicato dagli artt. 1341 e 1342 codice civile:</w:t>
            </w:r>
          </w:p>
          <w:p>
            <w:pPr>
              <w:spacing w:before="240"/>
            </w:pPr>
            <w:r>
              <w:rPr>
                <w:b/>
                <w:sz w:val="19"/>
              </w:rPr>
              <w:t>SIEM S.R.L.</w:t>
            </w:r>
          </w:p>
          <w:p>
            <w:r>
              <w:rPr>
                <w:sz w:val="19"/>
              </w:rPr>
              <w:t xml:space="preserve">Data:  </w:t>
            </w:r>
            <w:r>
              <w:rPr>
                <w:highlight w:val="lightGray"/>
              </w:rPr>
              <w:t>__________</w:t>
            </w:r>
          </w:p>
          <w:p>
            <w:r>
              <w:rPr>
                <w:sz w:val="19"/>
              </w:rPr>
              <w:t>Timbro e Firma:</w:t>
            </w:r>
          </w:p>
          <w:p>
            <w:pPr>
              <w:spacing w:before="240"/>
            </w:pPr>
            <w:r>
              <w:rPr>
                <w:b/>
                <w:sz w:val="19"/>
              </w:rPr>
              <w:t>SPV SIEM S.R.L.</w:t>
            </w:r>
          </w:p>
          <w:p>
            <w:r>
              <w:rPr>
                <w:sz w:val="19"/>
              </w:rPr>
              <w:t xml:space="preserve">Data:  </w:t>
            </w:r>
            <w:r>
              <w:rPr>
                <w:highlight w:val="lightGray"/>
              </w:rPr>
              <w:t>__________</w:t>
            </w:r>
          </w:p>
          <w:p>
            <w:r>
              <w:rPr>
                <w:sz w:val="19"/>
              </w:rPr>
              <w:t>Timbro e Firma:</w:t>
            </w:r>
          </w:p>
        </w:tc>
      </w:tr>
    </w:tbl>
    <w:p>
      <w:pPr>
        <w:spacing w:before="440"/>
      </w:pPr>
      <w:r>
        <w:t xml:space="preserve">Allegati N°  </w:t>
      </w:r>
      <w:r>
        <w:rPr>
          <w:highlight w:val="lightGray"/>
        </w:rPr>
        <w:t>__________</w:t>
      </w:r>
    </w:p>
    <w:sectPr w:rsidR="00FC693F" w:rsidRPr="0006063C" w:rsidSect="00034616">
      <w:headerReference w:type="default" r:id="rId9"/>
      <w:footerReference w:type="default" r:id="rId10"/>
      <w:pgSz w:w="11906" w:h="16838"/>
      <w:pgMar w:top="794" w:right="1151" w:bottom="1247" w:left="11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sz w:val="19"/>
      </w:rPr>
      <w:t>REVILAW S.p.A. - Revisione Legale</w:t>
      <w:br/>
    </w:r>
    <w:r>
      <w:rPr>
        <w:sz w:val="16"/>
      </w:rPr>
      <w:t>Via XX Settembre, 9 – 37129 Verona</w:t>
      <w:br/>
      <w:t>Codice Fiscale: 04641610235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mark_model.png"/>
                  <pic:cNvPicPr/>
                </pic:nvPicPr>
                <pic:blipFill>
                  <a:blip r:embed="rId1"/>
                  <a:stretch>
                    <a:fillRect/>
                  </a:stretch>
                </pic:blipFill>
                <pic:spPr>
                  <a:xfrm>
                    <a:off x="0" y="0"/>
                    <a:ext cx="503999" cy="503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