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Semiconductor Risk Intelligence GraphRAG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artificial intelligence infrastructure, semiconductor manufacturing, and geopolitical regulation represents one of the most capital-intensive and structurally complex ecosystems in modern financial markets. Across calendar years 2025 and 2026, the four largest United States technology companies are committed to spending approximately $1.12 trillion on capital expenditures, the overwhelming majority of which is dedicated to AI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unprecedented mobilization of capital relies on a fragile, highly concentrated supply chain characterized by binding constraints in advanced logic manufacturing, High-Bandwidth Memory (HBM) production, and Chip-on-Wafer-on-Substrate (CoWoS) packaging capabilities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Simultaneously, stringent United States export controls continually reshape the permissible flow of this technology, introducing profound compliance and revenue risks for global semiconductor vendors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this domain requires multi-tier deductive logic that traditional vector-based Retrieval-Augmented Generation (RAG) systems cannot reliably perform. Vanilla RAG architectures struggle to connect disparate factual nodes—for instance, tracing how a specific Bureau of Industry and Security (BIS) export restriction on 14-nanometer manufacturing equipment impacts a hyperscaler's capital expenditure guidance two quarters later. This report presents a comprehensive feasibility study for an AI Semiconductor Risk Intelligence GraphRAG product. By structuring unstructured public financial disclosures, particularly U.S. Securities and Exchange Commission (SEC) filings, into a bitemporal knowledge graph, the proposed system enables deterministic traversal of supply chain dependencies, temporal risk evolutions, and financial metrics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ensuing analysis concludes that constructing this product is highly feasible, addresses a critical gap in the institutional financial analysis market, and can be developed efficiently using modern graph database infrastructure and open-source SEC parsing utilities.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Feasibility Verdict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product is highly feasible and carries immense commercial value, provided the initial deployment remains tightly constrained to the semiconductor and hyperscaler ecosystem rather than expanding into generic financial domains. The semiconductor sector exhibits dense entity relationships and temporal dependencies that align perfectly with the architectural strengths of graph-based retrieval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Criterion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Score (1-10)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Data Availability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 EDGAR, XBRL APIs, and official U.S. export control announcements provide a rich, free, and legally safe foundational dataset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 Richness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chains, capex dependencies, customer-supplier dyads, and regulatory exposures form a highly connected, multi-tier network suitable for graph modeling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GraphRAG Necessity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vector search cannot answer multi-tier dependency queries (e.g., Anthropic -&gt; Broadcom -&gt; TSMC CoWoS) without unacceptable hallucination risks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Institutional investors and corporate strategists require deterministic, traceable evidence for high-stakes capital allocation in the AI hardware supercycle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MVP Buildability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Achievable by one strong machine learning engineer leveraging existing tooling (e.g., sec-parser, edgartools, Neo4j), though entity resolution introduces engineering friction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Feasibility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Ground truth can be established using structured XBRL facts and LLM-as-a-judge frameworks designed for financial extraction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Differentiation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 libraries provide basic parsing, but a custom bitemporal graph schema combined with iterative agentic retrieval establishes a deep technical moat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Portfolio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Demonstrates cutting-edge mastery of retrieval augmentation, knowledge graphs, temporal data modeling, and domain-specific financial engineering.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Relevance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Directly targets acute analytical pain points for asset managers, supply-chain analysts, and technology strategists mapping AI capital expenditures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of Hallucination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risk during the extraction phase (over-claiming causal links); low risk during retrieval if strictly constrained to validated graph paths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Maintenance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Managing schema drift, temporal versioning, and SEC API rate limits will require robust orchestration pipelines and automated error handling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Overall, the project receives a feasibility score of 8.4 out of 10. The architectural prerequisites exist, the data is abundant and legally accessible, and the market demand for rigorous, unhallucinated intelligence in this specific vertical is at a historical peak.</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MVP Wedge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 must rigorously avoid the generic "financial chatbot" paradigm. Generalist financial assistants suffer from low user trust, face commoditized competition, and struggle to prove their value over basic keyword search algorithms. Instead, the product must wedge into a specific, high-value workflow where deterministic graph traversal is strictly necessary.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wedge is an </w:t>
      </w:r>
      <w:r w:rsidDel="00000000" w:rsidR="00000000" w:rsidRPr="00000000">
        <w:rPr>
          <w:rFonts w:ascii="Google Sans" w:cs="Google Sans" w:eastAsia="Google Sans" w:hAnsi="Google Sans"/>
          <w:b w:val="1"/>
          <w:bCs w:val="1"/>
          <w:color w:val="1f1f1f"/>
          <w:rtl w:val="0"/>
        </w:rPr>
        <w:t xml:space="preserve">AI Semiconductor Supply-Chain and Export-Control Exposure Assistant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target users for this minimum viable product (MVP) are buy-side equity analysts covering the semiconductor sector, supply-chain risk managers at technology hardware firms, and corporate strategy teams navigating geopolitical compliance. The core user pain revolves around the inability to programmatically map how macroeconomic shocks or regulatory updates cascade through a multi-tier supply chain. Existing enterprise tools allow users to execute keyword searches for terms like "export controls" or "CoWoS," but they cannot automatically synthesize the downstream revenue impact of a new BIS regulation on 14-nanometer logic nodes traversing through TSMC's manufacturing pipeline to affect Nvidia's revenue and, subsequently, Microsoft's data center expansion plans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a manageable scope, the MVP must focus on a precise universe of fourteen core companies: Nvidia, AMD, Intel, Broadcom, Qualcomm, TSMC, ASML, Micron, Samsung, Apple, Microsoft, Amazon, Alphabet, and Meta. The system will ingest 10-K (Annual), 10-Q (Quarterly), and 8-K (Material Events) filings, alongside Federal Register export control announcements, starting from the year 2022 to capture the inception of the current AI capital expenditure supercycle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extraction tasks will focus on identifying suppliers, customers, capital expenditure purchase commitments, numerical XBRL facts, and distinct risk factor claims. The retrieval flow will utilize entity-centric graph traversal combined with vector similarity for qualitative claims. The UI output must eschew the standard chatbot interface in favor of a dual-pane dashboard: a conversational interface paired with a visual graph network pane and an expanding evidence side-panel displaying direct quote citations and SEC hyperlinks. Success criteria for the MVP will be defined by its ability to achieve over 85% claim support rates and temporal consistency scores against a benchmark dataset of complex, multi-tier dependency questions.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Data-Source Analysis Table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ingestion strategy prioritizes official, stable, and legally safe data. Relying exclusively on SEC EDGAR and official government publications ensures copyright compliance and unassailable data provenance, mitigating the licensing risks associated with proprietary datasets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720"/>
        <w:gridCol w:w="720"/>
        <w:gridCol w:w="720"/>
        <w:gridCol w:w="720"/>
        <w:gridCol w:w="720"/>
        <w:gridCol w:w="720"/>
        <w:gridCol w:w="720"/>
        <w:gridCol w:w="720"/>
        <w:gridCol w:w="720"/>
        <w:gridCol w:w="720"/>
        <w:gridCol w:w="720"/>
        <w:gridCol w:w="720"/>
        <w:gridCol w:w="720"/>
        <w:tblGridChange w:id="0">
          <w:tblGrid>
            <w:gridCol w:w="720"/>
            <w:gridCol w:w="720"/>
            <w:gridCol w:w="720"/>
            <w:gridCol w:w="720"/>
            <w:gridCol w:w="720"/>
            <w:gridCol w:w="720"/>
            <w:gridCol w:w="720"/>
            <w:gridCol w:w="720"/>
            <w:gridCol w:w="720"/>
            <w:gridCol w:w="720"/>
            <w:gridCol w:w="720"/>
            <w:gridCol w:w="720"/>
            <w:gridCol w:w="7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Bulk / History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Structure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Legally Safe?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 Grade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Ingestion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Update Freq.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Rate Limits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MVP 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 EDGAR Filings (10-K, 10-Q, 8-K)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edgartools / SEC Archives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(1994+)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Unstructured 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docs/yr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req/sec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XBRL Company Facts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data.sec.gov/api/xbrl/companyfacts/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Structured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req/sec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 Company Submissions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data.sec.gov/submissions/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req/sec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Export-Control Announcements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 Register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Semi-structured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needed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 14A Proxy Statements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Archives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Unstructured 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docs/yr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req/sec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 4 Insider Transactions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sec-api.io / SEC XML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XML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req/sec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Earnings Call Transcripts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AlphaSense / Tegus / SeekingAlpha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Unstructured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 (Copyright)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Paywall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Company Websites / Press Releases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scraping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Unstructured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 blocks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Supply-Chain Datasets (Bloomberg/FactSet)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 (Licensing)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Industry Classifications / Ticker Mappings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company_tickers.json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req/sec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Yes</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MVP will strictly utilize SEC EDGAR filings, XBRL facts, and BIS export control announcements. Incorporating earnings call transcripts, despite their analytical value, introduces severe copyright and licensing liabilities that jeopardize the commercial viability of an independent product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utilizing abstraction libraries such as edgartools and sec-parser significantly reduces the ingestion complexity associated with legacy SGML and HTML SEC formats, providing a robust foundation for automated extraction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Company Universe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graph bloat and maintain a dense, highly interconnected knowledge network, the MVP universe is strictly constrained to fourteen foundational entities operating within the AI semiconductor ecosystem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localized focus ensures that extraction algorithms can achieve high precision when mapping dependencies.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universe is segmented into five functional tiers. The first tier consists of the Hyperscalers—Microsoft, Amazon, Alphabet, and Meta. These organizations represent the terminal demand curve, driving the $1.12 trillion capital expenditure supercycle required to build advanced AI data centers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second tier comprises the Silicon Designers, including merchant silicon providers like Nvidia and AMD, as well as custom Application-Specific Integrated Circuit (ASIC) designers like Broadcom and edge-compute leaders like Qualcomm. Broadcom, in particular, dominates the custom ASIC market, co-designing Google's Tensor Processing Units (TPUs) under a supply agreement running through 2031</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tier contains the Manufacturers, primarily TSMC and ASML. TSMC's CoWoS packaging capacity acts as the ultimate physical bottleneck for all advanced AI accelerators, while ASML holds a monopoly on the extreme ultraviolet (EUV) lithography machines required for advanced node manufacturing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fourth tier features the Memory Suppliers, Micron and Samsung, whose High-Bandwidth Memory (HBM) products are critical capacity constraints for GPU performance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Finally, Apple serves as an ecosystem anchor, consuming massive volumes of TSMC's leading-edge node capacity and influencing global supply chain dynamics.</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Personas and Jobs-to-be-Done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is designed for sophisticated financial and strategic professionals who require absolute evidentiary provenance for their analytical outputs.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persona is the </w:t>
      </w:r>
      <w:r w:rsidDel="00000000" w:rsidR="00000000" w:rsidRPr="00000000">
        <w:rPr>
          <w:rFonts w:ascii="Google Sans" w:cs="Google Sans" w:eastAsia="Google Sans" w:hAnsi="Google Sans"/>
          <w:b w:val="1"/>
          <w:bCs w:val="1"/>
          <w:color w:val="1f1f1f"/>
          <w:rtl w:val="0"/>
        </w:rPr>
        <w:t xml:space="preserve">Buy-Side Equity Analyst</w:t>
      </w:r>
      <w:r w:rsidDel="00000000" w:rsidR="00000000" w:rsidRPr="00000000">
        <w:rPr>
          <w:rFonts w:ascii="Google Sans" w:cs="Google Sans" w:eastAsia="Google Sans" w:hAnsi="Google Sans"/>
          <w:color w:val="1f1f1f"/>
          <w:rtl w:val="0"/>
        </w:rPr>
        <w:t xml:space="preserve">. Their central job-to-be-done involves correlating hyperscaler capital expenditure guidance with the revenue projections of upstream suppliers. Their current pain point is the manual synthesis of disparate disclosures; analysts must sift through hundreds of pages of 10-Q filings to locate obscure purchase obligations, changes in customer concentration, or subtle shifts in management's tone regarding supply constraints. The proposed system automates this by directly linking Microsoft's stated data center expenditure to Broadcom's networking revenue segments via deterministic graph paths.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persona is the </w:t>
      </w:r>
      <w:r w:rsidDel="00000000" w:rsidR="00000000" w:rsidRPr="00000000">
        <w:rPr>
          <w:rFonts w:ascii="Google Sans" w:cs="Google Sans" w:eastAsia="Google Sans" w:hAnsi="Google Sans"/>
          <w:b w:val="1"/>
          <w:bCs w:val="1"/>
          <w:color w:val="1f1f1f"/>
          <w:rtl w:val="0"/>
        </w:rPr>
        <w:t xml:space="preserve">Supply-Chain Risk Manager</w:t>
      </w:r>
      <w:r w:rsidDel="00000000" w:rsidR="00000000" w:rsidRPr="00000000">
        <w:rPr>
          <w:rFonts w:ascii="Google Sans" w:cs="Google Sans" w:eastAsia="Google Sans" w:hAnsi="Google Sans"/>
          <w:color w:val="1f1f1f"/>
          <w:rtl w:val="0"/>
        </w:rPr>
        <w:t xml:space="preserve"> operating within a technology hardware firm. Their objective is to identify single points of failure in the manufacturing pipeline. Currently, tracking complex, multi-tier dependencies—such as Anthropic relying on Amazon Web Services, which relies on Broadcom custom ASICs, which in turn rely on TSMC's CoWoS packaging capacity—requires manual maintenance of fragile spreadsheets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knowledge graph natively models these transitive relationships, allowing the risk manager to query the structural integrity of the entire supply chain instantly.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persona is the </w:t>
      </w:r>
      <w:r w:rsidDel="00000000" w:rsidR="00000000" w:rsidRPr="00000000">
        <w:rPr>
          <w:rFonts w:ascii="Google Sans" w:cs="Google Sans" w:eastAsia="Google Sans" w:hAnsi="Google Sans"/>
          <w:b w:val="1"/>
          <w:bCs w:val="1"/>
          <w:color w:val="1f1f1f"/>
          <w:rtl w:val="0"/>
        </w:rPr>
        <w:t xml:space="preserve">Geopolitical Strategist</w:t>
      </w:r>
      <w:r w:rsidDel="00000000" w:rsidR="00000000" w:rsidRPr="00000000">
        <w:rPr>
          <w:rFonts w:ascii="Google Sans" w:cs="Google Sans" w:eastAsia="Google Sans" w:hAnsi="Google Sans"/>
          <w:color w:val="1f1f1f"/>
          <w:rtl w:val="0"/>
        </w:rPr>
        <w:t xml:space="preserve"> or regulatory compliance officer. Their mandate involves assessing corporate portfolio exposure to updated BIS export controls. When the Federal Register publishes new restrictions on semiconductor manufacturing equipment, the strategist must map that dense regulatory text to specific product lines and regional revenue segments of companies like ASML and Nvidia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linking ExportControl nodes directly to Product and Company nodes, the system transforms regulatory monitoring from a manual reading exercise into a programmatic query.</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Use Cases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the proposed system unlocks several distinct use cases that are technically impossible for traditional enterprise search platforms.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Temporal Risk Factor Analysis</w:t>
      </w:r>
      <w:r w:rsidDel="00000000" w:rsidR="00000000" w:rsidRPr="00000000">
        <w:rPr>
          <w:rFonts w:ascii="Google Sans" w:cs="Google Sans" w:eastAsia="Google Sans" w:hAnsi="Google Sans"/>
          <w:color w:val="1f1f1f"/>
          <w:rtl w:val="0"/>
        </w:rPr>
        <w:t xml:space="preserve"> allows users to track how a company's disclosed risks evolve over consecutive reporting periods. By querying the bitemporal edges connecting a company to specific risk categories, the system can generate chronological comparisons showing precisely when a company first introduced language regarding "Taiwan geopolitical tensions" or "Export administration regulations," and how that language intensified or softened over time.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Capex-to-Revenue Tracing</w:t>
      </w:r>
      <w:r w:rsidDel="00000000" w:rsidR="00000000" w:rsidRPr="00000000">
        <w:rPr>
          <w:rFonts w:ascii="Google Sans" w:cs="Google Sans" w:eastAsia="Google Sans" w:hAnsi="Google Sans"/>
          <w:color w:val="1f1f1f"/>
          <w:rtl w:val="0"/>
        </w:rPr>
        <w:t xml:space="preserve"> bridges the gap between macroeconomic spending and microeconomic revenue realization. The system can link the announced $190 billion calendar-year capital expenditure of a hyperscaler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the backlog and specific revenue segments of its upstream vendors, providing empirical validation for semiconductor growth forecasts.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Bottleneck Identification</w:t>
      </w:r>
      <w:r w:rsidDel="00000000" w:rsidR="00000000" w:rsidRPr="00000000">
        <w:rPr>
          <w:rFonts w:ascii="Google Sans" w:cs="Google Sans" w:eastAsia="Google Sans" w:hAnsi="Google Sans"/>
          <w:color w:val="1f1f1f"/>
          <w:rtl w:val="0"/>
        </w:rPr>
        <w:t xml:space="preserve"> leverages the graph's topology to find shared dependencies across competitors. A user can query the network to discover that despite fierce competition at the design layer, both AMD and Nvidia rely exclusively on TSMC's CoWoS-S and CoWoS-L packaging lines, establishing TSMC as the ultimate rate-limiting factor for industry-wide accelerator shipments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w:t>
      </w:r>
      <w:r w:rsidDel="00000000" w:rsidR="00000000" w:rsidRPr="00000000">
        <w:rPr>
          <w:rFonts w:ascii="Google Sans" w:cs="Google Sans" w:eastAsia="Google Sans" w:hAnsi="Google Sans"/>
          <w:b w:val="1"/>
          <w:bCs w:val="1"/>
          <w:color w:val="1f1f1f"/>
          <w:rtl w:val="0"/>
        </w:rPr>
        <w:t xml:space="preserve">Custom Silicon Dependency Mapping</w:t>
      </w:r>
      <w:r w:rsidDel="00000000" w:rsidR="00000000" w:rsidRPr="00000000">
        <w:rPr>
          <w:rFonts w:ascii="Google Sans" w:cs="Google Sans" w:eastAsia="Google Sans" w:hAnsi="Google Sans"/>
          <w:color w:val="1f1f1f"/>
          <w:rtl w:val="0"/>
        </w:rPr>
        <w:t xml:space="preserve"> enables analysis of the architectural shift from merchant silicon (like Nvidia GPUs) to custom ASICs (like Google TPUs and Amazon Trainium). The system can trace the value accrual to ASIC designers like Broadcom and Marvell, mapping long-term contractual obligations and purchase commitments directly to specific hyperscaler infrastructure build-outs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GraphRAG Value Analysis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vector-based retrieval architectures operate by fragmenting documents into isolated semantic chunks and retrieving them based on spatial proximity in a vector database. While highly effective for generic question-answering, this paradigm fails completely when applied to the semiconductor supply chain due to the necessity of transitive logic. When a user asks, </w:t>
      </w:r>
      <w:r w:rsidDel="00000000" w:rsidR="00000000" w:rsidRPr="00000000">
        <w:rPr>
          <w:rFonts w:ascii="Google Sans" w:cs="Google Sans" w:eastAsia="Google Sans" w:hAnsi="Google Sans"/>
          <w:i w:val="1"/>
          <w:iCs w:val="1"/>
          <w:color w:val="1f1f1f"/>
          <w:rtl w:val="0"/>
        </w:rPr>
        <w:t xml:space="preserve">"How does US export control affect Meta's AI infrastructure?"</w:t>
      </w:r>
      <w:r w:rsidDel="00000000" w:rsidR="00000000" w:rsidRPr="00000000">
        <w:rPr>
          <w:rFonts w:ascii="Google Sans" w:cs="Google Sans" w:eastAsia="Google Sans" w:hAnsi="Google Sans"/>
          <w:color w:val="1f1f1f"/>
          <w:rtl w:val="0"/>
        </w:rPr>
        <w:t xml:space="preserve">, a vector search will retrieve chunks about Meta's capital expenditure and chunks about export controls. However, the generative model lacks the deterministic relational bridge connecting the two concepts: Meta uses Nvidia GPUs, Nvidia GPUs are manufactured by TSMC, TSMC relies on United States manufacturing equipment, and that equipment is heavily restricted by BIS export controls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GraphRAG introduces a structured topological network that mathematically anchors the generative process. Graph traversals guarantee that all intermediate nodes connecting Meta to Export Controls are retrieved and injected into the context window, eliminating the "lost in the middle" phenomenon and preventing the generative model from hallucinating structural relationships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GraphRAG provides natively explainable evidence. Every edge in the graph, such as a SUPPLIES_TO relationship, is backed by an EvidenceSpan node containing the exact SEC filing text, ensuring citation-grade accuracy that financial professionals require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Lastly, while vector databases struggle with historical versioning—often overwriting data or clustering conflicting historical statements together—a bitemporal graph accurately models the evolution of facts over time, enabling precise queries about past states of the supply chain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Knowledge Graph Schema</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a production-grade schema for this domain requires a Neo4j-style property graph model. To satisfy the requirement for temporal comparisons, the schema employs a bitemporal versioning pattern. Relationships and mutating nodes will utilize StartDate, EndDate, and Status properties. This design ensures that historical reconstructions and time-travel queries can be executed accurately without polluting current-state traversals with outdated information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 Types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Node Label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Properties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Documents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Extraction Method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MVP?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Instance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Company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publicly traded entity or hyperscaler.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cik, ticker, name, industry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 Metadata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Deterministic API mapping</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Nvidia Corp (CIK: 1045810)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official SEC document submission.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accession_no, form_type, date_filed, url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EDGAR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Deterministic API mapping</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10-K filed 2024-02-21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FilingSection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distinct structural segment of a filing.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section_name, text_hash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HTML Filings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HTML Semantic Segmentation (sec-parser)</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Item 1A. Risk Factors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RiskFactor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distinct risk disclosed by an 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summary, category, embedding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10-K / 10-Q</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Schema-constrained LLM extraction</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Geopolitical tension in Taiwan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numerical financial fact reported via XBRL.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concept, value, unit, period_end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XBRL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Deterministic API mapping</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$190B Capex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specific technology or hardware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 type (GPU, ASIC, Memory)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10-K / 8-K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 Entity Extraction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TPU v7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ExportControl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specific BIS rule or regulatory 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rule_id, restriction_type, 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Federal Register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Manual/LLM parsing</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Oct 2022 Advanced Computing Rule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EvidenceSpan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raw text chunk supporting a claim.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byte_start, byte_end, embedding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Documents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Code-based text chunking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 rely on TSMC for..."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physical manufacturing or data center location.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location, capacity,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10-K Item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 Entity Extraction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Fab 18 (Tainan, Taiwan)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Corporate officers or board members.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 14A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 Entity Extraction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Jensen Huang (CEO)</w:t>
            </w:r>
          </w:p>
        </w:tc>
      </w:tr>
    </w:tbl>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Types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Edge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Temporal Properties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MVP?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Instance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Connects a Company to its SEC submission.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Nvidia -FILED-&gt; 10-K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HAS_SECTION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Connects a Filing to its structural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10-K -HAS_SECTION-&gt; Item 1A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DISCLOSES_RISK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Connects a FilingSection to a specific RiskFactor.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StartDate, EndDate, Status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1A -DISCLOSES_RISK-&gt; Export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SUPPLIES_TO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Denotes a vendor-customer relationship.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StartDate, EndDate,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TSMC -SUPPLIES_TO-&gt; Broadcom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DEPENDS_ON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Denotes technological or capacity reliance.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StartDate, EndDate,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TPU v7 -DEPENDS_ON-&gt; HBM3E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AFFECTED_BY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Maps a company or product to a regulatory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StartDate, EndDate,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ASML EUV -AFFECTED_BY-&gt; BIS Rule 2023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REPORTS_METRIC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Links a company to numerical XBRL facts.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period_start, period_end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-REPORTS_METRIC-&gt; Capex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HAS_EVIDENCE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Links any node or edge to its source text chunk.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confidence_score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SUPPLIES_TO edge -HAS_EVIDENCE-&gt; Chunk #452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COMPETES_WITH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Denotes market rivalry between entities.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StartDate, EndDate,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AMD -COMPETES_WITH-&gt; Nvidia</w:t>
            </w:r>
          </w:p>
        </w:tc>
      </w:tr>
    </w:tbl>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Constraints and Indexes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robust Neo4j implementation, strict schema constraints are required to maintain data integrity. Unique constraints must be applied to fundamental identifiers: CREATE CONSTRAINT ON (c:Company) ASSERT c.cik IS UNIQUE; and CREATE CONSTRAINT ON (f:Filing) ASSERT f.accession_no IS UNIQUE;. Furthermore, to support hybrid retrieval, vector indexes must be instantiated on the embedding properties of both EvidenceSpan and RiskFactor nodes. To ensure highly performant temporal querying, B-tree indexes should be placed on the StartDate, EndDate, and Status properties of all mutating edges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Pipeline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Transforming raw, unstructured financial disclosures into a high-fidelity knowledge graph requires a sophisticated, multi-phase extraction pipeline. Purely LLM-based extraction is highly susceptible to hallucination—often fabricating relationships that do not exist—while purely rule-based extraction fails to capture the nuanced narrative complexities found in the Management's Discussion and Analysis (MD&amp;A) sections of SEC filings.</w:t>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SEC Filing Ingestion and HTML Parsing:</w:t>
      </w:r>
      <w:r w:rsidDel="00000000" w:rsidR="00000000" w:rsidRPr="00000000">
        <w:rPr>
          <w:rFonts w:ascii="Google Sans" w:cs="Google Sans" w:eastAsia="Google Sans" w:hAnsi="Google Sans"/>
          <w:color w:val="1f1f1f"/>
          <w:rtl w:val="0"/>
        </w:rPr>
        <w:t xml:space="preserve"> The pipeline initiates by monitoring the SEC RSS feed and utilizing libraries like sec-downloader to fetch raw HTML files. These files are processed through sec-parser, which segments the visually chaotic HTML into a structured semantic tree, cleanly separating section headers from narrative text and tabular data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Numerical Metric Extraction:</w:t>
      </w:r>
      <w:r w:rsidDel="00000000" w:rsidR="00000000" w:rsidRPr="00000000">
        <w:rPr>
          <w:rFonts w:ascii="Google Sans" w:cs="Google Sans" w:eastAsia="Google Sans" w:hAnsi="Google Sans"/>
          <w:color w:val="1f1f1f"/>
          <w:rtl w:val="0"/>
        </w:rPr>
        <w:t xml:space="preserve"> To completely eliminate arithmetic hallucination, all financial facts (revenue, capital expenditures, R&amp;D spend) are extracted directly from the SEC XBRL Company Facts API using rule-based mappings. No generative models are permitted to parse tabular financial data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Table-Aware Semantic Chunking:</w:t>
      </w:r>
      <w:r w:rsidDel="00000000" w:rsidR="00000000" w:rsidRPr="00000000">
        <w:rPr>
          <w:rFonts w:ascii="Google Sans" w:cs="Google Sans" w:eastAsia="Google Sans" w:hAnsi="Google Sans"/>
          <w:color w:val="1f1f1f"/>
          <w:rtl w:val="0"/>
        </w:rPr>
        <w:t xml:space="preserve"> The parsed narrative text is divided into chunks. Unlike standard vector chunking, this strategy maintains the hierarchical document metadata (e.g., preserving the knowledge that a specific paragraph resides within "Item 1A -&gt; Geopolitical Risks"), which is critical for contextual grounding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Entity and Relationship Extraction:</w:t>
      </w:r>
      <w:r w:rsidDel="00000000" w:rsidR="00000000" w:rsidRPr="00000000">
        <w:rPr>
          <w:rFonts w:ascii="Google Sans" w:cs="Google Sans" w:eastAsia="Google Sans" w:hAnsi="Google Sans"/>
          <w:color w:val="1f1f1f"/>
          <w:rtl w:val="0"/>
        </w:rPr>
        <w:t xml:space="preserve"> Chunks are passed to a generative model constrained by strict Pydantic schemas (utilizing frameworks like DSPy). The optimal approach for a production-grade system is a </w:t>
      </w:r>
      <w:r w:rsidDel="00000000" w:rsidR="00000000" w:rsidRPr="00000000">
        <w:rPr>
          <w:rFonts w:ascii="Google Sans" w:cs="Google Sans" w:eastAsia="Google Sans" w:hAnsi="Google Sans"/>
          <w:b w:val="1"/>
          <w:bCs w:val="1"/>
          <w:color w:val="1f1f1f"/>
          <w:rtl w:val="0"/>
        </w:rPr>
        <w:t xml:space="preserve">schema-constrained extraction with a reflection-driven feedback loop</w:t>
      </w:r>
      <w:r w:rsidDel="00000000" w:rsidR="00000000" w:rsidRPr="00000000">
        <w:rPr>
          <w:rFonts w:ascii="Google Sans" w:cs="Google Sans" w:eastAsia="Google Sans" w:hAnsi="Google Sans"/>
          <w:color w:val="1f1f1f"/>
          <w:rtl w:val="0"/>
        </w:rPr>
        <w:t xml:space="preserve">. An initial extraction agent outputs proposed nodes and edges. Subsequently, a secondary "critic" agent evaluates these proposed triples against the original source chunk, strictly discarding any claims that lack explicit textual support, thereby enforcing high faithfulness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Entity Resolution and Canonicalization:</w:t>
      </w:r>
      <w:r w:rsidDel="00000000" w:rsidR="00000000" w:rsidRPr="00000000">
        <w:rPr>
          <w:rFonts w:ascii="Google Sans" w:cs="Google Sans" w:eastAsia="Google Sans" w:hAnsi="Google Sans"/>
          <w:color w:val="1f1f1f"/>
          <w:rtl w:val="0"/>
        </w:rPr>
        <w:t xml:space="preserve"> Extracted string names (e.g., "Taiwan Semiconductor Manufacturing Company", "TSMC", "Taiwan Semi") must be resolved to a single canonical graph node. This is achieved through knowledge-base backed entity resolution, utilizing an authoritative mapping dictionary (mapping variations to a unified CIK), supplemented by embeddings-based entity linking for ambiguous edge cases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Temporal Versioning:</w:t>
      </w:r>
      <w:r w:rsidDel="00000000" w:rsidR="00000000" w:rsidRPr="00000000">
        <w:rPr>
          <w:rFonts w:ascii="Google Sans" w:cs="Google Sans" w:eastAsia="Google Sans" w:hAnsi="Google Sans"/>
          <w:color w:val="1f1f1f"/>
          <w:rtl w:val="0"/>
        </w:rPr>
        <w:t xml:space="preserve"> As new filings are ingested, the system compares newly extracted relationships against active edges in the graph. If a risk factor present in Q2 is omitted in Q3, the pipeline executes a temporal closure: setting the EndDate of the edge to the new filing date and transitioning its Status to "Deleted"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Provenance Tracking:</w:t>
      </w:r>
      <w:r w:rsidDel="00000000" w:rsidR="00000000" w:rsidRPr="00000000">
        <w:rPr>
          <w:rFonts w:ascii="Google Sans" w:cs="Google Sans" w:eastAsia="Google Sans" w:hAnsi="Google Sans"/>
          <w:color w:val="1f1f1f"/>
          <w:rtl w:val="0"/>
        </w:rPr>
        <w:t xml:space="preserve"> Every extracted entity and relationship is bound to an EvidenceSpan node via a HAS_EVIDENCE edge, storing the exact byte-range and raw text of the source chunk, ensuring absolute traceability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Methodology Recommendation:</w:t>
      </w:r>
      <w:r w:rsidDel="00000000" w:rsidR="00000000" w:rsidRPr="00000000">
        <w:rPr>
          <w:rFonts w:ascii="Google Sans" w:cs="Google Sans" w:eastAsia="Google Sans" w:hAnsi="Google Sans"/>
          <w:color w:val="1f1f1f"/>
          <w:rtl w:val="0"/>
        </w:rPr>
        <w:t xml:space="preserve"> For the MVP, a hybrid approach is mandatory. Rule-based extraction must be used for XBRL metrics and SEC metadata, while schema-constrained LLM extraction with reflection is the most practical and reliable method for qualitative narrative text.</w:t>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Retrieval and Answering Strategy</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GraphRAG is a composite architecture, and relying on a single retrieval mode leads to suboptimal performance. The system must dynamically route queries to the most appropriate retrieval strategy.</w:t>
      </w:r>
    </w:p>
    <w:p w:rsidR="00000000" w:rsidDel="00000000" w:rsidP="00000000" w:rsidRDefault="00000000" w:rsidRPr="00000000" w14:paraId="0000016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Vanilla Vector RAG:</w:t>
      </w:r>
      <w:r w:rsidDel="00000000" w:rsidR="00000000" w:rsidRPr="00000000">
        <w:rPr>
          <w:rFonts w:ascii="Google Sans" w:cs="Google Sans" w:eastAsia="Google Sans" w:hAnsi="Google Sans"/>
          <w:color w:val="1f1f1f"/>
          <w:rtl w:val="0"/>
        </w:rPr>
        <w:t xml:space="preserve"> Should only be used for simple, isolated semantic queries (e.g., "Summarize Amazon's corporate mission statement") where structural dependencies are irrelevant.</w:t>
      </w:r>
    </w:p>
    <w:p w:rsidR="00000000" w:rsidDel="00000000" w:rsidP="00000000" w:rsidRDefault="00000000" w:rsidRPr="00000000" w14:paraId="0000016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Cypher-based Retrieval (Text-to-Cypher):</w:t>
      </w:r>
      <w:r w:rsidDel="00000000" w:rsidR="00000000" w:rsidRPr="00000000">
        <w:rPr>
          <w:rFonts w:ascii="Google Sans" w:cs="Google Sans" w:eastAsia="Google Sans" w:hAnsi="Google Sans"/>
          <w:color w:val="1f1f1f"/>
          <w:rtl w:val="0"/>
        </w:rPr>
        <w:t xml:space="preserve"> Ideal for rigid, quantitative questions ("List all companies with a capex over $10B"). However, it is brittle and prone to syntax errors if the schema is overly complex</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Entity-First Hybrid GraphRAG (Recommended):</w:t>
      </w:r>
      <w:r w:rsidDel="00000000" w:rsidR="00000000" w:rsidRPr="00000000">
        <w:rPr>
          <w:rFonts w:ascii="Google Sans" w:cs="Google Sans" w:eastAsia="Google Sans" w:hAnsi="Google Sans"/>
          <w:color w:val="1f1f1f"/>
          <w:rtl w:val="0"/>
        </w:rPr>
        <w:t xml:space="preserve"> The optimal strategy for complex financial intelligence. The system first utilizes an LLM to perform Named Entity Recognition (NER) on the user's query. It anchors onto these entities in the graph, traverses 1-2 hops outward along relevant edge types (e.g., DEPENDS_ON, SUPPLIES_TO), and simultaneously executes a vector search over the EvidenceSpan nodes attached to that specific subgraph. This filters out globally irrelevant vectors and mathematically grounds the generative process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Designed Retrieval Flows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“Which companies are most exposed to Taiwan-related semiconductor risk?”</w:t>
      </w:r>
    </w:p>
    <w:p w:rsidR="00000000" w:rsidDel="00000000" w:rsidP="00000000" w:rsidRDefault="00000000" w:rsidRPr="00000000" w14:paraId="0000016F">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Expected Graph Traversal:</w:t>
      </w:r>
      <w:r w:rsidDel="00000000" w:rsidR="00000000" w:rsidRPr="00000000">
        <w:rPr>
          <w:rFonts w:ascii="Google Sans" w:cs="Google Sans" w:eastAsia="Google Sans" w:hAnsi="Google Sans"/>
          <w:color w:val="1f1f1f"/>
          <w:rtl w:val="0"/>
        </w:rPr>
        <w:t xml:space="preserve"> MATCH (c:Company)-[:DEPENDS_ON|SUPPLIES_TO*1..2]-&gt;(target:Company)-[:OPERATES_IN]-&gt;(:Geography {name: "Taiwan"})</w:t>
      </w:r>
    </w:p>
    <w:p w:rsidR="00000000" w:rsidDel="00000000" w:rsidP="00000000" w:rsidRDefault="00000000" w:rsidRPr="00000000" w14:paraId="00000170">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Vector Retrieval Component:</w:t>
      </w:r>
      <w:r w:rsidDel="00000000" w:rsidR="00000000" w:rsidRPr="00000000">
        <w:rPr>
          <w:rFonts w:ascii="Google Sans" w:cs="Google Sans" w:eastAsia="Google Sans" w:hAnsi="Google Sans"/>
          <w:color w:val="1f1f1f"/>
          <w:rtl w:val="0"/>
        </w:rPr>
        <w:t xml:space="preserve"> Execute a semantic search for "geopolitical tension Taiwan" strictly within the RiskFactor nodes connected to the retrieved subgraph.</w:t>
      </w:r>
    </w:p>
    <w:p w:rsidR="00000000" w:rsidDel="00000000" w:rsidP="00000000" w:rsidRDefault="00000000" w:rsidRPr="00000000" w14:paraId="00000171">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Reranking Strategy:</w:t>
      </w:r>
      <w:r w:rsidDel="00000000" w:rsidR="00000000" w:rsidRPr="00000000">
        <w:rPr>
          <w:rFonts w:ascii="Google Sans" w:cs="Google Sans" w:eastAsia="Google Sans" w:hAnsi="Google Sans"/>
          <w:color w:val="1f1f1f"/>
          <w:rtl w:val="0"/>
        </w:rPr>
        <w:t xml:space="preserve"> Rank companies by their topological distance to Taiwan-based entities (e.g., 1-hop dependencies rank higher than 2-hop).</w:t>
      </w:r>
    </w:p>
    <w:p w:rsidR="00000000" w:rsidDel="00000000" w:rsidP="00000000" w:rsidRDefault="00000000" w:rsidRPr="00000000" w14:paraId="00000172">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Answer Structure:</w:t>
      </w:r>
      <w:r w:rsidDel="00000000" w:rsidR="00000000" w:rsidRPr="00000000">
        <w:rPr>
          <w:rFonts w:ascii="Google Sans" w:cs="Google Sans" w:eastAsia="Google Sans" w:hAnsi="Google Sans"/>
          <w:color w:val="1f1f1f"/>
          <w:rtl w:val="0"/>
        </w:rPr>
        <w:t xml:space="preserve"> A categorized narrative detailing merchant silicon exposure (Nvidia/AMD via TSMC) and equipment manufacturer exposure (ASML).</w:t>
      </w:r>
    </w:p>
    <w:p w:rsidR="00000000" w:rsidDel="00000000" w:rsidP="00000000" w:rsidRDefault="00000000" w:rsidRPr="00000000" w14:paraId="00000173">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Citation Strategy:</w:t>
      </w:r>
      <w:r w:rsidDel="00000000" w:rsidR="00000000" w:rsidRPr="00000000">
        <w:rPr>
          <w:rFonts w:ascii="Google Sans" w:cs="Google Sans" w:eastAsia="Google Sans" w:hAnsi="Google Sans"/>
          <w:color w:val="1f1f1f"/>
          <w:rtl w:val="0"/>
        </w:rPr>
        <w:t xml:space="preserve"> Inline citations referencing the specific EvidenceSpan nodes detailing the supply agreements.</w:t>
      </w:r>
    </w:p>
    <w:p w:rsidR="00000000" w:rsidDel="00000000" w:rsidP="00000000" w:rsidRDefault="00000000" w:rsidRPr="00000000" w14:paraId="00000174">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Failure Mode:</w:t>
      </w:r>
      <w:r w:rsidDel="00000000" w:rsidR="00000000" w:rsidRPr="00000000">
        <w:rPr>
          <w:rFonts w:ascii="Google Sans" w:cs="Google Sans" w:eastAsia="Google Sans" w:hAnsi="Google Sans"/>
          <w:color w:val="1f1f1f"/>
          <w:rtl w:val="0"/>
        </w:rPr>
        <w:t xml:space="preserve"> The system misses implicit dependencies if upstream supply chain edges were not explicitly extracted from the filings.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“How has Nvidia’s AI-related risk disclosure changed over the last five years?”</w:t>
      </w:r>
    </w:p>
    <w:p w:rsidR="00000000" w:rsidDel="00000000" w:rsidP="00000000" w:rsidRDefault="00000000" w:rsidRPr="00000000" w14:paraId="00000176">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Expected Graph Traversal:</w:t>
      </w:r>
      <w:r w:rsidDel="00000000" w:rsidR="00000000" w:rsidRPr="00000000">
        <w:rPr>
          <w:rFonts w:ascii="Google Sans" w:cs="Google Sans" w:eastAsia="Google Sans" w:hAnsi="Google Sans"/>
          <w:color w:val="1f1f1f"/>
          <w:rtl w:val="0"/>
        </w:rPr>
        <w:t xml:space="preserve"> MATCH (c:Company {ticker:"NVDA"})-[:FILED]-&gt;(f:Filing)-[:HAS_SECTION]-&gt;(s:FilingSection)-[:DISCLOSES_RISK]-&gt;(r:RiskFactor) ordered chronologically by f.date_filed.</w:t>
      </w:r>
    </w:p>
    <w:p w:rsidR="00000000" w:rsidDel="00000000" w:rsidP="00000000" w:rsidRDefault="00000000" w:rsidRPr="00000000" w14:paraId="00000177">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Vector Retrieval Component:</w:t>
      </w:r>
      <w:r w:rsidDel="00000000" w:rsidR="00000000" w:rsidRPr="00000000">
        <w:rPr>
          <w:rFonts w:ascii="Google Sans" w:cs="Google Sans" w:eastAsia="Google Sans" w:hAnsi="Google Sans"/>
          <w:color w:val="1f1f1f"/>
          <w:rtl w:val="0"/>
        </w:rPr>
        <w:t xml:space="preserve"> Filter the retrieved RiskFactor nodes for semantic similarity to "artificial intelligence", "export controls", and "data center".</w:t>
      </w:r>
    </w:p>
    <w:p w:rsidR="00000000" w:rsidDel="00000000" w:rsidP="00000000" w:rsidRDefault="00000000" w:rsidRPr="00000000" w14:paraId="00000178">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Answer Structure:</w:t>
      </w:r>
      <w:r w:rsidDel="00000000" w:rsidR="00000000" w:rsidRPr="00000000">
        <w:rPr>
          <w:rFonts w:ascii="Google Sans" w:cs="Google Sans" w:eastAsia="Google Sans" w:hAnsi="Google Sans"/>
          <w:color w:val="1f1f1f"/>
          <w:rtl w:val="0"/>
        </w:rPr>
        <w:t xml:space="preserve"> A chronological timeline explicitly comparing the introduction of new risk language across consecutive annual reports.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“Which hyperscalers are increasing AI infrastructure capex, and which chip vendors benefit?”</w:t>
      </w:r>
    </w:p>
    <w:p w:rsidR="00000000" w:rsidDel="00000000" w:rsidP="00000000" w:rsidRDefault="00000000" w:rsidRPr="00000000" w14:paraId="0000017A">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Expected Graph Traversal:</w:t>
      </w:r>
      <w:r w:rsidDel="00000000" w:rsidR="00000000" w:rsidRPr="00000000">
        <w:rPr>
          <w:rFonts w:ascii="Google Sans" w:cs="Google Sans" w:eastAsia="Google Sans" w:hAnsi="Google Sans"/>
          <w:color w:val="1f1f1f"/>
          <w:rtl w:val="0"/>
        </w:rPr>
        <w:t xml:space="preserve"> Retrieve Metric nodes representing Capital Expenditure where the parent Company is in the hyperscaler cohort (Meta, MSFT, AMZN, GOOGL). Traverse outbound CUSTOMER_OF edges.</w:t>
      </w:r>
    </w:p>
    <w:p w:rsidR="00000000" w:rsidDel="00000000" w:rsidP="00000000" w:rsidRDefault="00000000" w:rsidRPr="00000000" w14:paraId="0000017B">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Reranking Strategy:</w:t>
      </w:r>
      <w:r w:rsidDel="00000000" w:rsidR="00000000" w:rsidRPr="00000000">
        <w:rPr>
          <w:rFonts w:ascii="Google Sans" w:cs="Google Sans" w:eastAsia="Google Sans" w:hAnsi="Google Sans"/>
          <w:color w:val="1f1f1f"/>
          <w:rtl w:val="0"/>
        </w:rPr>
        <w:t xml:space="preserve"> Rank benefiting vendors by the volume of explicitly stated purchase commitments found in the hyperscalers' 10-K filings.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 “What dependencies connect Meta’s AI infrastructure plans to Nvidia, TSMC, HBM suppliers, and export controls?”</w:t>
      </w:r>
    </w:p>
    <w:p w:rsidR="00000000" w:rsidDel="00000000" w:rsidP="00000000" w:rsidRDefault="00000000" w:rsidRPr="00000000" w14:paraId="0000017D">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Expected Graph Traversal:</w:t>
      </w:r>
      <w:r w:rsidDel="00000000" w:rsidR="00000000" w:rsidRPr="00000000">
        <w:rPr>
          <w:rFonts w:ascii="Google Sans" w:cs="Google Sans" w:eastAsia="Google Sans" w:hAnsi="Google Sans"/>
          <w:color w:val="1f1f1f"/>
          <w:rtl w:val="0"/>
        </w:rPr>
        <w:t xml:space="preserve"> Multi-hop shortest path execution. MATCH p = shortestPath((meta:Company)-[*]-(ec:ExportControl)) filtering for allowable intermediate node types (Companies, Products).</w:t>
      </w:r>
    </w:p>
    <w:p w:rsidR="00000000" w:rsidDel="00000000" w:rsidP="00000000" w:rsidRDefault="00000000" w:rsidRPr="00000000" w14:paraId="0000017E">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Graph Path Output:</w:t>
      </w:r>
      <w:r w:rsidDel="00000000" w:rsidR="00000000" w:rsidRPr="00000000">
        <w:rPr>
          <w:rFonts w:ascii="Google Sans" w:cs="Google Sans" w:eastAsia="Google Sans" w:hAnsi="Google Sans"/>
          <w:color w:val="1f1f1f"/>
          <w:rtl w:val="0"/>
        </w:rPr>
        <w:t xml:space="preserve"> A literal visual representation of the path: Meta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Nvidia GPUs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TSMC CoWoS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ASML EUV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BIS Export Controls.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 “Compare AMD, Nvidia, and Intel on AI accelerator risks, customer concentration, and manufacturing dependencies.”</w:t>
      </w:r>
    </w:p>
    <w:p w:rsidR="00000000" w:rsidDel="00000000" w:rsidP="00000000" w:rsidRDefault="00000000" w:rsidRPr="00000000" w14:paraId="00000180">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Expected Graph Traversal:</w:t>
      </w:r>
      <w:r w:rsidDel="00000000" w:rsidR="00000000" w:rsidRPr="00000000">
        <w:rPr>
          <w:rFonts w:ascii="Google Sans" w:cs="Google Sans" w:eastAsia="Google Sans" w:hAnsi="Google Sans"/>
          <w:color w:val="1f1f1f"/>
          <w:rtl w:val="0"/>
        </w:rPr>
        <w:t xml:space="preserve"> Parallel extraction of subgraphs for all three companies capturing outbound SUPPLIES_TO, MANUFACTURED_BY, and DISCLOSES_RISK edges.</w:t>
      </w:r>
    </w:p>
    <w:p w:rsidR="00000000" w:rsidDel="00000000" w:rsidP="00000000" w:rsidRDefault="00000000" w:rsidRPr="00000000" w14:paraId="00000181">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Answer Structure:</w:t>
      </w:r>
      <w:r w:rsidDel="00000000" w:rsidR="00000000" w:rsidRPr="00000000">
        <w:rPr>
          <w:rFonts w:ascii="Google Sans" w:cs="Google Sans" w:eastAsia="Google Sans" w:hAnsi="Google Sans"/>
          <w:color w:val="1f1f1f"/>
          <w:rtl w:val="0"/>
        </w:rPr>
        <w:t xml:space="preserve"> A Markdown table providing a direct, structured comparison of Merchant vs. Custom ASIC strategies, Foundry utilization (TSMC vs Internal), and top disclosed customers.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 “Which companies mention export controls as a material risk, and how has that changed since 2022?”</w:t>
      </w:r>
    </w:p>
    <w:p w:rsidR="00000000" w:rsidDel="00000000" w:rsidP="00000000" w:rsidRDefault="00000000" w:rsidRPr="00000000" w14:paraId="00000183">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Expected Graph Traversal:</w:t>
      </w:r>
      <w:r w:rsidDel="00000000" w:rsidR="00000000" w:rsidRPr="00000000">
        <w:rPr>
          <w:rFonts w:ascii="Google Sans" w:cs="Google Sans" w:eastAsia="Google Sans" w:hAnsi="Google Sans"/>
          <w:color w:val="1f1f1f"/>
          <w:rtl w:val="0"/>
        </w:rPr>
        <w:t xml:space="preserve"> Query bitemporal AFFECTED_BY edges targeting ExportControl nodes, strictly observing the StartDate and EndDate properties to identify entities that newly added or removed this disclosure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 “What evidence supports the claim that AI demand is increasing data center capex?”</w:t>
      </w:r>
    </w:p>
    <w:p w:rsidR="00000000" w:rsidDel="00000000" w:rsidP="00000000" w:rsidRDefault="00000000" w:rsidRPr="00000000" w14:paraId="00000185">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Vector Retrieval Component:</w:t>
      </w:r>
      <w:r w:rsidDel="00000000" w:rsidR="00000000" w:rsidRPr="00000000">
        <w:rPr>
          <w:rFonts w:ascii="Google Sans" w:cs="Google Sans" w:eastAsia="Google Sans" w:hAnsi="Google Sans"/>
          <w:color w:val="1f1f1f"/>
          <w:rtl w:val="0"/>
        </w:rPr>
        <w:t xml:space="preserve"> A direct vector search over all EvidenceSpan nodes for the semantic concept of "AI driven data center capex acceleration".</w:t>
      </w:r>
    </w:p>
    <w:p w:rsidR="00000000" w:rsidDel="00000000" w:rsidP="00000000" w:rsidRDefault="00000000" w:rsidRPr="00000000" w14:paraId="00000186">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Graph Path Output:</w:t>
      </w:r>
      <w:r w:rsidDel="00000000" w:rsidR="00000000" w:rsidRPr="00000000">
        <w:rPr>
          <w:rFonts w:ascii="Google Sans" w:cs="Google Sans" w:eastAsia="Google Sans" w:hAnsi="Google Sans"/>
          <w:color w:val="1f1f1f"/>
          <w:rtl w:val="0"/>
        </w:rPr>
        <w:t xml:space="preserve"> Traverse backward from the top matching EvidenceSpan nodes to identify the parent Company and Filing nodes, ensuring the answer is attributed to official corporate disclosures rather than general market sentiment.</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 “Which companies disclose dependency on third-party foundries or advanced semiconductor manufacturing?”</w:t>
      </w:r>
    </w:p>
    <w:p w:rsidR="00000000" w:rsidDel="00000000" w:rsidP="00000000" w:rsidRDefault="00000000" w:rsidRPr="00000000" w14:paraId="00000188">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Expected Graph Traversal:</w:t>
      </w:r>
      <w:r w:rsidDel="00000000" w:rsidR="00000000" w:rsidRPr="00000000">
        <w:rPr>
          <w:rFonts w:ascii="Google Sans" w:cs="Google Sans" w:eastAsia="Google Sans" w:hAnsi="Google Sans"/>
          <w:color w:val="1f1f1f"/>
          <w:rtl w:val="0"/>
        </w:rPr>
        <w:t xml:space="preserve"> MATCH (c:Company)-[:DISCLOSES_RISK]-&gt;(r:RiskFactor) where r.category equals "Manufacturing Dependency".</w:t>
      </w:r>
    </w:p>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Framework</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a financial GraphRAG system requires a departure from generic natural language processing metrics. The evaluation must ruthlessly penalize hallucination and verify strict factual grounding. An LLM-as-a-judge framework, specifically calibrated to avoid leniency bias, is the industry standard for this domain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Concrete Metrics</w:t>
      </w:r>
    </w:p>
    <w:p w:rsidR="00000000" w:rsidDel="00000000" w:rsidP="00000000" w:rsidRDefault="00000000" w:rsidRPr="00000000" w14:paraId="0000018C">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Answer Faithfulness (Groundedness):</w:t>
      </w:r>
      <w:r w:rsidDel="00000000" w:rsidR="00000000" w:rsidRPr="00000000">
        <w:rPr>
          <w:rFonts w:ascii="Google Sans" w:cs="Google Sans" w:eastAsia="Google Sans" w:hAnsi="Google Sans"/>
          <w:color w:val="1f1f1f"/>
          <w:rtl w:val="0"/>
        </w:rPr>
        <w:t xml:space="preserve"> Evaluates if the generated response is strictly derived from the retrieved EvidenceSpans. Calculated as the ratio of supported claims to total extracted claims.</w:t>
      </w:r>
    </w:p>
    <w:p w:rsidR="00000000" w:rsidDel="00000000" w:rsidP="00000000" w:rsidRDefault="00000000" w:rsidRPr="00000000" w14:paraId="0000018D">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Context Precision:</w:t>
      </w:r>
      <w:r w:rsidDel="00000000" w:rsidR="00000000" w:rsidRPr="00000000">
        <w:rPr>
          <w:rFonts w:ascii="Google Sans" w:cs="Google Sans" w:eastAsia="Google Sans" w:hAnsi="Google Sans"/>
          <w:color w:val="1f1f1f"/>
          <w:rtl w:val="0"/>
        </w:rPr>
        <w:t xml:space="preserve"> Measures whether the mathematically relevant graph nodes and vector chunks appear at the highest ranks of the retrieved set, penalizing configurations that retrieve correct information but rank it poorly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E">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Context Recall:</w:t>
      </w:r>
      <w:r w:rsidDel="00000000" w:rsidR="00000000" w:rsidRPr="00000000">
        <w:rPr>
          <w:rFonts w:ascii="Google Sans" w:cs="Google Sans" w:eastAsia="Google Sans" w:hAnsi="Google Sans"/>
          <w:color w:val="1f1f1f"/>
          <w:rtl w:val="0"/>
        </w:rPr>
        <w:t xml:space="preserve"> Measures the fraction of the necessary ground-truth answer that can be successfully attributed to the retrieved context chunks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F">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Relationship Extraction F1:</w:t>
      </w:r>
      <w:r w:rsidDel="00000000" w:rsidR="00000000" w:rsidRPr="00000000">
        <w:rPr>
          <w:rFonts w:ascii="Google Sans" w:cs="Google Sans" w:eastAsia="Google Sans" w:hAnsi="Google Sans"/>
          <w:color w:val="1f1f1f"/>
          <w:rtl w:val="0"/>
        </w:rPr>
        <w:t xml:space="preserve"> Evaluates the fidelity of the ingestion pipeline by calculating the harmonic mean of precision and recall for identifying edges (e.g., SUPPLIES_TO) against a human-annotated gold standard.</w:t>
      </w:r>
    </w:p>
    <w:p w:rsidR="00000000" w:rsidDel="00000000" w:rsidP="00000000" w:rsidRDefault="00000000" w:rsidRPr="00000000" w14:paraId="00000190">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Temporal Consistency Score:</w:t>
      </w:r>
      <w:r w:rsidDel="00000000" w:rsidR="00000000" w:rsidRPr="00000000">
        <w:rPr>
          <w:rFonts w:ascii="Google Sans" w:cs="Google Sans" w:eastAsia="Google Sans" w:hAnsi="Google Sans"/>
          <w:color w:val="1f1f1f"/>
          <w:rtl w:val="0"/>
        </w:rPr>
        <w:t xml:space="preserve"> Verifies that the system correctly interprets bitemporal node statuses, ensuring it does not present a deleted 2023 risk factor as an active 2026 risk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1">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Numeric Consistency:</w:t>
      </w:r>
      <w:r w:rsidDel="00000000" w:rsidR="00000000" w:rsidRPr="00000000">
        <w:rPr>
          <w:rFonts w:ascii="Google Sans" w:cs="Google Sans" w:eastAsia="Google Sans" w:hAnsi="Google Sans"/>
          <w:color w:val="1f1f1f"/>
          <w:rtl w:val="0"/>
        </w:rPr>
        <w:t xml:space="preserve"> Verifies that retrieved XBRL facts adhere to mathematical reality, ensuring that system-generated aggregations (e.g., total hyperscaler capex) match the sum of their individual components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Gold-Standard Benchmark Dataset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requires a highly curated dataset of exactly 50 complex questions, segmented into specific analytical categories to stress-test different architectural components.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Categorization of the 50 Questions:</w:t>
      </w:r>
    </w:p>
    <w:p w:rsidR="00000000" w:rsidDel="00000000" w:rsidP="00000000" w:rsidRDefault="00000000" w:rsidRPr="00000000" w14:paraId="00000195">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Single-company questions (5)</w:t>
      </w:r>
    </w:p>
    <w:p w:rsidR="00000000" w:rsidDel="00000000" w:rsidP="00000000" w:rsidRDefault="00000000" w:rsidRPr="00000000" w14:paraId="00000196">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Multi-company comparison questions (8)</w:t>
      </w:r>
    </w:p>
    <w:p w:rsidR="00000000" w:rsidDel="00000000" w:rsidP="00000000" w:rsidRDefault="00000000" w:rsidRPr="00000000" w14:paraId="00000197">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Temporal change questions (7)</w:t>
      </w:r>
    </w:p>
    <w:p w:rsidR="00000000" w:rsidDel="00000000" w:rsidP="00000000" w:rsidRDefault="00000000" w:rsidRPr="00000000" w14:paraId="00000198">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Risk-factor questions (6)</w:t>
      </w:r>
    </w:p>
    <w:p w:rsidR="00000000" w:rsidDel="00000000" w:rsidP="00000000" w:rsidRDefault="00000000" w:rsidRPr="00000000" w14:paraId="00000199">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Supply-chain dependency questions (8)</w:t>
      </w:r>
    </w:p>
    <w:p w:rsidR="00000000" w:rsidDel="00000000" w:rsidP="00000000" w:rsidRDefault="00000000" w:rsidRPr="00000000" w14:paraId="0000019A">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Financial metric questions (6)</w:t>
      </w:r>
    </w:p>
    <w:p w:rsidR="00000000" w:rsidDel="00000000" w:rsidP="00000000" w:rsidRDefault="00000000" w:rsidRPr="00000000" w14:paraId="0000019B">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Regulatory exposure questions (5)</w:t>
      </w:r>
    </w:p>
    <w:p w:rsidR="00000000" w:rsidDel="00000000" w:rsidP="00000000" w:rsidRDefault="00000000" w:rsidRPr="00000000" w14:paraId="0000019C">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Event-impact questions (3)</w:t>
      </w:r>
    </w:p>
    <w:p w:rsidR="00000000" w:rsidDel="00000000" w:rsidP="00000000" w:rsidRDefault="00000000" w:rsidRPr="00000000" w14:paraId="0000019D">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Contradiction or uncertainty questions (2)</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Answer Outlines for 15 Benchmark Questions:</w:t>
      </w:r>
    </w:p>
    <w:p w:rsidR="00000000" w:rsidDel="00000000" w:rsidP="00000000" w:rsidRDefault="00000000" w:rsidRPr="00000000" w14:paraId="0000019F">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(Single-company):</w:t>
      </w:r>
      <w:r w:rsidDel="00000000" w:rsidR="00000000" w:rsidRPr="00000000">
        <w:rPr>
          <w:rFonts w:ascii="Google Sans" w:cs="Google Sans" w:eastAsia="Google Sans" w:hAnsi="Google Sans"/>
          <w:color w:val="1f1f1f"/>
          <w:rtl w:val="0"/>
        </w:rPr>
        <w:t xml:space="preserve"> "What was Nvidia's reported data center segment revenue for FY2024?"</w:t>
      </w:r>
    </w:p>
    <w:p w:rsidR="00000000" w:rsidDel="00000000" w:rsidP="00000000" w:rsidRDefault="00000000" w:rsidRPr="00000000" w14:paraId="000001A0">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Exact numeric value extracted directly from XBRL metadata. Evidence source: 10-K financial tables.</w:t>
      </w:r>
    </w:p>
    <w:p w:rsidR="00000000" w:rsidDel="00000000" w:rsidP="00000000" w:rsidRDefault="00000000" w:rsidRPr="00000000" w14:paraId="000001A1">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(Single-company):</w:t>
      </w:r>
      <w:r w:rsidDel="00000000" w:rsidR="00000000" w:rsidRPr="00000000">
        <w:rPr>
          <w:rFonts w:ascii="Google Sans" w:cs="Google Sans" w:eastAsia="Google Sans" w:hAnsi="Google Sans"/>
          <w:color w:val="1f1f1f"/>
          <w:rtl w:val="0"/>
        </w:rPr>
        <w:t xml:space="preserve"> "Who are ASML's primary customers as disclosed in their latest annual report?"</w:t>
      </w:r>
    </w:p>
    <w:p w:rsidR="00000000" w:rsidDel="00000000" w:rsidP="00000000" w:rsidRDefault="00000000" w:rsidRPr="00000000" w14:paraId="000001A2">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Graph traversal identifying TSMC, Intel, and Samsung. Evidence source: 10-K Customer Concentration disclosures.</w:t>
      </w:r>
    </w:p>
    <w:p w:rsidR="00000000" w:rsidDel="00000000" w:rsidP="00000000" w:rsidRDefault="00000000" w:rsidRPr="00000000" w14:paraId="000001A3">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(Multi-company):</w:t>
      </w:r>
      <w:r w:rsidDel="00000000" w:rsidR="00000000" w:rsidRPr="00000000">
        <w:rPr>
          <w:rFonts w:ascii="Google Sans" w:cs="Google Sans" w:eastAsia="Google Sans" w:hAnsi="Google Sans"/>
          <w:color w:val="1f1f1f"/>
          <w:rtl w:val="0"/>
        </w:rPr>
        <w:t xml:space="preserve"> "Compare the HBM supply strategies of Nvidia and AMD."</w:t>
      </w:r>
    </w:p>
    <w:p w:rsidR="00000000" w:rsidDel="00000000" w:rsidP="00000000" w:rsidRDefault="00000000" w:rsidRPr="00000000" w14:paraId="000001A4">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Graph paths linking Nvidia and AMD to Micron, Samsung, and SK Hynix, highlighting allocation percentages if disclosed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Evidence source: 10-K Supply Chain disclosures.</w:t>
      </w:r>
    </w:p>
    <w:p w:rsidR="00000000" w:rsidDel="00000000" w:rsidP="00000000" w:rsidRDefault="00000000" w:rsidRPr="00000000" w14:paraId="000001A5">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(Multi-company):</w:t>
      </w:r>
      <w:r w:rsidDel="00000000" w:rsidR="00000000" w:rsidRPr="00000000">
        <w:rPr>
          <w:rFonts w:ascii="Google Sans" w:cs="Google Sans" w:eastAsia="Google Sans" w:hAnsi="Google Sans"/>
          <w:color w:val="1f1f1f"/>
          <w:rtl w:val="0"/>
        </w:rPr>
        <w:t xml:space="preserve"> "Contrast the custom ASIC strategies of Microsoft and Alphabet."</w:t>
      </w:r>
    </w:p>
    <w:p w:rsidR="00000000" w:rsidDel="00000000" w:rsidP="00000000" w:rsidRDefault="00000000" w:rsidRPr="00000000" w14:paraId="000001A6">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Evidence linking Alphabet to Broadcom TPUs, and Microsoft to internal Maia/Cobalt designs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Evidence source: 10-K and 8-K product announcements.</w:t>
      </w:r>
    </w:p>
    <w:p w:rsidR="00000000" w:rsidDel="00000000" w:rsidP="00000000" w:rsidRDefault="00000000" w:rsidRPr="00000000" w14:paraId="000001A7">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(Temporal):</w:t>
      </w:r>
      <w:r w:rsidDel="00000000" w:rsidR="00000000" w:rsidRPr="00000000">
        <w:rPr>
          <w:rFonts w:ascii="Google Sans" w:cs="Google Sans" w:eastAsia="Google Sans" w:hAnsi="Google Sans"/>
          <w:color w:val="1f1f1f"/>
          <w:rtl w:val="0"/>
        </w:rPr>
        <w:t xml:space="preserve"> "How has TSMC's disclosure regarding CoWoS capacity limits evolved since 2023?"</w:t>
      </w:r>
    </w:p>
    <w:p w:rsidR="00000000" w:rsidDel="00000000" w:rsidP="00000000" w:rsidRDefault="00000000" w:rsidRPr="00000000" w14:paraId="000001A8">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Temporal analysis of Risk Factors indicating a shift from general manufacturing risks to acute advanced-packaging constraints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Evidence source: Sequential 10-Q MD&amp;A sections.</w:t>
      </w:r>
    </w:p>
    <w:p w:rsidR="00000000" w:rsidDel="00000000" w:rsidP="00000000" w:rsidRDefault="00000000" w:rsidRPr="00000000" w14:paraId="000001A9">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(Temporal):</w:t>
      </w:r>
      <w:r w:rsidDel="00000000" w:rsidR="00000000" w:rsidRPr="00000000">
        <w:rPr>
          <w:rFonts w:ascii="Google Sans" w:cs="Google Sans" w:eastAsia="Google Sans" w:hAnsi="Google Sans"/>
          <w:color w:val="1f1f1f"/>
          <w:rtl w:val="0"/>
        </w:rPr>
        <w:t xml:space="preserve"> "Trace the evolution of Broadcom's AI revenue guidance over the last four quarters."</w:t>
      </w:r>
    </w:p>
    <w:p w:rsidR="00000000" w:rsidDel="00000000" w:rsidP="00000000" w:rsidRDefault="00000000" w:rsidRPr="00000000" w14:paraId="000001AA">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Time-series extraction of specific AI revenue figures. Evidence source: Sequential 8-K earnings releases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B">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(Dependency):</w:t>
      </w:r>
      <w:r w:rsidDel="00000000" w:rsidR="00000000" w:rsidRPr="00000000">
        <w:rPr>
          <w:rFonts w:ascii="Google Sans" w:cs="Google Sans" w:eastAsia="Google Sans" w:hAnsi="Google Sans"/>
          <w:color w:val="1f1f1f"/>
          <w:rtl w:val="0"/>
        </w:rPr>
        <w:t xml:space="preserve"> "Map the supply chain from Anthropic's compute demands to physical manufacturing."</w:t>
      </w:r>
    </w:p>
    <w:p w:rsidR="00000000" w:rsidDel="00000000" w:rsidP="00000000" w:rsidRDefault="00000000" w:rsidRPr="00000000" w14:paraId="000001AC">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Sequential graph path: Anthropic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AWS/GCP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Custom ASICs/GPUs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Broadcom/Nvidia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TSMC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ASML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Evidence source: 10-K Partnership and Supplier disclosures.</w:t>
      </w:r>
    </w:p>
    <w:p w:rsidR="00000000" w:rsidDel="00000000" w:rsidP="00000000" w:rsidRDefault="00000000" w:rsidRPr="00000000" w14:paraId="000001AD">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(Dependency):</w:t>
      </w:r>
      <w:r w:rsidDel="00000000" w:rsidR="00000000" w:rsidRPr="00000000">
        <w:rPr>
          <w:rFonts w:ascii="Google Sans" w:cs="Google Sans" w:eastAsia="Google Sans" w:hAnsi="Google Sans"/>
          <w:color w:val="1f1f1f"/>
          <w:rtl w:val="0"/>
        </w:rPr>
        <w:t xml:space="preserve"> "Which companies are highly dependent on TSMC's 3nm and 2nm nodes?"</w:t>
      </w:r>
    </w:p>
    <w:p w:rsidR="00000000" w:rsidDel="00000000" w:rsidP="00000000" w:rsidRDefault="00000000" w:rsidRPr="00000000" w14:paraId="000001AE">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DEPENDS_ON edges mapping Apple, Nvidia, and AMD to specific TSMC manufacturing nodes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Evidence source: 10-K MD&amp;A.</w:t>
      </w:r>
    </w:p>
    <w:p w:rsidR="00000000" w:rsidDel="00000000" w:rsidP="00000000" w:rsidRDefault="00000000" w:rsidRPr="00000000" w14:paraId="000001AF">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(Metric):</w:t>
      </w:r>
      <w:r w:rsidDel="00000000" w:rsidR="00000000" w:rsidRPr="00000000">
        <w:rPr>
          <w:rFonts w:ascii="Google Sans" w:cs="Google Sans" w:eastAsia="Google Sans" w:hAnsi="Google Sans"/>
          <w:color w:val="1f1f1f"/>
          <w:rtl w:val="0"/>
        </w:rPr>
        <w:t xml:space="preserve"> "Aggregate the guided 2026 AI capex for the four largest hyperscalers."</w:t>
      </w:r>
    </w:p>
    <w:p w:rsidR="00000000" w:rsidDel="00000000" w:rsidP="00000000" w:rsidRDefault="00000000" w:rsidRPr="00000000" w14:paraId="000001B0">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Summation of the $1.12 trillion total (Meta, Alphabet, Microsoft, Amazon). Evidence source: XBRL facts and 8-K guidance statements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1">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(Regulatory):</w:t>
      </w:r>
      <w:r w:rsidDel="00000000" w:rsidR="00000000" w:rsidRPr="00000000">
        <w:rPr>
          <w:rFonts w:ascii="Google Sans" w:cs="Google Sans" w:eastAsia="Google Sans" w:hAnsi="Google Sans"/>
          <w:color w:val="1f1f1f"/>
          <w:rtl w:val="0"/>
        </w:rPr>
        <w:t xml:space="preserve"> "Which companies specifically mention BIS October 2022 rules as a material risk?"</w:t>
      </w:r>
    </w:p>
    <w:p w:rsidR="00000000" w:rsidDel="00000000" w:rsidP="00000000" w:rsidRDefault="00000000" w:rsidRPr="00000000" w14:paraId="000001B2">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Vector search on EvidenceSpan nodes mapping backward to parent Company nodes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Evidence source: 10-K Risk Factors.</w:t>
      </w:r>
    </w:p>
    <w:p w:rsidR="00000000" w:rsidDel="00000000" w:rsidP="00000000" w:rsidRDefault="00000000" w:rsidRPr="00000000" w14:paraId="000001B3">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(Regulatory):</w:t>
      </w:r>
      <w:r w:rsidDel="00000000" w:rsidR="00000000" w:rsidRPr="00000000">
        <w:rPr>
          <w:rFonts w:ascii="Google Sans" w:cs="Google Sans" w:eastAsia="Google Sans" w:hAnsi="Google Sans"/>
          <w:color w:val="1f1f1f"/>
          <w:rtl w:val="0"/>
        </w:rPr>
        <w:t xml:space="preserve"> "How are export controls on 14nm logic affecting Applied Materials?"</w:t>
      </w:r>
    </w:p>
    <w:p w:rsidR="00000000" w:rsidDel="00000000" w:rsidP="00000000" w:rsidRDefault="00000000" w:rsidRPr="00000000" w14:paraId="000001B4">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Dependency mapping connecting restricted geographic regions (China) to equipment manufacturers. Evidence source: 10-Q Geographic Revenue segments.</w:t>
      </w:r>
    </w:p>
    <w:p w:rsidR="00000000" w:rsidDel="00000000" w:rsidP="00000000" w:rsidRDefault="00000000" w:rsidRPr="00000000" w14:paraId="000001B5">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(Event):</w:t>
      </w:r>
      <w:r w:rsidDel="00000000" w:rsidR="00000000" w:rsidRPr="00000000">
        <w:rPr>
          <w:rFonts w:ascii="Google Sans" w:cs="Google Sans" w:eastAsia="Google Sans" w:hAnsi="Google Sans"/>
          <w:color w:val="1f1f1f"/>
          <w:rtl w:val="0"/>
        </w:rPr>
        <w:t xml:space="preserve"> "What was the immediate impact of the May 2024 export control update on Intel's forward guidance?"</w:t>
      </w:r>
    </w:p>
    <w:p w:rsidR="00000000" w:rsidDel="00000000" w:rsidP="00000000" w:rsidRDefault="00000000" w:rsidRPr="00000000" w14:paraId="000001B6">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Linking specific 8-K event nodes to subsequent revised revenue figures. Evidence source: 8-K material event disclosures.</w:t>
      </w:r>
    </w:p>
    <w:p w:rsidR="00000000" w:rsidDel="00000000" w:rsidP="00000000" w:rsidRDefault="00000000" w:rsidRPr="00000000" w14:paraId="000001B7">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(Contradiction):</w:t>
      </w:r>
      <w:r w:rsidDel="00000000" w:rsidR="00000000" w:rsidRPr="00000000">
        <w:rPr>
          <w:rFonts w:ascii="Google Sans" w:cs="Google Sans" w:eastAsia="Google Sans" w:hAnsi="Google Sans"/>
          <w:color w:val="1f1f1f"/>
          <w:rtl w:val="0"/>
        </w:rPr>
        <w:t xml:space="preserve"> "Is there a consensus on when HBM supply constraints will normalize?"</w:t>
      </w:r>
    </w:p>
    <w:p w:rsidR="00000000" w:rsidDel="00000000" w:rsidP="00000000" w:rsidRDefault="00000000" w:rsidRPr="00000000" w14:paraId="000001B8">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Extraction of conflicting forward-looking statements from Micron versus Samsung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Evidence source: 8-K Management commentary.</w:t>
      </w:r>
    </w:p>
    <w:p w:rsidR="00000000" w:rsidDel="00000000" w:rsidP="00000000" w:rsidRDefault="00000000" w:rsidRPr="00000000" w14:paraId="000001B9">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(Deep Reasoning):</w:t>
      </w:r>
      <w:r w:rsidDel="00000000" w:rsidR="00000000" w:rsidRPr="00000000">
        <w:rPr>
          <w:rFonts w:ascii="Google Sans" w:cs="Google Sans" w:eastAsia="Google Sans" w:hAnsi="Google Sans"/>
          <w:color w:val="1f1f1f"/>
          <w:rtl w:val="0"/>
        </w:rPr>
        <w:t xml:space="preserve"> "If TSMC's CoWoS-L capacity is capped at 1.0M wafers in 2026, what is the maximum theoretical revenue constraint for Nvidia's hardware assuming a 60% allocation?"</w:t>
      </w:r>
    </w:p>
    <w:p w:rsidR="00000000" w:rsidDel="00000000" w:rsidP="00000000" w:rsidRDefault="00000000" w:rsidRPr="00000000" w14:paraId="000001BA">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Mathematical deduction combining distinct graph facts (1M </w:t>
      </w:r>
      <w:r w:rsidDel="00000000" w:rsidR="00000000" w:rsidRPr="00000000">
        <w:rPr>
          <w:rFonts w:ascii="Google Sans" w:cs="Google Sans" w:eastAsia="Google Sans" w:hAnsi="Google Sans"/>
          <w:color w:val="1f1f1f"/>
        </w:rPr>
        <w:drawing>
          <wp:inline distB="19050" distT="19050" distL="19050" distR="19050">
            <wp:extent cx="152499" cy="235103"/>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2499"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0.60 </w:t>
      </w:r>
      <w:r w:rsidDel="00000000" w:rsidR="00000000" w:rsidRPr="00000000">
        <w:rPr>
          <w:rFonts w:ascii="Google Sans" w:cs="Google Sans" w:eastAsia="Google Sans" w:hAnsi="Google Sans"/>
          <w:color w:val="1f1f1f"/>
        </w:rPr>
        <w:drawing>
          <wp:inline distB="19050" distT="19050" distL="19050" distR="19050">
            <wp:extent cx="152499" cy="235103"/>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2499"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Estimated Revenue/Wafer)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Evidence source: Cross-document synthesis.</w:t>
      </w:r>
    </w:p>
    <w:p w:rsidR="00000000" w:rsidDel="00000000" w:rsidP="00000000" w:rsidRDefault="00000000" w:rsidRPr="00000000" w14:paraId="000001BB">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 (Deep Reasoning):</w:t>
      </w:r>
      <w:r w:rsidDel="00000000" w:rsidR="00000000" w:rsidRPr="00000000">
        <w:rPr>
          <w:rFonts w:ascii="Google Sans" w:cs="Google Sans" w:eastAsia="Google Sans" w:hAnsi="Google Sans"/>
          <w:color w:val="1f1f1f"/>
          <w:rtl w:val="0"/>
        </w:rPr>
        <w:t xml:space="preserve"> "Who is the primary supply-chain beneficiary of Google migrating Midjourney inference to TPUs?"</w:t>
      </w:r>
    </w:p>
    <w:p w:rsidR="00000000" w:rsidDel="00000000" w:rsidP="00000000" w:rsidRDefault="00000000" w:rsidRPr="00000000" w14:paraId="000001BC">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Expected:</w:t>
      </w:r>
      <w:r w:rsidDel="00000000" w:rsidR="00000000" w:rsidRPr="00000000">
        <w:rPr>
          <w:rFonts w:ascii="Google Sans" w:cs="Google Sans" w:eastAsia="Google Sans" w:hAnsi="Google Sans"/>
          <w:color w:val="1f1f1f"/>
          <w:rtl w:val="0"/>
        </w:rPr>
        <w:t xml:space="preserve"> Linking Midjourney to Google TPU, and Google TPU to Broadcom ASIC design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Evidence source: Partnership disclosures and 10-K supplier mapping.</w:t>
      </w:r>
    </w:p>
    <w:p w:rsidR="00000000" w:rsidDel="00000000" w:rsidP="00000000" w:rsidRDefault="00000000" w:rsidRPr="00000000" w14:paraId="000001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Architecture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deterministic ingestion, temporal versioning, and low-latency hybrid retrieval, a decoupled, microservices-based architecture is required.</w:t>
      </w:r>
    </w:p>
    <w:p w:rsidR="00000000" w:rsidDel="00000000" w:rsidP="00000000" w:rsidRDefault="00000000" w:rsidRPr="00000000" w14:paraId="000001BF">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Ingestion Service (Dagster):</w:t>
      </w:r>
      <w:r w:rsidDel="00000000" w:rsidR="00000000" w:rsidRPr="00000000">
        <w:rPr>
          <w:rFonts w:ascii="Google Sans" w:cs="Google Sans" w:eastAsia="Google Sans" w:hAnsi="Google Sans"/>
          <w:color w:val="1f1f1f"/>
          <w:rtl w:val="0"/>
        </w:rPr>
        <w:t xml:space="preserve"> Dagster is the superior choice over Airflow for this MVP due to its data-aware orchestration and software-defined assets. It will schedule daily polling against the SEC RSS feeds and manage the multi-phase pipeline (HTML segmentation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LLM Extraction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Graph Loading).</w:t>
      </w:r>
    </w:p>
    <w:p w:rsidR="00000000" w:rsidDel="00000000" w:rsidP="00000000" w:rsidRDefault="00000000" w:rsidRPr="00000000" w14:paraId="000001C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 Storage (AWS S3):</w:t>
      </w:r>
      <w:r w:rsidDel="00000000" w:rsidR="00000000" w:rsidRPr="00000000">
        <w:rPr>
          <w:rFonts w:ascii="Google Sans" w:cs="Google Sans" w:eastAsia="Google Sans" w:hAnsi="Google Sans"/>
          <w:color w:val="1f1f1f"/>
          <w:rtl w:val="0"/>
        </w:rPr>
        <w:t xml:space="preserve"> Required to store the raw HTML, SGML, and PDF documents prior to processing, serving as an immutable data lake.</w:t>
      </w:r>
    </w:p>
    <w:p w:rsidR="00000000" w:rsidDel="00000000" w:rsidP="00000000" w:rsidRDefault="00000000" w:rsidRPr="00000000" w14:paraId="000001C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Metadata Database (PostgreSQL):</w:t>
      </w:r>
      <w:r w:rsidDel="00000000" w:rsidR="00000000" w:rsidRPr="00000000">
        <w:rPr>
          <w:rFonts w:ascii="Google Sans" w:cs="Google Sans" w:eastAsia="Google Sans" w:hAnsi="Google Sans"/>
          <w:color w:val="1f1f1f"/>
          <w:rtl w:val="0"/>
        </w:rPr>
        <w:t xml:space="preserve"> Utilized for user management, session logging, and storing the canonical entity mapping dictionary.</w:t>
      </w:r>
    </w:p>
    <w:p w:rsidR="00000000" w:rsidDel="00000000" w:rsidP="00000000" w:rsidRDefault="00000000" w:rsidRPr="00000000" w14:paraId="000001C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Graph Database (Neo4j):</w:t>
      </w:r>
      <w:r w:rsidDel="00000000" w:rsidR="00000000" w:rsidRPr="00000000">
        <w:rPr>
          <w:rFonts w:ascii="Google Sans" w:cs="Google Sans" w:eastAsia="Google Sans" w:hAnsi="Google Sans"/>
          <w:color w:val="1f1f1f"/>
          <w:rtl w:val="0"/>
        </w:rPr>
        <w:t xml:space="preserve"> Neo4j is the undisputed best production choice for this domain. It provides native temporal data types necessary for the bitemporal schema, standard Cypher querying, and highly optimized graph traversal algorithms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Memgraph is a viable alternative for extreme low-latency requirements, but Neo4j offers superior tooling for a single-engineer MVP.</w:t>
      </w:r>
    </w:p>
    <w:p w:rsidR="00000000" w:rsidDel="00000000" w:rsidP="00000000" w:rsidRDefault="00000000" w:rsidRPr="00000000" w14:paraId="000001C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Vector Database (Neo4j Vector):</w:t>
      </w:r>
      <w:r w:rsidDel="00000000" w:rsidR="00000000" w:rsidRPr="00000000">
        <w:rPr>
          <w:rFonts w:ascii="Google Sans" w:cs="Google Sans" w:eastAsia="Google Sans" w:hAnsi="Google Sans"/>
          <w:color w:val="1f1f1f"/>
          <w:rtl w:val="0"/>
        </w:rPr>
        <w:t xml:space="preserve"> While Qdrant or Weaviate are powerful standalone vector stores, utilizing Neo4j's native vector indexes is the best MVP choice. It minimizes infrastructure complexity by keeping vectors and graph edges colocated in a single system, significantly simplifying hybrid search queries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Embedding Service (FastAPI + sentence-transformers):</w:t>
      </w:r>
      <w:r w:rsidDel="00000000" w:rsidR="00000000" w:rsidRPr="00000000">
        <w:rPr>
          <w:rFonts w:ascii="Google Sans" w:cs="Google Sans" w:eastAsia="Google Sans" w:hAnsi="Google Sans"/>
          <w:color w:val="1f1f1f"/>
          <w:rtl w:val="0"/>
        </w:rPr>
        <w:t xml:space="preserve"> For MVP, hosting a model like bge-large-en-v1.5 via FastAPI provides excellent financial semantic density without API costs. For production, OpenAI's text-embedding-3-small offers superior latency and scalability.</w:t>
      </w:r>
    </w:p>
    <w:p w:rsidR="00000000" w:rsidDel="00000000" w:rsidP="00000000" w:rsidRDefault="00000000" w:rsidRPr="00000000" w14:paraId="000001C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Extraction Workers (Python + DSPy):</w:t>
      </w:r>
      <w:r w:rsidDel="00000000" w:rsidR="00000000" w:rsidRPr="00000000">
        <w:rPr>
          <w:rFonts w:ascii="Google Sans" w:cs="Google Sans" w:eastAsia="Google Sans" w:hAnsi="Google Sans"/>
          <w:color w:val="1f1f1f"/>
          <w:rtl w:val="0"/>
        </w:rPr>
        <w:t xml:space="preserve"> Python-based workers utilizing the DSPy framework for prompt optimization and Pydantic for strict output schema enforcement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Retrieval/Answer API (LangGraph):</w:t>
      </w:r>
      <w:r w:rsidDel="00000000" w:rsidR="00000000" w:rsidRPr="00000000">
        <w:rPr>
          <w:rFonts w:ascii="Google Sans" w:cs="Google Sans" w:eastAsia="Google Sans" w:hAnsi="Google Sans"/>
          <w:color w:val="1f1f1f"/>
          <w:rtl w:val="0"/>
        </w:rPr>
        <w:t xml:space="preserve"> LangGraph is heavily recommended over LlamaIndex for this specific use case. It allows for the creation of cyclic, stateful retrieval agents that can iteratively evaluate if the retrieved graph path fully answers the user query before generating a final response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Observability (OpenTelemetry + LangSmith):</w:t>
      </w:r>
      <w:r w:rsidDel="00000000" w:rsidR="00000000" w:rsidRPr="00000000">
        <w:rPr>
          <w:rFonts w:ascii="Google Sans" w:cs="Google Sans" w:eastAsia="Google Sans" w:hAnsi="Google Sans"/>
          <w:color w:val="1f1f1f"/>
          <w:rtl w:val="0"/>
        </w:rPr>
        <w:t xml:space="preserve"> LangSmith is essential for tracing the complex LLM logic steps during extraction and retrieval, while OpenTelemetry handles system latency monitoring.</w:t>
      </w:r>
    </w:p>
    <w:p w:rsidR="00000000" w:rsidDel="00000000" w:rsidP="00000000" w:rsidRDefault="00000000" w:rsidRPr="00000000" w14:paraId="000001C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 Layer (Next.js + Tailwind):</w:t>
      </w:r>
      <w:r w:rsidDel="00000000" w:rsidR="00000000" w:rsidRPr="00000000">
        <w:rPr>
          <w:rFonts w:ascii="Google Sans" w:cs="Google Sans" w:eastAsia="Google Sans" w:hAnsi="Google Sans"/>
          <w:color w:val="1f1f1f"/>
          <w:rtl w:val="0"/>
        </w:rPr>
        <w:t xml:space="preserve"> A React-based frontend providing a dual-pane view: a conversational chat interface on the left, and an interactive graph visualization/evidence viewer on the right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MVP Scope and Implementation Roadmap</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roadmap assumes execution by one highly experienced ML Engineer/Data Scientist.</w:t>
      </w:r>
    </w:p>
    <w:p w:rsidR="00000000" w:rsidDel="00000000" w:rsidP="00000000" w:rsidRDefault="00000000" w:rsidRPr="00000000" w14:paraId="000001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2-Week Proof of Concept</w:t>
      </w:r>
    </w:p>
    <w:p w:rsidR="00000000" w:rsidDel="00000000" w:rsidP="00000000" w:rsidRDefault="00000000" w:rsidRPr="00000000" w14:paraId="000001C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Single-company RAG (Nvidia only). Basic Text-to-Cypher retrieval.</w:t>
      </w:r>
    </w:p>
    <w:p w:rsidR="00000000" w:rsidDel="00000000" w:rsidP="00000000" w:rsidRDefault="00000000" w:rsidRPr="00000000" w14:paraId="000001C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Sources:</w:t>
      </w:r>
      <w:r w:rsidDel="00000000" w:rsidR="00000000" w:rsidRPr="00000000">
        <w:rPr>
          <w:rFonts w:ascii="Google Sans" w:cs="Google Sans" w:eastAsia="Google Sans" w:hAnsi="Google Sans"/>
          <w:color w:val="1f1f1f"/>
          <w:rtl w:val="0"/>
        </w:rPr>
        <w:t xml:space="preserve"> 2023-2024 10-K filings using edgartools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Extraction Approach:</w:t>
      </w:r>
      <w:r w:rsidDel="00000000" w:rsidR="00000000" w:rsidRPr="00000000">
        <w:rPr>
          <w:rFonts w:ascii="Google Sans" w:cs="Google Sans" w:eastAsia="Google Sans" w:hAnsi="Google Sans"/>
          <w:color w:val="1f1f1f"/>
          <w:rtl w:val="0"/>
        </w:rPr>
        <w:t xml:space="preserve"> Naive text chunking combined with GPT-4o for basic DEPENDS_ON relationship extraction.</w:t>
      </w:r>
    </w:p>
    <w:p w:rsidR="00000000" w:rsidDel="00000000" w:rsidP="00000000" w:rsidRDefault="00000000" w:rsidRPr="00000000" w14:paraId="000001C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Graph Schema:</w:t>
      </w:r>
      <w:r w:rsidDel="00000000" w:rsidR="00000000" w:rsidRPr="00000000">
        <w:rPr>
          <w:rFonts w:ascii="Google Sans" w:cs="Google Sans" w:eastAsia="Google Sans" w:hAnsi="Google Sans"/>
          <w:color w:val="1f1f1f"/>
          <w:rtl w:val="0"/>
        </w:rPr>
        <w:t xml:space="preserve"> Nodes: Company, Filing, Chunk. Edges: FILED, MENTIONS.</w:t>
      </w:r>
    </w:p>
    <w:p w:rsidR="00000000" w:rsidDel="00000000" w:rsidP="00000000" w:rsidRDefault="00000000" w:rsidRPr="00000000" w14:paraId="000001D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Risks:</w:t>
      </w:r>
      <w:r w:rsidDel="00000000" w:rsidR="00000000" w:rsidRPr="00000000">
        <w:rPr>
          <w:rFonts w:ascii="Google Sans" w:cs="Google Sans" w:eastAsia="Google Sans" w:hAnsi="Google Sans"/>
          <w:color w:val="1f1f1f"/>
          <w:rtl w:val="0"/>
        </w:rPr>
        <w:t xml:space="preserve"> High LLM hallucination rate on relationships due to lack of reflection steps.</w:t>
      </w:r>
    </w:p>
    <w:p w:rsidR="00000000" w:rsidDel="00000000" w:rsidP="00000000" w:rsidRDefault="00000000" w:rsidRPr="00000000" w14:paraId="000001D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Deliverable:</w:t>
      </w:r>
      <w:r w:rsidDel="00000000" w:rsidR="00000000" w:rsidRPr="00000000">
        <w:rPr>
          <w:rFonts w:ascii="Google Sans" w:cs="Google Sans" w:eastAsia="Google Sans" w:hAnsi="Google Sans"/>
          <w:color w:val="1f1f1f"/>
          <w:rtl w:val="0"/>
        </w:rPr>
        <w:t xml:space="preserve"> A local Jupyter notebook demonstrating graph traversal connecting Nvidia to its stated suppliers.</w:t>
      </w:r>
    </w:p>
    <w:p w:rsidR="00000000" w:rsidDel="00000000" w:rsidP="00000000" w:rsidRDefault="00000000" w:rsidRPr="00000000" w14:paraId="000001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4-Week MVP</w:t>
      </w:r>
    </w:p>
    <w:p w:rsidR="00000000" w:rsidDel="00000000" w:rsidP="00000000" w:rsidRDefault="00000000" w:rsidRPr="00000000" w14:paraId="000001D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Expansion to the 14 core companies. Implementation of Hybrid Graph/Vector search. Basic dual-pane UI.</w:t>
      </w:r>
    </w:p>
    <w:p w:rsidR="00000000" w:rsidDel="00000000" w:rsidP="00000000" w:rsidRDefault="00000000" w:rsidRPr="00000000" w14:paraId="000001D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Sources:</w:t>
      </w:r>
      <w:r w:rsidDel="00000000" w:rsidR="00000000" w:rsidRPr="00000000">
        <w:rPr>
          <w:rFonts w:ascii="Google Sans" w:cs="Google Sans" w:eastAsia="Google Sans" w:hAnsi="Google Sans"/>
          <w:color w:val="1f1f1f"/>
          <w:rtl w:val="0"/>
        </w:rPr>
        <w:t xml:space="preserve"> Integration of the SEC XBRL Company Facts API for deterministic numerical data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5">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Extraction Approach:</w:t>
      </w:r>
      <w:r w:rsidDel="00000000" w:rsidR="00000000" w:rsidRPr="00000000">
        <w:rPr>
          <w:rFonts w:ascii="Google Sans" w:cs="Google Sans" w:eastAsia="Google Sans" w:hAnsi="Google Sans"/>
          <w:color w:val="1f1f1f"/>
          <w:rtl w:val="0"/>
        </w:rPr>
        <w:t xml:space="preserve"> Implementation of Pydantic-constrained LLM extraction with a basic reflection step, writing directly to Neo4j.</w:t>
      </w:r>
    </w:p>
    <w:p w:rsidR="00000000" w:rsidDel="00000000" w:rsidP="00000000" w:rsidRDefault="00000000" w:rsidRPr="00000000" w14:paraId="000001D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Evaluation:</w:t>
      </w:r>
      <w:r w:rsidDel="00000000" w:rsidR="00000000" w:rsidRPr="00000000">
        <w:rPr>
          <w:rFonts w:ascii="Google Sans" w:cs="Google Sans" w:eastAsia="Google Sans" w:hAnsi="Google Sans"/>
          <w:color w:val="1f1f1f"/>
          <w:rtl w:val="0"/>
        </w:rPr>
        <w:t xml:space="preserve"> Implementation of a basic RAGAS pipeline (measuring Faithfulness and Answer Relevance) against a 20-question subset of the benchmark</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7">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Risks:</w:t>
      </w:r>
      <w:r w:rsidDel="00000000" w:rsidR="00000000" w:rsidRPr="00000000">
        <w:rPr>
          <w:rFonts w:ascii="Google Sans" w:cs="Google Sans" w:eastAsia="Google Sans" w:hAnsi="Google Sans"/>
          <w:color w:val="1f1f1f"/>
          <w:rtl w:val="0"/>
        </w:rPr>
        <w:t xml:space="preserve"> Entity resolution failures resulting in duplicated nodes (e.g., separate nodes for "TSMC" and "Taiwan Semiconductor").</w:t>
      </w:r>
    </w:p>
    <w:p w:rsidR="00000000" w:rsidDel="00000000" w:rsidP="00000000" w:rsidRDefault="00000000" w:rsidRPr="00000000" w14:paraId="000001D8">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Deliverable:</w:t>
      </w:r>
      <w:r w:rsidDel="00000000" w:rsidR="00000000" w:rsidRPr="00000000">
        <w:rPr>
          <w:rFonts w:ascii="Google Sans" w:cs="Google Sans" w:eastAsia="Google Sans" w:hAnsi="Google Sans"/>
          <w:color w:val="1f1f1f"/>
          <w:rtl w:val="0"/>
        </w:rPr>
        <w:t xml:space="preserve"> A functional local web application capable of answering multi-company dependency questions.</w:t>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8-Week Product-Grade Prototype</w:t>
      </w:r>
    </w:p>
    <w:p w:rsidR="00000000" w:rsidDel="00000000" w:rsidP="00000000" w:rsidRDefault="00000000" w:rsidRPr="00000000" w14:paraId="000001DA">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Multi-tier logical deduction. Full implementation of temporal versioning (StartDate/EndDate). UI citation engine linking to exact SEC HTML chunks.</w:t>
      </w:r>
    </w:p>
    <w:p w:rsidR="00000000" w:rsidDel="00000000" w:rsidP="00000000" w:rsidRDefault="00000000" w:rsidRPr="00000000" w14:paraId="000001DB">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Sources:</w:t>
      </w:r>
      <w:r w:rsidDel="00000000" w:rsidR="00000000" w:rsidRPr="00000000">
        <w:rPr>
          <w:rFonts w:ascii="Google Sans" w:cs="Google Sans" w:eastAsia="Google Sans" w:hAnsi="Google Sans"/>
          <w:color w:val="1f1f1f"/>
          <w:rtl w:val="0"/>
        </w:rPr>
        <w:t xml:space="preserve"> Integration of historical 10-Qs, 8-Ks, and BIS Export Control announcements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Retrieval Approach:</w:t>
      </w:r>
      <w:r w:rsidDel="00000000" w:rsidR="00000000" w:rsidRPr="00000000">
        <w:rPr>
          <w:rFonts w:ascii="Google Sans" w:cs="Google Sans" w:eastAsia="Google Sans" w:hAnsi="Google Sans"/>
          <w:color w:val="1f1f1f"/>
          <w:rtl w:val="0"/>
        </w:rPr>
        <w:t xml:space="preserve"> Migration to LangGraph for iterative agentic retrieval (allowing the agent to evaluate if retrieved context is sufficient before answering)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D">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Risks:</w:t>
      </w:r>
      <w:r w:rsidDel="00000000" w:rsidR="00000000" w:rsidRPr="00000000">
        <w:rPr>
          <w:rFonts w:ascii="Google Sans" w:cs="Google Sans" w:eastAsia="Google Sans" w:hAnsi="Google Sans"/>
          <w:color w:val="1f1f1f"/>
          <w:rtl w:val="0"/>
        </w:rPr>
        <w:t xml:space="preserve"> Graph traversal latency spikes; context window overflow when retrieving massive, highly connected subgraphs.</w:t>
      </w:r>
    </w:p>
    <w:p w:rsidR="00000000" w:rsidDel="00000000" w:rsidP="00000000" w:rsidRDefault="00000000" w:rsidRPr="00000000" w14:paraId="000001D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Deliverable:</w:t>
      </w:r>
      <w:r w:rsidDel="00000000" w:rsidR="00000000" w:rsidRPr="00000000">
        <w:rPr>
          <w:rFonts w:ascii="Google Sans" w:cs="Google Sans" w:eastAsia="Google Sans" w:hAnsi="Google Sans"/>
          <w:color w:val="1f1f1f"/>
          <w:rtl w:val="0"/>
        </w:rPr>
        <w:t xml:space="preserve"> A deployed, secure web application ready for internal user testing by financial analysts.</w:t>
      </w:r>
    </w:p>
    <w:p w:rsidR="00000000" w:rsidDel="00000000" w:rsidP="00000000" w:rsidRDefault="00000000" w:rsidRPr="00000000" w14:paraId="000001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12-Week Advanced Version</w:t>
      </w:r>
    </w:p>
    <w:p w:rsidR="00000000" w:rsidDel="00000000" w:rsidP="00000000" w:rsidRDefault="00000000" w:rsidRPr="00000000" w14:paraId="000001E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Automated daily synchronization via Dagster. Complex numeric aggregation capabilities.</w:t>
      </w:r>
    </w:p>
    <w:p w:rsidR="00000000" w:rsidDel="00000000" w:rsidP="00000000" w:rsidRDefault="00000000" w:rsidRPr="00000000" w14:paraId="000001E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UI/API:</w:t>
      </w:r>
      <w:r w:rsidDel="00000000" w:rsidR="00000000" w:rsidRPr="00000000">
        <w:rPr>
          <w:rFonts w:ascii="Google Sans" w:cs="Google Sans" w:eastAsia="Google Sans" w:hAnsi="Google Sans"/>
          <w:color w:val="1f1f1f"/>
          <w:rtl w:val="0"/>
        </w:rPr>
        <w:t xml:space="preserve"> Exposing a REST API to allow analysts to pull graph data directly into downstream financial models.</w:t>
      </w:r>
    </w:p>
    <w:p w:rsidR="00000000" w:rsidDel="00000000" w:rsidP="00000000" w:rsidRDefault="00000000" w:rsidRPr="00000000" w14:paraId="000001E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Evaluation:</w:t>
      </w:r>
      <w:r w:rsidDel="00000000" w:rsidR="00000000" w:rsidRPr="00000000">
        <w:rPr>
          <w:rFonts w:ascii="Google Sans" w:cs="Google Sans" w:eastAsia="Google Sans" w:hAnsi="Google Sans"/>
          <w:color w:val="1f1f1f"/>
          <w:rtl w:val="0"/>
        </w:rPr>
        <w:t xml:space="preserve"> Achieving &gt;85% Faithfulness and Context Precision on the full 50-question gold-standard benchmark.</w:t>
      </w:r>
    </w:p>
    <w:p w:rsidR="00000000" w:rsidDel="00000000" w:rsidP="00000000" w:rsidRDefault="00000000" w:rsidRPr="00000000" w14:paraId="000001E3">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Deliverable:</w:t>
      </w:r>
      <w:r w:rsidDel="00000000" w:rsidR="00000000" w:rsidRPr="00000000">
        <w:rPr>
          <w:rFonts w:ascii="Google Sans" w:cs="Google Sans" w:eastAsia="Google Sans" w:hAnsi="Google Sans"/>
          <w:color w:val="1f1f1f"/>
          <w:rtl w:val="0"/>
        </w:rPr>
        <w:t xml:space="preserve"> A commercial-grade intelligence platform ready for external client demonstration.</w:t>
      </w:r>
    </w:p>
    <w:p w:rsidR="00000000" w:rsidDel="00000000" w:rsidP="00000000" w:rsidRDefault="00000000" w:rsidRPr="00000000" w14:paraId="000001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Landscape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institutional financial intelligence market is saturated, but an AI-native GraphRAG platform represents a highly distinct, defensible wedge if positioned correctly.</w:t>
      </w:r>
    </w:p>
    <w:p w:rsidR="00000000" w:rsidDel="00000000" w:rsidP="00000000" w:rsidRDefault="00000000" w:rsidRPr="00000000" w14:paraId="000001E6">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Bloomberg Terminal / FactSet:</w:t>
      </w:r>
    </w:p>
    <w:p w:rsidR="00000000" w:rsidDel="00000000" w:rsidP="00000000" w:rsidRDefault="00000000" w:rsidRPr="00000000" w14:paraId="000001E7">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What they do well:</w:t>
      </w:r>
      <w:r w:rsidDel="00000000" w:rsidR="00000000" w:rsidRPr="00000000">
        <w:rPr>
          <w:rFonts w:ascii="Google Sans" w:cs="Google Sans" w:eastAsia="Google Sans" w:hAnsi="Google Sans"/>
          <w:color w:val="1f1f1f"/>
          <w:rtl w:val="0"/>
        </w:rPr>
        <w:t xml:space="preserve"> Ubiquity on the buy-side, real-time pricing data, deeply integrated quantitative supply chain functions (e.g., Bloomberg SPLC).</w:t>
      </w:r>
    </w:p>
    <w:p w:rsidR="00000000" w:rsidDel="00000000" w:rsidP="00000000" w:rsidRDefault="00000000" w:rsidRPr="00000000" w14:paraId="000001E8">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Weaknesses:</w:t>
      </w:r>
      <w:r w:rsidDel="00000000" w:rsidR="00000000" w:rsidRPr="00000000">
        <w:rPr>
          <w:rFonts w:ascii="Google Sans" w:cs="Google Sans" w:eastAsia="Google Sans" w:hAnsi="Google Sans"/>
          <w:color w:val="1f1f1f"/>
          <w:rtl w:val="0"/>
        </w:rPr>
        <w:t xml:space="preserve"> Legacy user experience, prohibitive cost structures (upward of $25,000 per year), and highly limited natural language processing capabilities for deductive logic over unstructured text</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9">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Differentiation:</w:t>
      </w:r>
      <w:r w:rsidDel="00000000" w:rsidR="00000000" w:rsidRPr="00000000">
        <w:rPr>
          <w:rFonts w:ascii="Google Sans" w:cs="Google Sans" w:eastAsia="Google Sans" w:hAnsi="Google Sans"/>
          <w:color w:val="1f1f1f"/>
          <w:rtl w:val="0"/>
        </w:rPr>
        <w:t xml:space="preserve"> This product offers natural language multi-hop deduction over textual risk factors and qualitative disclosures, rather than relying solely on quantitative supply chain revenue mapping.</w:t>
      </w:r>
    </w:p>
    <w:p w:rsidR="00000000" w:rsidDel="00000000" w:rsidP="00000000" w:rsidRDefault="00000000" w:rsidRPr="00000000" w14:paraId="000001EA">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AlphaSense / BamSEC / Tegus:</w:t>
      </w:r>
    </w:p>
    <w:p w:rsidR="00000000" w:rsidDel="00000000" w:rsidP="00000000" w:rsidRDefault="00000000" w:rsidRPr="00000000" w14:paraId="000001EB">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What they do well:</w:t>
      </w:r>
      <w:r w:rsidDel="00000000" w:rsidR="00000000" w:rsidRPr="00000000">
        <w:rPr>
          <w:rFonts w:ascii="Google Sans" w:cs="Google Sans" w:eastAsia="Google Sans" w:hAnsi="Google Sans"/>
          <w:color w:val="1f1f1f"/>
          <w:rtl w:val="0"/>
        </w:rPr>
        <w:t xml:space="preserve"> Massive proprietary datasets (broker research, exclusive expert call transcripts), deep enterprise market penetration, and semantic generative search ("Deep Research")</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C">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Weaknesses:</w:t>
      </w:r>
      <w:r w:rsidDel="00000000" w:rsidR="00000000" w:rsidRPr="00000000">
        <w:rPr>
          <w:rFonts w:ascii="Google Sans" w:cs="Google Sans" w:eastAsia="Google Sans" w:hAnsi="Google Sans"/>
          <w:color w:val="1f1f1f"/>
          <w:rtl w:val="0"/>
        </w:rPr>
        <w:t xml:space="preserve"> High subscription costs, closed ecosystems, opaque enterprise pricing, and AI features that fundamentally rely on vector-based semantic search rather than deep deterministic supply-chain graph traversals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D">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Differentiation:</w:t>
      </w:r>
      <w:r w:rsidDel="00000000" w:rsidR="00000000" w:rsidRPr="00000000">
        <w:rPr>
          <w:rFonts w:ascii="Google Sans" w:cs="Google Sans" w:eastAsia="Google Sans" w:hAnsi="Google Sans"/>
          <w:color w:val="1f1f1f"/>
          <w:rtl w:val="0"/>
        </w:rPr>
        <w:t xml:space="preserve"> This product offers transparent, mathematically traversable graph paths that explicitly map upstream and downstream dependencies, providing an auditable trail of logic that standard semantic search cannot guarantee.</w:t>
      </w:r>
    </w:p>
    <w:p w:rsidR="00000000" w:rsidDel="00000000" w:rsidP="00000000" w:rsidRDefault="00000000" w:rsidRPr="00000000" w14:paraId="000001EE">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Perplexity / Generic Enterprise RAG:</w:t>
      </w:r>
    </w:p>
    <w:p w:rsidR="00000000" w:rsidDel="00000000" w:rsidP="00000000" w:rsidRDefault="00000000" w:rsidRPr="00000000" w14:paraId="000001EF">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What they do well:</w:t>
      </w:r>
      <w:r w:rsidDel="00000000" w:rsidR="00000000" w:rsidRPr="00000000">
        <w:rPr>
          <w:rFonts w:ascii="Google Sans" w:cs="Google Sans" w:eastAsia="Google Sans" w:hAnsi="Google Sans"/>
          <w:color w:val="1f1f1f"/>
          <w:rtl w:val="0"/>
        </w:rPr>
        <w:t xml:space="preserve"> Exceptional speed, highly accessible user interfaces, and broad generalized knowledge retrieval.</w:t>
      </w:r>
    </w:p>
    <w:p w:rsidR="00000000" w:rsidDel="00000000" w:rsidP="00000000" w:rsidRDefault="00000000" w:rsidRPr="00000000" w14:paraId="000001F0">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Weaknesses:</w:t>
      </w:r>
      <w:r w:rsidDel="00000000" w:rsidR="00000000" w:rsidRPr="00000000">
        <w:rPr>
          <w:rFonts w:ascii="Google Sans" w:cs="Google Sans" w:eastAsia="Google Sans" w:hAnsi="Google Sans"/>
          <w:color w:val="1f1f1f"/>
          <w:rtl w:val="0"/>
        </w:rPr>
        <w:t xml:space="preserve"> Chronic hallucination when handling precise numerical metrics or complex regulatory data; highly susceptible to the "lost in the middle" phenomenon during long-context retrieval; absolutely no temporal awareness regarding when a specific corporate risk factor evolved.</w:t>
      </w:r>
    </w:p>
    <w:p w:rsidR="00000000" w:rsidDel="00000000" w:rsidP="00000000" w:rsidRDefault="00000000" w:rsidRPr="00000000" w14:paraId="000001F1">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Differentiation:</w:t>
      </w:r>
      <w:r w:rsidDel="00000000" w:rsidR="00000000" w:rsidRPr="00000000">
        <w:rPr>
          <w:rFonts w:ascii="Google Sans" w:cs="Google Sans" w:eastAsia="Google Sans" w:hAnsi="Google Sans"/>
          <w:color w:val="1f1f1f"/>
          <w:rtl w:val="0"/>
        </w:rPr>
        <w:t xml:space="preserve"> The strict bitemporal Neo4j knowledge graph forces deterministic accuracy and eliminates the overwriting of historical facts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Analysis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Severity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Likelihood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Affects MVP?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Hallucinated Relationships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Enforce a Reflection-Agent extraction pipeline where a Critic LLM verifies all proposed claims against source chunks. Store EvidenceSpan UUIDs for all edges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Copyright / Licensing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Strictly restrict MVP to public SEC EDGAR filings and government data.</w:t>
            </w:r>
            <w:r w:rsidDel="00000000" w:rsidR="00000000" w:rsidRPr="00000000">
              <w:rPr>
                <w:rFonts w:ascii="Google Sans" w:cs="Google Sans" w:eastAsia="Google Sans" w:hAnsi="Google Sans"/>
                <w:color w:val="1f1f1f"/>
                <w:shd w:fill="auto" w:val="clear"/>
                <w:rtl w:val="0"/>
              </w:rPr>
              <w:t xml:space="preserve"> Explicitly avoid processing copyrighted earnings transcripts (e.g., from Tegus) unless commercial licenses are acquired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(if avoided)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 Resolution Errors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 a strict canonical master list for the 14 core companies. Utilize vector similarity for fuzzy matching of entity names before creating new nodes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 API Rate Limits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Strictly enforce the SEC's 10 requests/second limit in the ingestion worker using robust backoff algorithms and declared user-agent headers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 Bloat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Constrain extraction to tightly targeted schemas (e.g., only extract entities explicitly related to AI, Semiconductors, Supply Chains, or Regulation). Ignore generic ESG or real estate disclosures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Stale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daily automated polling of the SEC RSS feed via Dagster. Utilize temporal modeling to immediately mark outdated edges as Deleted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(V1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XBRL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Rely on specialized parsing libraries (edgartools, sec-api) to handle taxonomy mappings rather than attempting custom XML parsing of financial tables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r>
    </w:tbl>
    <w:p w:rsidR="00000000" w:rsidDel="00000000" w:rsidP="00000000" w:rsidRDefault="00000000" w:rsidRPr="00000000" w14:paraId="000002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versus Do-Not-Build Decision</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 Verdict: BUILD.</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combination of soaring hyperscaler artificial intelligence capital expenditures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severe physical bottlenecks in CoWoS packaging and HBM production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and rapidly tightening geopolitical export controls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has created an environment where institutional investors and corporate strategists are desperate for deep, traceable, multi-tier intelligence. Vanilla vector RAG fundamentally cannot solve this problem due to its inability to guarantee transitive logic. The data is freely available, the technological infrastructure (Neo4j, LLMs) is mature, and the resulting product offers a distinct competitive moat against legacy financial terminals.</w:t>
      </w:r>
    </w:p>
    <w:p w:rsidR="00000000" w:rsidDel="00000000" w:rsidP="00000000" w:rsidRDefault="00000000" w:rsidRPr="00000000" w14:paraId="000002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Recommended MVP Specification</w:t>
      </w:r>
    </w:p>
    <w:p w:rsidR="00000000" w:rsidDel="00000000" w:rsidP="00000000" w:rsidRDefault="00000000" w:rsidRPr="00000000" w14:paraId="00000220">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Exact MVP to Build:</w:t>
      </w:r>
      <w:r w:rsidDel="00000000" w:rsidR="00000000" w:rsidRPr="00000000">
        <w:rPr>
          <w:rFonts w:ascii="Google Sans" w:cs="Google Sans" w:eastAsia="Google Sans" w:hAnsi="Google Sans"/>
          <w:color w:val="1f1f1f"/>
          <w:rtl w:val="0"/>
        </w:rPr>
        <w:t xml:space="preserve"> An </w:t>
      </w:r>
      <w:r w:rsidDel="00000000" w:rsidR="00000000" w:rsidRPr="00000000">
        <w:rPr>
          <w:rFonts w:ascii="Google Sans" w:cs="Google Sans" w:eastAsia="Google Sans" w:hAnsi="Google Sans"/>
          <w:i w:val="1"/>
          <w:iCs w:val="1"/>
          <w:color w:val="1f1f1f"/>
          <w:rtl w:val="0"/>
        </w:rPr>
        <w:t xml:space="preserve">AI Semiconductor Supply-Chain and Export-Control Exposure Assistant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1">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Companies to Include First:</w:t>
      </w:r>
      <w:r w:rsidDel="00000000" w:rsidR="00000000" w:rsidRPr="00000000">
        <w:rPr>
          <w:rFonts w:ascii="Google Sans" w:cs="Google Sans" w:eastAsia="Google Sans" w:hAnsi="Google Sans"/>
          <w:color w:val="1f1f1f"/>
          <w:rtl w:val="0"/>
        </w:rPr>
        <w:t xml:space="preserve"> Strictly limited to the 14 core entities (Nvidia, AMD, Intel, Broadcom, Qualcomm, TSMC, ASML, Micron, Samsung, Apple, Microsoft, Amazon, Alphabet, Meta).</w:t>
      </w:r>
    </w:p>
    <w:p w:rsidR="00000000" w:rsidDel="00000000" w:rsidP="00000000" w:rsidRDefault="00000000" w:rsidRPr="00000000" w14:paraId="00000222">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Sources to Include First:</w:t>
      </w:r>
      <w:r w:rsidDel="00000000" w:rsidR="00000000" w:rsidRPr="00000000">
        <w:rPr>
          <w:rFonts w:ascii="Google Sans" w:cs="Google Sans" w:eastAsia="Google Sans" w:hAnsi="Google Sans"/>
          <w:color w:val="1f1f1f"/>
          <w:rtl w:val="0"/>
        </w:rPr>
        <w:t xml:space="preserve"> Public SEC EDGAR (10-K, 10-Q, 8-K, XBRL) and Federal Register BIS announcements.</w:t>
      </w:r>
    </w:p>
    <w:p w:rsidR="00000000" w:rsidDel="00000000" w:rsidP="00000000" w:rsidRDefault="00000000" w:rsidRPr="00000000" w14:paraId="00000223">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Sources to Avoid Initially:</w:t>
      </w:r>
      <w:r w:rsidDel="00000000" w:rsidR="00000000" w:rsidRPr="00000000">
        <w:rPr>
          <w:rFonts w:ascii="Google Sans" w:cs="Google Sans" w:eastAsia="Google Sans" w:hAnsi="Google Sans"/>
          <w:color w:val="1f1f1f"/>
          <w:rtl w:val="0"/>
        </w:rPr>
        <w:t xml:space="preserve"> Explicitly avoid proprietary earnings call transcripts, broker research, or third-party analyst reports to bypass licensing legalities and focus entirely on verifiable public disclosures.</w:t>
      </w:r>
    </w:p>
    <w:p w:rsidR="00000000" w:rsidDel="00000000" w:rsidP="00000000" w:rsidRDefault="00000000" w:rsidRPr="00000000" w14:paraId="00000224">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Graph Schema in V1:</w:t>
      </w:r>
      <w:r w:rsidDel="00000000" w:rsidR="00000000" w:rsidRPr="00000000">
        <w:rPr>
          <w:rFonts w:ascii="Google Sans" w:cs="Google Sans" w:eastAsia="Google Sans" w:hAnsi="Google Sans"/>
          <w:color w:val="1f1f1f"/>
          <w:rtl w:val="0"/>
        </w:rPr>
        <w:t xml:space="preserve"> Focus heavily on bitemporal edges (StartDate, EndDate, Status) for SUPPLIES_TO, DEPENDS_ON, DISCLOSES_RISK, and AFFECTED_BY. Every edge must terminate in an EvidenceSpan node for absolute traceability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5">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 Requirements:</w:t>
      </w:r>
      <w:r w:rsidDel="00000000" w:rsidR="00000000" w:rsidRPr="00000000">
        <w:rPr>
          <w:rFonts w:ascii="Google Sans" w:cs="Google Sans" w:eastAsia="Google Sans" w:hAnsi="Google Sans"/>
          <w:color w:val="1f1f1f"/>
          <w:rtl w:val="0"/>
        </w:rPr>
        <w:t xml:space="preserve"> The prototype demo must flawlessly execute Query D: </w:t>
      </w:r>
      <w:r w:rsidDel="00000000" w:rsidR="00000000" w:rsidRPr="00000000">
        <w:rPr>
          <w:rFonts w:ascii="Google Sans" w:cs="Google Sans" w:eastAsia="Google Sans" w:hAnsi="Google Sans"/>
          <w:i w:val="1"/>
          <w:iCs w:val="1"/>
          <w:color w:val="1f1f1f"/>
          <w:rtl w:val="0"/>
        </w:rPr>
        <w:t xml:space="preserve">"What dependencies connect Meta’s AI infrastructure plans to Nvidia, TSMC, HBM suppliers, and export controls?"</w:t>
      </w:r>
      <w:r w:rsidDel="00000000" w:rsidR="00000000" w:rsidRPr="00000000">
        <w:rPr>
          <w:rFonts w:ascii="Google Sans" w:cs="Google Sans" w:eastAsia="Google Sans" w:hAnsi="Google Sans"/>
          <w:color w:val="1f1f1f"/>
          <w:rtl w:val="0"/>
        </w:rPr>
        <w:t xml:space="preserve"> The output must include a clear markdown table, a visual topological graph path, and clickable citations mapping directly to the raw SEC 10-K source chunks.</w:t>
      </w:r>
    </w:p>
    <w:p w:rsidR="00000000" w:rsidDel="00000000" w:rsidP="00000000" w:rsidRDefault="00000000" w:rsidRPr="00000000" w14:paraId="00000226">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Not to Attempt in V1:</w:t>
      </w:r>
      <w:r w:rsidDel="00000000" w:rsidR="00000000" w:rsidRPr="00000000">
        <w:rPr>
          <w:rFonts w:ascii="Google Sans" w:cs="Google Sans" w:eastAsia="Google Sans" w:hAnsi="Google Sans"/>
          <w:color w:val="1f1f1f"/>
          <w:rtl w:val="0"/>
        </w:rPr>
        <w:t xml:space="preserve"> Do not attempt generic sentiment analysis, do not process non-tech sectors, and do not rely on LLMs to extract tabular financial arithmetic.</w:t>
      </w:r>
    </w:p>
    <w:p w:rsidR="00000000" w:rsidDel="00000000" w:rsidP="00000000" w:rsidRDefault="00000000" w:rsidRPr="00000000" w14:paraId="00000227">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Makes It Impressive:</w:t>
      </w:r>
      <w:r w:rsidDel="00000000" w:rsidR="00000000" w:rsidRPr="00000000">
        <w:rPr>
          <w:rFonts w:ascii="Google Sans" w:cs="Google Sans" w:eastAsia="Google Sans" w:hAnsi="Google Sans"/>
          <w:color w:val="1f1f1f"/>
          <w:rtl w:val="0"/>
        </w:rPr>
        <w:t xml:space="preserve"> To technical reviewers, the successful implementation of a bitemporal property graph that solves the "overwriting history" problem inherent in standard RAG will stand out as a major engineering achievement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real users, the ability to trace a regulatory rule change through two layers of suppliers to calculate revenue exposure—with zero hallucinations—will justify high commercial subscription value.</w:t>
      </w:r>
    </w:p>
    <w:p w:rsidR="00000000" w:rsidDel="00000000" w:rsidP="00000000" w:rsidRDefault="00000000" w:rsidRPr="00000000" w14:paraId="00000228">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Fastest Path to Prototype:</w:t>
      </w:r>
      <w:r w:rsidDel="00000000" w:rsidR="00000000" w:rsidRPr="00000000">
        <w:rPr>
          <w:rFonts w:ascii="Google Sans" w:cs="Google Sans" w:eastAsia="Google Sans" w:hAnsi="Google Sans"/>
          <w:color w:val="1f1f1f"/>
          <w:rtl w:val="0"/>
        </w:rPr>
        <w:t xml:space="preserve"> Utilize sec-parser for HTML segmentation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edgartools for API retrieval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and DSPy for extracting Pydantic models to feed into a managed Neo4j Aura instance. This stack minimizes boilerplate code and maximizes the time an engineer can spend tuning the retrieval agent's Cypher-generation accuracy.</w:t>
      </w:r>
    </w:p>
    <w:p w:rsidR="00000000" w:rsidDel="00000000" w:rsidP="00000000" w:rsidRDefault="00000000" w:rsidRPr="00000000" w14:paraId="00000229">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2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Capex 2025–2026: $1.1T vs Apollo, Marshall, Manhattan - Eco3min, </w:t>
      </w:r>
      <w:hyperlink r:id="rId8">
        <w:r w:rsidDel="00000000" w:rsidR="00000000" w:rsidRPr="00000000">
          <w:rPr>
            <w:rFonts w:ascii="Google Sans" w:cs="Google Sans" w:eastAsia="Google Sans" w:hAnsi="Google Sans"/>
            <w:color w:val="0000ee"/>
            <w:sz w:val="24"/>
            <w:szCs w:val="24"/>
            <w:u w:val="single"/>
            <w:rtl w:val="0"/>
          </w:rPr>
          <w:t xml:space="preserve">https://eco3min.fr/en/ai-capex-vs-historical-mega-investments/</w:t>
        </w:r>
      </w:hyperlink>
      <w:r w:rsidDel="00000000" w:rsidR="00000000" w:rsidRPr="00000000">
        <w:rPr>
          <w:rtl w:val="0"/>
        </w:rPr>
      </w:r>
    </w:p>
    <w:p w:rsidR="00000000" w:rsidDel="00000000" w:rsidP="00000000" w:rsidRDefault="00000000" w:rsidRPr="00000000" w14:paraId="0000022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TSMC Foundry Allocation 2026: CoWoS Sold Out, 2nm Booked - Silicon Analysts, </w:t>
      </w:r>
      <w:hyperlink r:id="rId9">
        <w:r w:rsidDel="00000000" w:rsidR="00000000" w:rsidRPr="00000000">
          <w:rPr>
            <w:rFonts w:ascii="Google Sans" w:cs="Google Sans" w:eastAsia="Google Sans" w:hAnsi="Google Sans"/>
            <w:color w:val="0000ee"/>
            <w:sz w:val="24"/>
            <w:szCs w:val="24"/>
            <w:u w:val="single"/>
            <w:rtl w:val="0"/>
          </w:rPr>
          <w:t xml:space="preserve">https://siliconanalysts.com/analysis/foundry-allocation-status-q1-2026</w:t>
        </w:r>
      </w:hyperlink>
      <w:r w:rsidDel="00000000" w:rsidR="00000000" w:rsidRPr="00000000">
        <w:rPr>
          <w:rtl w:val="0"/>
        </w:rPr>
      </w:r>
    </w:p>
    <w:p w:rsidR="00000000" w:rsidDel="00000000" w:rsidP="00000000" w:rsidRDefault="00000000" w:rsidRPr="00000000" w14:paraId="0000022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Micron and Anthropic Strike a Strategic AI Infra Deal - Digital Applied, </w:t>
      </w:r>
      <w:hyperlink r:id="rId10">
        <w:r w:rsidDel="00000000" w:rsidR="00000000" w:rsidRPr="00000000">
          <w:rPr>
            <w:rFonts w:ascii="Google Sans" w:cs="Google Sans" w:eastAsia="Google Sans" w:hAnsi="Google Sans"/>
            <w:color w:val="0000ee"/>
            <w:sz w:val="24"/>
            <w:szCs w:val="24"/>
            <w:u w:val="single"/>
            <w:rtl w:val="0"/>
          </w:rPr>
          <w:t xml:space="preserve">https://www.digitalapplied.com/blog/micron-anthropic-strategic-infrastructure-agreement-2026</w:t>
        </w:r>
      </w:hyperlink>
      <w:r w:rsidDel="00000000" w:rsidR="00000000" w:rsidRPr="00000000">
        <w:rPr>
          <w:rtl w:val="0"/>
        </w:rPr>
      </w:r>
    </w:p>
    <w:p w:rsidR="00000000" w:rsidDel="00000000" w:rsidP="00000000" w:rsidRDefault="00000000" w:rsidRPr="00000000" w14:paraId="0000022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 Updates October 2022 Semiconductor Export Control Rules | Insights | Skadden, Arps, Slate, Meagher &amp; Flom LLP, </w:t>
      </w:r>
      <w:hyperlink r:id="rId11">
        <w:r w:rsidDel="00000000" w:rsidR="00000000" w:rsidRPr="00000000">
          <w:rPr>
            <w:rFonts w:ascii="Google Sans" w:cs="Google Sans" w:eastAsia="Google Sans" w:hAnsi="Google Sans"/>
            <w:color w:val="0000ee"/>
            <w:sz w:val="24"/>
            <w:szCs w:val="24"/>
            <w:u w:val="single"/>
            <w:rtl w:val="0"/>
          </w:rPr>
          <w:t xml:space="preserve">https://www.skadden.com/insights/publications/2023/10/bis-updates-october-2022-semiconductor-export-control-rules</w:t>
        </w:r>
      </w:hyperlink>
      <w:r w:rsidDel="00000000" w:rsidR="00000000" w:rsidRPr="00000000">
        <w:rPr>
          <w:rtl w:val="0"/>
        </w:rPr>
      </w:r>
    </w:p>
    <w:p w:rsidR="00000000" w:rsidDel="00000000" w:rsidP="00000000" w:rsidRDefault="00000000" w:rsidRPr="00000000" w14:paraId="0000022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U.S. Allies' Current Legal Authority to Implement AI and Semiconductor Export Controls - CSIS, </w:t>
      </w:r>
      <w:hyperlink r:id="rId12">
        <w:r w:rsidDel="00000000" w:rsidR="00000000" w:rsidRPr="00000000">
          <w:rPr>
            <w:rFonts w:ascii="Google Sans" w:cs="Google Sans" w:eastAsia="Google Sans" w:hAnsi="Google Sans"/>
            <w:color w:val="0000ee"/>
            <w:sz w:val="24"/>
            <w:szCs w:val="24"/>
            <w:u w:val="single"/>
            <w:rtl w:val="0"/>
          </w:rPr>
          <w:t xml:space="preserve">https://www.csis.org/analysis/understanding-us-allies-current-legal-authority-implement-ai-and-semiconductor-export</w:t>
        </w:r>
      </w:hyperlink>
      <w:r w:rsidDel="00000000" w:rsidR="00000000" w:rsidRPr="00000000">
        <w:rPr>
          <w:rtl w:val="0"/>
        </w:rPr>
      </w:r>
    </w:p>
    <w:p w:rsidR="00000000" w:rsidDel="00000000" w:rsidP="00000000" w:rsidRDefault="00000000" w:rsidRPr="00000000" w14:paraId="0000022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Temporal Versioning in Neo4j: Nodes, Relationships, and Historical Graph Reconstruction - DEV Community, </w:t>
      </w:r>
      <w:hyperlink r:id="rId13">
        <w:r w:rsidDel="00000000" w:rsidR="00000000" w:rsidRPr="00000000">
          <w:rPr>
            <w:rFonts w:ascii="Google Sans" w:cs="Google Sans" w:eastAsia="Google Sans" w:hAnsi="Google Sans"/>
            <w:color w:val="0000ee"/>
            <w:sz w:val="24"/>
            <w:szCs w:val="24"/>
            <w:u w:val="single"/>
            <w:rtl w:val="0"/>
          </w:rPr>
          <w:t xml:space="preserve">https://dev.to/satyam_shree_087caef77512/a-practical-guide-to-temporal-versioning-in-neo4j-nodes-relationships-and-historical-graph-1m5g</w:t>
        </w:r>
      </w:hyperlink>
      <w:r w:rsidDel="00000000" w:rsidR="00000000" w:rsidRPr="00000000">
        <w:rPr>
          <w:rtl w:val="0"/>
        </w:rPr>
      </w:r>
    </w:p>
    <w:p w:rsidR="00000000" w:rsidDel="00000000" w:rsidP="00000000" w:rsidRDefault="00000000" w:rsidRPr="00000000" w14:paraId="0000023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MemGraphRAG: Memory-based Multi-Agent System for Graph Retrieval-Augmented Generation - arXiv, </w:t>
      </w:r>
      <w:hyperlink r:id="rId14">
        <w:r w:rsidDel="00000000" w:rsidR="00000000" w:rsidRPr="00000000">
          <w:rPr>
            <w:rFonts w:ascii="Google Sans" w:cs="Google Sans" w:eastAsia="Google Sans" w:hAnsi="Google Sans"/>
            <w:color w:val="0000ee"/>
            <w:sz w:val="24"/>
            <w:szCs w:val="24"/>
            <w:u w:val="single"/>
            <w:rtl w:val="0"/>
          </w:rPr>
          <w:t xml:space="preserve">https://arxiv.org/html/2606.00610v1</w:t>
        </w:r>
      </w:hyperlink>
      <w:r w:rsidDel="00000000" w:rsidR="00000000" w:rsidRPr="00000000">
        <w:rPr>
          <w:rtl w:val="0"/>
        </w:rPr>
      </w:r>
    </w:p>
    <w:p w:rsidR="00000000" w:rsidDel="00000000" w:rsidP="00000000" w:rsidRDefault="00000000" w:rsidRPr="00000000" w14:paraId="0000023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Accessing EDGAR Data - SEC.gov, </w:t>
      </w:r>
      <w:hyperlink r:id="rId15">
        <w:r w:rsidDel="00000000" w:rsidR="00000000" w:rsidRPr="00000000">
          <w:rPr>
            <w:rFonts w:ascii="Google Sans" w:cs="Google Sans" w:eastAsia="Google Sans" w:hAnsi="Google Sans"/>
            <w:color w:val="0000ee"/>
            <w:sz w:val="24"/>
            <w:szCs w:val="24"/>
            <w:u w:val="single"/>
            <w:rtl w:val="0"/>
          </w:rPr>
          <w:t xml:space="preserve">https://www.sec.gov/search-filings/edgar-search-assistance/accessing-edgar-data</w:t>
        </w:r>
      </w:hyperlink>
      <w:r w:rsidDel="00000000" w:rsidR="00000000" w:rsidRPr="00000000">
        <w:rPr>
          <w:rtl w:val="0"/>
        </w:rPr>
      </w:r>
    </w:p>
    <w:p w:rsidR="00000000" w:rsidDel="00000000" w:rsidP="00000000" w:rsidRDefault="00000000" w:rsidRPr="00000000" w14:paraId="0000023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Supply chain mapping through retrieval-augmented generation: applications to the electronics industry - Taylor &amp; Francis, </w:t>
      </w:r>
      <w:hyperlink r:id="rId16">
        <w:r w:rsidDel="00000000" w:rsidR="00000000" w:rsidRPr="00000000">
          <w:rPr>
            <w:rFonts w:ascii="Google Sans" w:cs="Google Sans" w:eastAsia="Google Sans" w:hAnsi="Google Sans"/>
            <w:color w:val="0000ee"/>
            <w:sz w:val="24"/>
            <w:szCs w:val="24"/>
            <w:u w:val="single"/>
            <w:rtl w:val="0"/>
          </w:rPr>
          <w:t xml:space="preserve">https://www.tandfonline.com/doi/full/10.1080/01605682.2025.2608868</w:t>
        </w:r>
      </w:hyperlink>
      <w:r w:rsidDel="00000000" w:rsidR="00000000" w:rsidRPr="00000000">
        <w:rPr>
          <w:rtl w:val="0"/>
        </w:rPr>
      </w:r>
    </w:p>
    <w:p w:rsidR="00000000" w:rsidDel="00000000" w:rsidP="00000000" w:rsidRDefault="00000000" w:rsidRPr="00000000" w14:paraId="0000023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intelligence analysis: GraphRAG vs agentic retrieval - GraphAware, </w:t>
      </w:r>
      <w:hyperlink r:id="rId17">
        <w:r w:rsidDel="00000000" w:rsidR="00000000" w:rsidRPr="00000000">
          <w:rPr>
            <w:rFonts w:ascii="Google Sans" w:cs="Google Sans" w:eastAsia="Google Sans" w:hAnsi="Google Sans"/>
            <w:color w:val="0000ee"/>
            <w:sz w:val="24"/>
            <w:szCs w:val="24"/>
            <w:u w:val="single"/>
            <w:rtl w:val="0"/>
          </w:rPr>
          <w:t xml:space="preserve">https://graphaware.com/blog/ai-in-intelligence-analysis-graphrag-vs-agentic-retrieval/</w:t>
        </w:r>
      </w:hyperlink>
      <w:r w:rsidDel="00000000" w:rsidR="00000000" w:rsidRPr="00000000">
        <w:rPr>
          <w:rtl w:val="0"/>
        </w:rPr>
      </w:r>
    </w:p>
    <w:p w:rsidR="00000000" w:rsidDel="00000000" w:rsidP="00000000" w:rsidRDefault="00000000" w:rsidRPr="00000000" w14:paraId="0000023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Review of Alpha Signals for Pharmaceutical and Biotech Investing, </w:t>
      </w:r>
      <w:hyperlink r:id="rId18">
        <w:r w:rsidDel="00000000" w:rsidR="00000000" w:rsidRPr="00000000">
          <w:rPr>
            <w:rFonts w:ascii="Google Sans" w:cs="Google Sans" w:eastAsia="Google Sans" w:hAnsi="Google Sans"/>
            <w:color w:val="0000ee"/>
            <w:sz w:val="24"/>
            <w:szCs w:val="24"/>
            <w:u w:val="single"/>
            <w:rtl w:val="0"/>
          </w:rPr>
          <w:t xml:space="preserve">https://www.drugpatentwatch.com/blog/a-comprehensive-review-of-alpha-signals-for-pharmaceutical-and-biotech-investing/</w:t>
        </w:r>
      </w:hyperlink>
      <w:r w:rsidDel="00000000" w:rsidR="00000000" w:rsidRPr="00000000">
        <w:rPr>
          <w:rtl w:val="0"/>
        </w:rPr>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EdgarTools MCP server for SEC EDGAR data - GitHub, </w:t>
      </w:r>
      <w:hyperlink r:id="rId19">
        <w:r w:rsidDel="00000000" w:rsidR="00000000" w:rsidRPr="00000000">
          <w:rPr>
            <w:rFonts w:ascii="Google Sans" w:cs="Google Sans" w:eastAsia="Google Sans" w:hAnsi="Google Sans"/>
            <w:color w:val="0000ee"/>
            <w:sz w:val="24"/>
            <w:szCs w:val="24"/>
            <w:u w:val="single"/>
            <w:rtl w:val="0"/>
          </w:rPr>
          <w:t xml:space="preserve">https://github.com/sareegpt/edgartools-mcp</w:t>
        </w:r>
      </w:hyperlink>
      <w:r w:rsidDel="00000000" w:rsidR="00000000" w:rsidRPr="00000000">
        <w:rPr>
          <w:rtl w:val="0"/>
        </w:rPr>
      </w:r>
    </w:p>
    <w:p w:rsidR="00000000" w:rsidDel="00000000" w:rsidP="00000000" w:rsidRDefault="00000000" w:rsidRPr="00000000" w14:paraId="0000023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Guide: Quick Start — sec-parser unknown documentation, </w:t>
      </w:r>
      <w:hyperlink r:id="rId20">
        <w:r w:rsidDel="00000000" w:rsidR="00000000" w:rsidRPr="00000000">
          <w:rPr>
            <w:rFonts w:ascii="Google Sans" w:cs="Google Sans" w:eastAsia="Google Sans" w:hAnsi="Google Sans"/>
            <w:color w:val="0000ee"/>
            <w:sz w:val="24"/>
            <w:szCs w:val="24"/>
            <w:u w:val="single"/>
            <w:rtl w:val="0"/>
          </w:rPr>
          <w:t xml:space="preserve">https://sec-parser.readthedocs.io/en/stable/notebooks/user_guide.html</w:t>
        </w:r>
      </w:hyperlink>
      <w:r w:rsidDel="00000000" w:rsidR="00000000" w:rsidRPr="00000000">
        <w:rPr>
          <w:rtl w:val="0"/>
        </w:rPr>
      </w:r>
    </w:p>
    <w:p w:rsidR="00000000" w:rsidDel="00000000" w:rsidP="00000000" w:rsidRDefault="00000000" w:rsidRPr="00000000" w14:paraId="0000023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FinReflectKG - EvalBench: Benchmarking Financial KG with Multi-Dimensional Evaluation, </w:t>
      </w:r>
      <w:hyperlink r:id="rId21">
        <w:r w:rsidDel="00000000" w:rsidR="00000000" w:rsidRPr="00000000">
          <w:rPr>
            <w:rFonts w:ascii="Google Sans" w:cs="Google Sans" w:eastAsia="Google Sans" w:hAnsi="Google Sans"/>
            <w:color w:val="0000ee"/>
            <w:sz w:val="24"/>
            <w:szCs w:val="24"/>
            <w:u w:val="single"/>
            <w:rtl w:val="0"/>
          </w:rPr>
          <w:t xml:space="preserve">https://arxiv.org/html/2510.05710v2</w:t>
        </w:r>
      </w:hyperlink>
      <w:r w:rsidDel="00000000" w:rsidR="00000000" w:rsidRPr="00000000">
        <w:rPr>
          <w:rtl w:val="0"/>
        </w:rPr>
      </w:r>
    </w:p>
    <w:p w:rsidR="00000000" w:rsidDel="00000000" w:rsidP="00000000" w:rsidRDefault="00000000" w:rsidRPr="00000000" w14:paraId="0000023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GraphRAG: Navigating Unstructured Financial Data with Collaborative AI - arXiv, </w:t>
      </w:r>
      <w:hyperlink r:id="rId22">
        <w:r w:rsidDel="00000000" w:rsidR="00000000" w:rsidRPr="00000000">
          <w:rPr>
            <w:rFonts w:ascii="Google Sans" w:cs="Google Sans" w:eastAsia="Google Sans" w:hAnsi="Google Sans"/>
            <w:color w:val="0000ee"/>
            <w:sz w:val="24"/>
            <w:szCs w:val="24"/>
            <w:u w:val="single"/>
            <w:rtl w:val="0"/>
          </w:rPr>
          <w:t xml:space="preserve">https://arxiv.org/html/2605.18770v1</w:t>
        </w:r>
      </w:hyperlink>
      <w:r w:rsidDel="00000000" w:rsidR="00000000" w:rsidRPr="00000000">
        <w:rPr>
          <w:rtl w:val="0"/>
        </w:rPr>
      </w:r>
    </w:p>
    <w:p w:rsidR="00000000" w:rsidDel="00000000" w:rsidP="00000000" w:rsidRDefault="00000000" w:rsidRPr="00000000" w14:paraId="0000023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capex cycle: war-proof for now - Allianz.com, </w:t>
      </w:r>
      <w:hyperlink r:id="rId23">
        <w:r w:rsidDel="00000000" w:rsidR="00000000" w:rsidRPr="00000000">
          <w:rPr>
            <w:rFonts w:ascii="Google Sans" w:cs="Google Sans" w:eastAsia="Google Sans" w:hAnsi="Google Sans"/>
            <w:color w:val="0000ee"/>
            <w:sz w:val="24"/>
            <w:szCs w:val="24"/>
            <w:u w:val="single"/>
            <w:rtl w:val="0"/>
          </w:rPr>
          <w:t xml:space="preserve">https://www.allianz.com/content/dam/onemarketing/azcom/Allianz_com/economic-research/publications/specials/en/2026/march/2026_03_25_AI.pdf</w:t>
        </w:r>
      </w:hyperlink>
      <w:r w:rsidDel="00000000" w:rsidR="00000000" w:rsidRPr="00000000">
        <w:rPr>
          <w:rtl w:val="0"/>
        </w:rPr>
      </w:r>
    </w:p>
    <w:p w:rsidR="00000000" w:rsidDel="00000000" w:rsidP="00000000" w:rsidRDefault="00000000" w:rsidRPr="00000000" w14:paraId="0000023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Trends and Outlook for 2026 - AlphaSense, </w:t>
      </w:r>
      <w:hyperlink r:id="rId24">
        <w:r w:rsidDel="00000000" w:rsidR="00000000" w:rsidRPr="00000000">
          <w:rPr>
            <w:rFonts w:ascii="Google Sans" w:cs="Google Sans" w:eastAsia="Google Sans" w:hAnsi="Google Sans"/>
            <w:color w:val="0000ee"/>
            <w:sz w:val="24"/>
            <w:szCs w:val="24"/>
            <w:u w:val="single"/>
            <w:rtl w:val="0"/>
          </w:rPr>
          <w:t xml:space="preserve">https://www.alpha-sense.com/resources/research-articles/artificial-intelligence-trends/</w:t>
        </w:r>
      </w:hyperlink>
      <w:r w:rsidDel="00000000" w:rsidR="00000000" w:rsidRPr="00000000">
        <w:rPr>
          <w:rtl w:val="0"/>
        </w:rPr>
      </w:r>
    </w:p>
    <w:p w:rsidR="00000000" w:rsidDel="00000000" w:rsidP="00000000" w:rsidRDefault="00000000" w:rsidRPr="00000000" w14:paraId="0000023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Seeking Advice &amp; References for Financial Knowledge Graph Ontology (GraphRAG on SEC 10-K/10-Q) : r/Rag - Reddit, </w:t>
      </w:r>
      <w:hyperlink r:id="rId25">
        <w:r w:rsidDel="00000000" w:rsidR="00000000" w:rsidRPr="00000000">
          <w:rPr>
            <w:rFonts w:ascii="Google Sans" w:cs="Google Sans" w:eastAsia="Google Sans" w:hAnsi="Google Sans"/>
            <w:color w:val="0000ee"/>
            <w:sz w:val="24"/>
            <w:szCs w:val="24"/>
            <w:u w:val="single"/>
            <w:rtl w:val="0"/>
          </w:rPr>
          <w:t xml:space="preserve">https://www.reddit.com/r/Rag/comments/1sji373/seeking_advice_references_for_financial_knowledge/</w:t>
        </w:r>
      </w:hyperlink>
      <w:r w:rsidDel="00000000" w:rsidR="00000000" w:rsidRPr="00000000">
        <w:rPr>
          <w:rtl w:val="0"/>
        </w:rPr>
      </w:r>
    </w:p>
    <w:p w:rsidR="00000000" w:rsidDel="00000000" w:rsidP="00000000" w:rsidRDefault="00000000" w:rsidRPr="00000000" w14:paraId="0000023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thedatawithjose/edgar-sec-parser: High-performance SEC filing extraction system with intelligent SGML/XBRL parsing capabilities powered by modern Python libraries - GitHub, </w:t>
      </w:r>
      <w:hyperlink r:id="rId26">
        <w:r w:rsidDel="00000000" w:rsidR="00000000" w:rsidRPr="00000000">
          <w:rPr>
            <w:rFonts w:ascii="Google Sans" w:cs="Google Sans" w:eastAsia="Google Sans" w:hAnsi="Google Sans"/>
            <w:color w:val="0000ee"/>
            <w:sz w:val="24"/>
            <w:szCs w:val="24"/>
            <w:u w:val="single"/>
            <w:rtl w:val="0"/>
          </w:rPr>
          <w:t xml:space="preserve">https://github.com/josetraderx/edgar-sec-parser</w:t>
        </w:r>
      </w:hyperlink>
      <w:r w:rsidDel="00000000" w:rsidR="00000000" w:rsidRPr="00000000">
        <w:rPr>
          <w:rtl w:val="0"/>
        </w:rPr>
      </w:r>
    </w:p>
    <w:p w:rsidR="00000000" w:rsidDel="00000000" w:rsidP="00000000" w:rsidRDefault="00000000" w:rsidRPr="00000000" w14:paraId="0000023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 Controls on Semiconductor Manufacturing Items - Federal Register, </w:t>
      </w:r>
      <w:hyperlink r:id="rId27">
        <w:r w:rsidDel="00000000" w:rsidR="00000000" w:rsidRPr="00000000">
          <w:rPr>
            <w:rFonts w:ascii="Google Sans" w:cs="Google Sans" w:eastAsia="Google Sans" w:hAnsi="Google Sans"/>
            <w:color w:val="0000ee"/>
            <w:sz w:val="24"/>
            <w:szCs w:val="24"/>
            <w:u w:val="single"/>
            <w:rtl w:val="0"/>
          </w:rPr>
          <w:t xml:space="preserve">https://www.federalregister.gov/documents/2023/10/25/2023-23049/export-controls-on-semiconductor-manufacturing-items</w:t>
        </w:r>
      </w:hyperlink>
      <w:r w:rsidDel="00000000" w:rsidR="00000000" w:rsidRPr="00000000">
        <w:rPr>
          <w:rtl w:val="0"/>
        </w:rPr>
      </w:r>
    </w:p>
    <w:p w:rsidR="00000000" w:rsidDel="00000000" w:rsidP="00000000" w:rsidRDefault="00000000" w:rsidRPr="00000000" w14:paraId="0000023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Resources - SEC.gov, </w:t>
      </w:r>
      <w:hyperlink r:id="rId28">
        <w:r w:rsidDel="00000000" w:rsidR="00000000" w:rsidRPr="00000000">
          <w:rPr>
            <w:rFonts w:ascii="Google Sans" w:cs="Google Sans" w:eastAsia="Google Sans" w:hAnsi="Google Sans"/>
            <w:color w:val="0000ee"/>
            <w:sz w:val="24"/>
            <w:szCs w:val="24"/>
            <w:u w:val="single"/>
            <w:rtl w:val="0"/>
          </w:rPr>
          <w:t xml:space="preserve">https://www.sec.gov/about/developer-resources</w:t>
        </w:r>
      </w:hyperlink>
      <w:r w:rsidDel="00000000" w:rsidR="00000000" w:rsidRPr="00000000">
        <w:rPr>
          <w:rtl w:val="0"/>
        </w:rPr>
      </w:r>
    </w:p>
    <w:p w:rsidR="00000000" w:rsidDel="00000000" w:rsidP="00000000" w:rsidRDefault="00000000" w:rsidRPr="00000000" w14:paraId="0000023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in equity markets: applications, techniques, and insights - PMC,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https://pmc.ncbi.nlm.nih.gov/articles/PMC12421730/</w:t>
        </w:r>
      </w:hyperlink>
      <w:r w:rsidDel="00000000" w:rsidR="00000000" w:rsidRPr="00000000">
        <w:rPr>
          <w:rtl w:val="0"/>
        </w:rPr>
      </w:r>
    </w:p>
    <w:p w:rsidR="00000000" w:rsidDel="00000000" w:rsidP="00000000" w:rsidRDefault="00000000" w:rsidRPr="00000000" w14:paraId="0000024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Broadcom Inc. Stock Price: Quote, Forecast, Splits &amp; News (AVGO) - Perplexity, </w:t>
      </w:r>
      <w:hyperlink r:id="rId30">
        <w:r w:rsidDel="00000000" w:rsidR="00000000" w:rsidRPr="00000000">
          <w:rPr>
            <w:rFonts w:ascii="Google Sans" w:cs="Google Sans" w:eastAsia="Google Sans" w:hAnsi="Google Sans"/>
            <w:color w:val="0000ee"/>
            <w:sz w:val="24"/>
            <w:szCs w:val="24"/>
            <w:u w:val="single"/>
            <w:rtl w:val="0"/>
          </w:rPr>
          <w:t xml:space="preserve">https://www.perplexity.ai/finance/AVGO?comparing=AVGO,AMD,MU,GFS,ARM,NVDA</w:t>
        </w:r>
      </w:hyperlink>
      <w:r w:rsidDel="00000000" w:rsidR="00000000" w:rsidRPr="00000000">
        <w:rPr>
          <w:rtl w:val="0"/>
        </w:rPr>
      </w:r>
    </w:p>
    <w:p w:rsidR="00000000" w:rsidDel="00000000" w:rsidP="00000000" w:rsidRDefault="00000000" w:rsidRPr="00000000" w14:paraId="0000024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Broadcom and Marvell Are The Real Winners Of The AI Chip War - INDmoney, </w:t>
      </w:r>
      <w:hyperlink r:id="rId31">
        <w:r w:rsidDel="00000000" w:rsidR="00000000" w:rsidRPr="00000000">
          <w:rPr>
            <w:rFonts w:ascii="Google Sans" w:cs="Google Sans" w:eastAsia="Google Sans" w:hAnsi="Google Sans"/>
            <w:color w:val="0000ee"/>
            <w:sz w:val="24"/>
            <w:szCs w:val="24"/>
            <w:u w:val="single"/>
            <w:rtl w:val="0"/>
          </w:rPr>
          <w:t xml:space="preserve">https://www.indmoney.com/blog/us-stocks/ai-chip-war-broadcom-avgo-marvell-mrvl-asic</w:t>
        </w:r>
      </w:hyperlink>
      <w:r w:rsidDel="00000000" w:rsidR="00000000" w:rsidRPr="00000000">
        <w:rPr>
          <w:rtl w:val="0"/>
        </w:rPr>
      </w:r>
    </w:p>
    <w:p w:rsidR="00000000" w:rsidDel="00000000" w:rsidP="00000000" w:rsidRDefault="00000000" w:rsidRPr="00000000" w14:paraId="0000024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Broadcom Google TPU Deal 2026: The $46B AI Contract - Oplexa, </w:t>
      </w:r>
      <w:hyperlink r:id="rId32">
        <w:r w:rsidDel="00000000" w:rsidR="00000000" w:rsidRPr="00000000">
          <w:rPr>
            <w:rFonts w:ascii="Google Sans" w:cs="Google Sans" w:eastAsia="Google Sans" w:hAnsi="Google Sans"/>
            <w:color w:val="0000ee"/>
            <w:sz w:val="24"/>
            <w:szCs w:val="24"/>
            <w:u w:val="single"/>
            <w:rtl w:val="0"/>
          </w:rPr>
          <w:t xml:space="preserve">https://oplexa.com/broadcom-google-tpu-deal-2026/</w:t>
        </w:r>
      </w:hyperlink>
      <w:r w:rsidDel="00000000" w:rsidR="00000000" w:rsidRPr="00000000">
        <w:rPr>
          <w:rtl w:val="0"/>
        </w:rPr>
      </w:r>
    </w:p>
    <w:p w:rsidR="00000000" w:rsidDel="00000000" w:rsidP="00000000" w:rsidRDefault="00000000" w:rsidRPr="00000000" w14:paraId="0000024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Synopsys Partners with TSMC to Power Next-Generation AI Systems with Silicon Proven IP and Certified EDA Flows, </w:t>
      </w:r>
      <w:hyperlink r:id="rId33">
        <w:r w:rsidDel="00000000" w:rsidR="00000000" w:rsidRPr="00000000">
          <w:rPr>
            <w:rFonts w:ascii="Google Sans" w:cs="Google Sans" w:eastAsia="Google Sans" w:hAnsi="Google Sans"/>
            <w:color w:val="0000ee"/>
            <w:sz w:val="24"/>
            <w:szCs w:val="24"/>
            <w:u w:val="single"/>
            <w:rtl w:val="0"/>
          </w:rPr>
          <w:t xml:space="preserve">https://investor.synopsys.com/news/news-details/2026/Synopsys-Partners-with-TSMC-to-Power-Next-Generation-AI-Systems-with-Silicon-Proven-IP-and-Certified-EDA-Flows/default.aspx</w:t>
        </w:r>
      </w:hyperlink>
      <w:r w:rsidDel="00000000" w:rsidR="00000000" w:rsidRPr="00000000">
        <w:rPr>
          <w:rtl w:val="0"/>
        </w:rPr>
      </w:r>
    </w:p>
    <w:p w:rsidR="00000000" w:rsidDel="00000000" w:rsidP="00000000" w:rsidRDefault="00000000" w:rsidRPr="00000000" w14:paraId="0000024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Micron Faces Pressure as SK Hynix and Samsung Dominate AI-HBM Market - KuCoin, </w:t>
      </w:r>
      <w:hyperlink r:id="rId34">
        <w:r w:rsidDel="00000000" w:rsidR="00000000" w:rsidRPr="00000000">
          <w:rPr>
            <w:rFonts w:ascii="Google Sans" w:cs="Google Sans" w:eastAsia="Google Sans" w:hAnsi="Google Sans"/>
            <w:color w:val="0000ee"/>
            <w:sz w:val="24"/>
            <w:szCs w:val="24"/>
            <w:u w:val="single"/>
            <w:rtl w:val="0"/>
          </w:rPr>
          <w:t xml:space="preserve">https://www.kucoin.com/news/flash/micron-faces-pressure-as-sk-hynix-and-samsung-dominate-ai-hbm-market</w:t>
        </w:r>
      </w:hyperlink>
      <w:r w:rsidDel="00000000" w:rsidR="00000000" w:rsidRPr="00000000">
        <w:rPr>
          <w:rtl w:val="0"/>
        </w:rPr>
      </w:r>
    </w:p>
    <w:p w:rsidR="00000000" w:rsidDel="00000000" w:rsidP="00000000" w:rsidRDefault="00000000" w:rsidRPr="00000000" w14:paraId="0000024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 Controls: Commerce Implemented Advanced Semiconductor Rules and Took Steps to Address Compliance Challenges | U.S. GAO, </w:t>
      </w:r>
      <w:hyperlink r:id="rId35">
        <w:r w:rsidDel="00000000" w:rsidR="00000000" w:rsidRPr="00000000">
          <w:rPr>
            <w:rFonts w:ascii="Google Sans" w:cs="Google Sans" w:eastAsia="Google Sans" w:hAnsi="Google Sans"/>
            <w:color w:val="0000ee"/>
            <w:sz w:val="24"/>
            <w:szCs w:val="24"/>
            <w:u w:val="single"/>
            <w:rtl w:val="0"/>
          </w:rPr>
          <w:t xml:space="preserve">https://www.gao.gov/products/gao-25-107386</w:t>
        </w:r>
      </w:hyperlink>
      <w:r w:rsidDel="00000000" w:rsidR="00000000" w:rsidRPr="00000000">
        <w:rPr>
          <w:rtl w:val="0"/>
        </w:rPr>
      </w:r>
    </w:p>
    <w:p w:rsidR="00000000" w:rsidDel="00000000" w:rsidP="00000000" w:rsidRDefault="00000000" w:rsidRPr="00000000" w14:paraId="0000024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Broadcom SWOT Analysis 2026 | SWOTPal, </w:t>
      </w:r>
      <w:hyperlink r:id="rId36">
        <w:r w:rsidDel="00000000" w:rsidR="00000000" w:rsidRPr="00000000">
          <w:rPr>
            <w:rFonts w:ascii="Google Sans" w:cs="Google Sans" w:eastAsia="Google Sans" w:hAnsi="Google Sans"/>
            <w:color w:val="0000ee"/>
            <w:sz w:val="24"/>
            <w:szCs w:val="24"/>
            <w:u w:val="single"/>
            <w:rtl w:val="0"/>
          </w:rPr>
          <w:t xml:space="preserve">https://swotpal.com/blog/broadcom-swot-analysis-2026</w:t>
        </w:r>
      </w:hyperlink>
      <w:r w:rsidDel="00000000" w:rsidR="00000000" w:rsidRPr="00000000">
        <w:rPr>
          <w:rtl w:val="0"/>
        </w:rPr>
      </w:r>
    </w:p>
    <w:p w:rsidR="00000000" w:rsidDel="00000000" w:rsidP="00000000" w:rsidRDefault="00000000" w:rsidRPr="00000000" w14:paraId="0000024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[2604.14220] Knowledge Graph RAG: Agentic Crawling and Graph Construction in Enterprise Documents - arXiv, </w:t>
      </w:r>
      <w:hyperlink r:id="rId37">
        <w:r w:rsidDel="00000000" w:rsidR="00000000" w:rsidRPr="00000000">
          <w:rPr>
            <w:rFonts w:ascii="Google Sans" w:cs="Google Sans" w:eastAsia="Google Sans" w:hAnsi="Google Sans"/>
            <w:color w:val="0000ee"/>
            <w:sz w:val="24"/>
            <w:szCs w:val="24"/>
            <w:u w:val="single"/>
            <w:rtl w:val="0"/>
          </w:rPr>
          <w:t xml:space="preserve">https://arxiv.org/abs/2604.14220</w:t>
        </w:r>
      </w:hyperlink>
      <w:r w:rsidDel="00000000" w:rsidR="00000000" w:rsidRPr="00000000">
        <w:rPr>
          <w:rtl w:val="0"/>
        </w:rPr>
      </w:r>
    </w:p>
    <w:p w:rsidR="00000000" w:rsidDel="00000000" w:rsidP="00000000" w:rsidRDefault="00000000" w:rsidRPr="00000000" w14:paraId="0000024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FinReflectKG: Agentic Construction and Evaluation of Financial Knowledge Graphs - arXiv, </w:t>
      </w:r>
      <w:hyperlink r:id="rId38">
        <w:r w:rsidDel="00000000" w:rsidR="00000000" w:rsidRPr="00000000">
          <w:rPr>
            <w:rFonts w:ascii="Google Sans" w:cs="Google Sans" w:eastAsia="Google Sans" w:hAnsi="Google Sans"/>
            <w:color w:val="0000ee"/>
            <w:sz w:val="24"/>
            <w:szCs w:val="24"/>
            <w:u w:val="single"/>
            <w:rtl w:val="0"/>
          </w:rPr>
          <w:t xml:space="preserve">https://arxiv.org/pdf/2508.17906</w:t>
        </w:r>
      </w:hyperlink>
      <w:r w:rsidDel="00000000" w:rsidR="00000000" w:rsidRPr="00000000">
        <w:rPr>
          <w:rtl w:val="0"/>
        </w:rPr>
      </w:r>
    </w:p>
    <w:p w:rsidR="00000000" w:rsidDel="00000000" w:rsidP="00000000" w:rsidRDefault="00000000" w:rsidRPr="00000000" w14:paraId="0000024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EDGAR Application Programming Interfaces (APIs) - SEC.gov, </w:t>
      </w:r>
      <w:hyperlink r:id="rId39">
        <w:r w:rsidDel="00000000" w:rsidR="00000000" w:rsidRPr="00000000">
          <w:rPr>
            <w:rFonts w:ascii="Google Sans" w:cs="Google Sans" w:eastAsia="Google Sans" w:hAnsi="Google Sans"/>
            <w:color w:val="0000ee"/>
            <w:sz w:val="24"/>
            <w:szCs w:val="24"/>
            <w:u w:val="single"/>
            <w:rtl w:val="0"/>
          </w:rPr>
          <w:t xml:space="preserve">https://www.sec.gov/search-filings/edgar-application-programming-interfaces</w:t>
        </w:r>
      </w:hyperlink>
      <w:r w:rsidDel="00000000" w:rsidR="00000000" w:rsidRPr="00000000">
        <w:rPr>
          <w:rtl w:val="0"/>
        </w:rPr>
      </w:r>
    </w:p>
    <w:p w:rsidR="00000000" w:rsidDel="00000000" w:rsidP="00000000" w:rsidRDefault="00000000" w:rsidRPr="00000000" w14:paraId="0000024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EDGAR Scraper | Financial Filings &amp; XBRL Data API - Apify, </w:t>
      </w:r>
      <w:hyperlink r:id="rId40">
        <w:r w:rsidDel="00000000" w:rsidR="00000000" w:rsidRPr="00000000">
          <w:rPr>
            <w:rFonts w:ascii="Google Sans" w:cs="Google Sans" w:eastAsia="Google Sans" w:hAnsi="Google Sans"/>
            <w:color w:val="0000ee"/>
            <w:sz w:val="24"/>
            <w:szCs w:val="24"/>
            <w:u w:val="single"/>
            <w:rtl w:val="0"/>
          </w:rPr>
          <w:t xml:space="preserve">https://apify.com/labrat011/sec-edgar-scraper</w:t>
        </w:r>
      </w:hyperlink>
      <w:r w:rsidDel="00000000" w:rsidR="00000000" w:rsidRPr="00000000">
        <w:rPr>
          <w:rtl w:val="0"/>
        </w:rPr>
      </w:r>
    </w:p>
    <w:p w:rsidR="00000000" w:rsidDel="00000000" w:rsidP="00000000" w:rsidRDefault="00000000" w:rsidRPr="00000000" w14:paraId="0000024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EDGAR Financial Extractor - Apify, </w:t>
      </w:r>
      <w:hyperlink r:id="rId41">
        <w:r w:rsidDel="00000000" w:rsidR="00000000" w:rsidRPr="00000000">
          <w:rPr>
            <w:rFonts w:ascii="Google Sans" w:cs="Google Sans" w:eastAsia="Google Sans" w:hAnsi="Google Sans"/>
            <w:color w:val="0000ee"/>
            <w:sz w:val="24"/>
            <w:szCs w:val="24"/>
            <w:u w:val="single"/>
            <w:rtl w:val="0"/>
          </w:rPr>
          <w:t xml:space="preserve">https://apify.com/ryanclinton/edgar-financial-extractor</w:t>
        </w:r>
      </w:hyperlink>
      <w:r w:rsidDel="00000000" w:rsidR="00000000" w:rsidRPr="00000000">
        <w:rPr>
          <w:rtl w:val="0"/>
        </w:rPr>
      </w:r>
    </w:p>
    <w:p w:rsidR="00000000" w:rsidDel="00000000" w:rsidP="00000000" w:rsidRDefault="00000000" w:rsidRPr="00000000" w14:paraId="0000024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values - Cypher Manual - Neo4j, </w:t>
      </w:r>
      <w:hyperlink r:id="rId42">
        <w:r w:rsidDel="00000000" w:rsidR="00000000" w:rsidRPr="00000000">
          <w:rPr>
            <w:rFonts w:ascii="Google Sans" w:cs="Google Sans" w:eastAsia="Google Sans" w:hAnsi="Google Sans"/>
            <w:color w:val="0000ee"/>
            <w:sz w:val="24"/>
            <w:szCs w:val="24"/>
            <w:u w:val="single"/>
            <w:rtl w:val="0"/>
          </w:rPr>
          <w:t xml:space="preserve">https://neo4j.com/docs/cypher-manual/current/values-and-types/temporal/</w:t>
        </w:r>
      </w:hyperlink>
      <w:r w:rsidDel="00000000" w:rsidR="00000000" w:rsidRPr="00000000">
        <w:rPr>
          <w:rtl w:val="0"/>
        </w:rPr>
      </w:r>
    </w:p>
    <w:p w:rsidR="00000000" w:rsidDel="00000000" w:rsidP="00000000" w:rsidRDefault="00000000" w:rsidRPr="00000000" w14:paraId="0000024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alphanome-ai/sec-parser: Parse SEC EDGAR HTML documents into a tree of elements that correspond to the visual (semantic) structure of the document., </w:t>
      </w:r>
      <w:hyperlink r:id="rId43">
        <w:r w:rsidDel="00000000" w:rsidR="00000000" w:rsidRPr="00000000">
          <w:rPr>
            <w:rFonts w:ascii="Google Sans" w:cs="Google Sans" w:eastAsia="Google Sans" w:hAnsi="Google Sans"/>
            <w:color w:val="0000ee"/>
            <w:sz w:val="24"/>
            <w:szCs w:val="24"/>
            <w:u w:val="single"/>
            <w:rtl w:val="0"/>
          </w:rPr>
          <w:t xml:space="preserve">https://github.com/alphanome-ai/sec-parser</w:t>
        </w:r>
      </w:hyperlink>
      <w:r w:rsidDel="00000000" w:rsidR="00000000" w:rsidRPr="00000000">
        <w:rPr>
          <w:rtl w:val="0"/>
        </w:rPr>
      </w:r>
    </w:p>
    <w:p w:rsidR="00000000" w:rsidDel="00000000" w:rsidP="00000000" w:rsidRDefault="00000000" w:rsidRPr="00000000" w14:paraId="0000024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FinVerBench: Benchmark Validity and Calibration in Large Language Model Financial Statement Verification - arXiv, </w:t>
      </w:r>
      <w:hyperlink r:id="rId44">
        <w:r w:rsidDel="00000000" w:rsidR="00000000" w:rsidRPr="00000000">
          <w:rPr>
            <w:rFonts w:ascii="Google Sans" w:cs="Google Sans" w:eastAsia="Google Sans" w:hAnsi="Google Sans"/>
            <w:color w:val="0000ee"/>
            <w:sz w:val="24"/>
            <w:szCs w:val="24"/>
            <w:u w:val="single"/>
            <w:rtl w:val="0"/>
          </w:rPr>
          <w:t xml:space="preserve">https://arxiv.org/html/2605.29586v1</w:t>
        </w:r>
      </w:hyperlink>
      <w:r w:rsidDel="00000000" w:rsidR="00000000" w:rsidRPr="00000000">
        <w:rPr>
          <w:rtl w:val="0"/>
        </w:rPr>
      </w:r>
    </w:p>
    <w:p w:rsidR="00000000" w:rsidDel="00000000" w:rsidP="00000000" w:rsidRDefault="00000000" w:rsidRPr="00000000" w14:paraId="0000024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FinReflectKG: Agentic Construction and Evaluation of Financial Knowledge Graphs - arXiv, </w:t>
      </w:r>
      <w:hyperlink r:id="rId45">
        <w:r w:rsidDel="00000000" w:rsidR="00000000" w:rsidRPr="00000000">
          <w:rPr>
            <w:rFonts w:ascii="Google Sans" w:cs="Google Sans" w:eastAsia="Google Sans" w:hAnsi="Google Sans"/>
            <w:color w:val="0000ee"/>
            <w:sz w:val="24"/>
            <w:szCs w:val="24"/>
            <w:u w:val="single"/>
            <w:rtl w:val="0"/>
          </w:rPr>
          <w:t xml:space="preserve">https://arxiv.org/abs/2508.17906</w:t>
        </w:r>
      </w:hyperlink>
      <w:r w:rsidDel="00000000" w:rsidR="00000000" w:rsidRPr="00000000">
        <w:rPr>
          <w:rtl w:val="0"/>
        </w:rPr>
      </w:r>
    </w:p>
    <w:p w:rsidR="00000000" w:rsidDel="00000000" w:rsidP="00000000" w:rsidRDefault="00000000" w:rsidRPr="00000000" w14:paraId="0000025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sec-api - PyPI, </w:t>
      </w:r>
      <w:hyperlink r:id="rId46">
        <w:r w:rsidDel="00000000" w:rsidR="00000000" w:rsidRPr="00000000">
          <w:rPr>
            <w:rFonts w:ascii="Google Sans" w:cs="Google Sans" w:eastAsia="Google Sans" w:hAnsi="Google Sans"/>
            <w:color w:val="0000ee"/>
            <w:sz w:val="24"/>
            <w:szCs w:val="24"/>
            <w:u w:val="single"/>
            <w:rtl w:val="0"/>
          </w:rPr>
          <w:t xml:space="preserve">https://pypi.org/project/sec-api/</w:t>
        </w:r>
      </w:hyperlink>
      <w:r w:rsidDel="00000000" w:rsidR="00000000" w:rsidRPr="00000000">
        <w:rPr>
          <w:rtl w:val="0"/>
        </w:rPr>
      </w:r>
    </w:p>
    <w:p w:rsidR="00000000" w:rsidDel="00000000" w:rsidP="00000000" w:rsidRDefault="00000000" w:rsidRPr="00000000" w14:paraId="0000025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cyanheads/secedgar-mcp-server: Query SEC EDGAR filings, XBRL financials, and company data through MCP. STDIO &amp; Streamable HTTP., </w:t>
      </w:r>
      <w:hyperlink r:id="rId47">
        <w:r w:rsidDel="00000000" w:rsidR="00000000" w:rsidRPr="00000000">
          <w:rPr>
            <w:rFonts w:ascii="Google Sans" w:cs="Google Sans" w:eastAsia="Google Sans" w:hAnsi="Google Sans"/>
            <w:color w:val="0000ee"/>
            <w:sz w:val="24"/>
            <w:szCs w:val="24"/>
            <w:u w:val="single"/>
            <w:rtl w:val="0"/>
          </w:rPr>
          <w:t xml:space="preserve">https://github.com/cyanheads/secedgar-mcp-server</w:t>
        </w:r>
      </w:hyperlink>
      <w:r w:rsidDel="00000000" w:rsidR="00000000" w:rsidRPr="00000000">
        <w:rPr>
          <w:rtl w:val="0"/>
        </w:rPr>
      </w:r>
    </w:p>
    <w:p w:rsidR="00000000" w:rsidDel="00000000" w:rsidP="00000000" w:rsidRDefault="00000000" w:rsidRPr="00000000" w14:paraId="0000025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FinKario: Event-Enhanced Automated Construction of Financial Knowledge Graph - ACL Anthology, </w:t>
      </w:r>
      <w:hyperlink r:id="rId48">
        <w:r w:rsidDel="00000000" w:rsidR="00000000" w:rsidRPr="00000000">
          <w:rPr>
            <w:rFonts w:ascii="Google Sans" w:cs="Google Sans" w:eastAsia="Google Sans" w:hAnsi="Google Sans"/>
            <w:color w:val="0000ee"/>
            <w:sz w:val="24"/>
            <w:szCs w:val="24"/>
            <w:u w:val="single"/>
            <w:rtl w:val="0"/>
          </w:rPr>
          <w:t xml:space="preserve">https://aclanthology.org/2026.acl-long.446.pdf</w:t>
        </w:r>
      </w:hyperlink>
      <w:r w:rsidDel="00000000" w:rsidR="00000000" w:rsidRPr="00000000">
        <w:rPr>
          <w:rtl w:val="0"/>
        </w:rPr>
      </w:r>
    </w:p>
    <w:p w:rsidR="00000000" w:rsidDel="00000000" w:rsidP="00000000" w:rsidRDefault="00000000" w:rsidRPr="00000000" w14:paraId="0000025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CollectivIA: Two-Pipeline Multilingual Legal RAG for Moroccan Territorial Governance with LLM-Assisted and Regex-Based Chunking - MDPI, </w:t>
      </w:r>
      <w:hyperlink r:id="rId49">
        <w:r w:rsidDel="00000000" w:rsidR="00000000" w:rsidRPr="00000000">
          <w:rPr>
            <w:rFonts w:ascii="Google Sans" w:cs="Google Sans" w:eastAsia="Google Sans" w:hAnsi="Google Sans"/>
            <w:color w:val="0000ee"/>
            <w:sz w:val="24"/>
            <w:szCs w:val="24"/>
            <w:u w:val="single"/>
            <w:rtl w:val="0"/>
          </w:rPr>
          <w:t xml:space="preserve">https://www.mdpi.com/2504-2289/10/7/212</w:t>
        </w:r>
      </w:hyperlink>
      <w:r w:rsidDel="00000000" w:rsidR="00000000" w:rsidRPr="00000000">
        <w:rPr>
          <w:rtl w:val="0"/>
        </w:rPr>
      </w:r>
    </w:p>
    <w:p w:rsidR="00000000" w:rsidDel="00000000" w:rsidP="00000000" w:rsidRDefault="00000000" w:rsidRPr="00000000" w14:paraId="0000025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Evaluation Frameworks: Mathematical Metrics Behind Ragas and TruLens - Shyank Dev, </w:t>
      </w:r>
      <w:hyperlink r:id="rId50">
        <w:r w:rsidDel="00000000" w:rsidR="00000000" w:rsidRPr="00000000">
          <w:rPr>
            <w:rFonts w:ascii="Google Sans" w:cs="Google Sans" w:eastAsia="Google Sans" w:hAnsi="Google Sans"/>
            <w:color w:val="0000ee"/>
            <w:sz w:val="24"/>
            <w:szCs w:val="24"/>
            <w:u w:val="single"/>
            <w:rtl w:val="0"/>
          </w:rPr>
          <w:t xml:space="preserve">https://www.shyankdev.us/blogs/rag-evaluation-metrics-ragas-trulens</w:t>
        </w:r>
      </w:hyperlink>
      <w:r w:rsidDel="00000000" w:rsidR="00000000" w:rsidRPr="00000000">
        <w:rPr>
          <w:rtl w:val="0"/>
        </w:rPr>
      </w:r>
    </w:p>
    <w:p w:rsidR="00000000" w:rsidDel="00000000" w:rsidP="00000000" w:rsidRDefault="00000000" w:rsidRPr="00000000" w14:paraId="0000025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Samsung, SK Hynix, and Micron are being sued for alleged DRAM price fixing and collusion, </w:t>
      </w:r>
      <w:hyperlink r:id="rId51">
        <w:r w:rsidDel="00000000" w:rsidR="00000000" w:rsidRPr="00000000">
          <w:rPr>
            <w:rFonts w:ascii="Google Sans" w:cs="Google Sans" w:eastAsia="Google Sans" w:hAnsi="Google Sans"/>
            <w:color w:val="0000ee"/>
            <w:sz w:val="24"/>
            <w:szCs w:val="24"/>
            <w:u w:val="single"/>
            <w:rtl w:val="0"/>
          </w:rPr>
          <w:t xml:space="preserve">https://www.tweaktown.com/news/112403/samsung-sk-hynix-and-micron-are-being-sued-for-alleged-dram-price-fixing-and-collusion/index.html</w:t>
        </w:r>
      </w:hyperlink>
      <w:r w:rsidDel="00000000" w:rsidR="00000000" w:rsidRPr="00000000">
        <w:rPr>
          <w:rtl w:val="0"/>
        </w:rPr>
      </w:r>
    </w:p>
    <w:p w:rsidR="00000000" w:rsidDel="00000000" w:rsidP="00000000" w:rsidRDefault="00000000" w:rsidRPr="00000000" w14:paraId="0000025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Mizuho lifts TSMC CoWoS capacity forecasts as server CPU demand surges, </w:t>
      </w:r>
      <w:hyperlink r:id="rId52">
        <w:r w:rsidDel="00000000" w:rsidR="00000000" w:rsidRPr="00000000">
          <w:rPr>
            <w:rFonts w:ascii="Google Sans" w:cs="Google Sans" w:eastAsia="Google Sans" w:hAnsi="Google Sans"/>
            <w:color w:val="0000ee"/>
            <w:sz w:val="24"/>
            <w:szCs w:val="24"/>
            <w:u w:val="single"/>
            <w:rtl w:val="0"/>
          </w:rPr>
          <w:t xml:space="preserve">https://za.investing.com/news/stock-market-news/mizuho-lifts-tsmc-cowos-capacity-forecasts-as-server-cpu-demand-surges-4350867</w:t>
        </w:r>
      </w:hyperlink>
      <w:r w:rsidDel="00000000" w:rsidR="00000000" w:rsidRPr="00000000">
        <w:rPr>
          <w:rtl w:val="0"/>
        </w:rPr>
      </w:r>
    </w:p>
    <w:p w:rsidR="00000000" w:rsidDel="00000000" w:rsidP="00000000" w:rsidRDefault="00000000" w:rsidRPr="00000000" w14:paraId="0000025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Additional Export Controls: Certain Advanced Computing Items; Supercomputer and Semiconductor End Use - Regulations.gov, </w:t>
      </w:r>
      <w:hyperlink r:id="rId53">
        <w:r w:rsidDel="00000000" w:rsidR="00000000" w:rsidRPr="00000000">
          <w:rPr>
            <w:rFonts w:ascii="Google Sans" w:cs="Google Sans" w:eastAsia="Google Sans" w:hAnsi="Google Sans"/>
            <w:color w:val="0000ee"/>
            <w:sz w:val="24"/>
            <w:szCs w:val="24"/>
            <w:u w:val="single"/>
            <w:rtl w:val="0"/>
          </w:rPr>
          <w:t xml:space="preserve">https://www.regulations.gov/document/BIS-2022-0025-0052</w:t>
        </w:r>
      </w:hyperlink>
      <w:r w:rsidDel="00000000" w:rsidR="00000000" w:rsidRPr="00000000">
        <w:rPr>
          <w:rtl w:val="0"/>
        </w:rPr>
      </w:r>
    </w:p>
    <w:p w:rsidR="00000000" w:rsidDel="00000000" w:rsidP="00000000" w:rsidRDefault="00000000" w:rsidRPr="00000000" w14:paraId="0000025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Micron Re-Rating Tests Whether AI Memory Has Broken the Old Cycle | Investing.com, </w:t>
      </w:r>
      <w:hyperlink r:id="rId54">
        <w:r w:rsidDel="00000000" w:rsidR="00000000" w:rsidRPr="00000000">
          <w:rPr>
            <w:rFonts w:ascii="Google Sans" w:cs="Google Sans" w:eastAsia="Google Sans" w:hAnsi="Google Sans"/>
            <w:color w:val="0000ee"/>
            <w:sz w:val="24"/>
            <w:szCs w:val="24"/>
            <w:u w:val="single"/>
            <w:rtl w:val="0"/>
          </w:rPr>
          <w:t xml:space="preserve">https://www.investing.com/analysis/micron-rerating-tests-whether-ai-memory-has-broken-the-old-cycle-200682993</w:t>
        </w:r>
      </w:hyperlink>
      <w:r w:rsidDel="00000000" w:rsidR="00000000" w:rsidRPr="00000000">
        <w:rPr>
          <w:rtl w:val="0"/>
        </w:rPr>
      </w:r>
    </w:p>
    <w:p w:rsidR="00000000" w:rsidDel="00000000" w:rsidP="00000000" w:rsidRDefault="00000000" w:rsidRPr="00000000" w14:paraId="0000025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jatinshah/sec-filings-api: Structured access to SEC EDGAR data with intelligent parsing using DSPy for enhanced data extraction, </w:t>
      </w:r>
      <w:hyperlink r:id="rId55">
        <w:r w:rsidDel="00000000" w:rsidR="00000000" w:rsidRPr="00000000">
          <w:rPr>
            <w:rFonts w:ascii="Google Sans" w:cs="Google Sans" w:eastAsia="Google Sans" w:hAnsi="Google Sans"/>
            <w:color w:val="0000ee"/>
            <w:sz w:val="24"/>
            <w:szCs w:val="24"/>
            <w:u w:val="single"/>
            <w:rtl w:val="0"/>
          </w:rPr>
          <w:t xml:space="preserve">https://github.com/jatinshah/sec-filings-api</w:t>
        </w:r>
      </w:hyperlink>
      <w:r w:rsidDel="00000000" w:rsidR="00000000" w:rsidRPr="00000000">
        <w:rPr>
          <w:rtl w:val="0"/>
        </w:rPr>
      </w:r>
    </w:p>
    <w:p w:rsidR="00000000" w:rsidDel="00000000" w:rsidP="00000000" w:rsidRDefault="00000000" w:rsidRPr="00000000" w14:paraId="0000025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Financial Chatbot - GitHub, </w:t>
      </w:r>
      <w:hyperlink r:id="rId56">
        <w:r w:rsidDel="00000000" w:rsidR="00000000" w:rsidRPr="00000000">
          <w:rPr>
            <w:rFonts w:ascii="Google Sans" w:cs="Google Sans" w:eastAsia="Google Sans" w:hAnsi="Google Sans"/>
            <w:color w:val="0000ee"/>
            <w:sz w:val="24"/>
            <w:szCs w:val="24"/>
            <w:u w:val="single"/>
            <w:rtl w:val="0"/>
          </w:rPr>
          <w:t xml:space="preserve">https://github.com/bcastelino/sec-financial-chatbot</w:t>
        </w:r>
      </w:hyperlink>
      <w:r w:rsidDel="00000000" w:rsidR="00000000" w:rsidRPr="00000000">
        <w:rPr>
          <w:rtl w:val="0"/>
        </w:rPr>
      </w:r>
    </w:p>
    <w:p w:rsidR="00000000" w:rsidDel="00000000" w:rsidP="00000000" w:rsidRDefault="00000000" w:rsidRPr="00000000" w14:paraId="0000025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SEC Filings in Python - EdgarTools, </w:t>
      </w:r>
      <w:hyperlink r:id="rId57">
        <w:r w:rsidDel="00000000" w:rsidR="00000000" w:rsidRPr="00000000">
          <w:rPr>
            <w:rFonts w:ascii="Google Sans" w:cs="Google Sans" w:eastAsia="Google Sans" w:hAnsi="Google Sans"/>
            <w:color w:val="0000ee"/>
            <w:sz w:val="24"/>
            <w:szCs w:val="24"/>
            <w:u w:val="single"/>
            <w:rtl w:val="0"/>
          </w:rPr>
          <w:t xml:space="preserve">https://edgartools.readthedocs.io/en/latest/complete-guide/</w:t>
        </w:r>
      </w:hyperlink>
      <w:r w:rsidDel="00000000" w:rsidR="00000000" w:rsidRPr="00000000">
        <w:rPr>
          <w:rtl w:val="0"/>
        </w:rPr>
      </w:r>
    </w:p>
    <w:p w:rsidR="00000000" w:rsidDel="00000000" w:rsidP="00000000" w:rsidRDefault="00000000" w:rsidRPr="00000000" w14:paraId="0000025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Solutions for Bloomberg Terminal Inefficiencies | PDF | Artificial Intelligence - Scribd, </w:t>
      </w:r>
      <w:hyperlink r:id="rId58">
        <w:r w:rsidDel="00000000" w:rsidR="00000000" w:rsidRPr="00000000">
          <w:rPr>
            <w:rFonts w:ascii="Google Sans" w:cs="Google Sans" w:eastAsia="Google Sans" w:hAnsi="Google Sans"/>
            <w:color w:val="0000ee"/>
            <w:sz w:val="24"/>
            <w:szCs w:val="24"/>
            <w:u w:val="single"/>
            <w:rtl w:val="0"/>
          </w:rPr>
          <w:t xml:space="preserve">https://www.scribd.com/document/889122992/Bloomberg-Terminal-AI-Disruption-Report</w:t>
        </w:r>
      </w:hyperlink>
      <w:r w:rsidDel="00000000" w:rsidR="00000000" w:rsidRPr="00000000">
        <w:rPr>
          <w:rtl w:val="0"/>
        </w:rPr>
      </w:r>
    </w:p>
    <w:p w:rsidR="00000000" w:rsidDel="00000000" w:rsidP="00000000" w:rsidRDefault="00000000" w:rsidRPr="00000000" w14:paraId="0000025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AlphaSense?, </w:t>
      </w:r>
      <w:hyperlink r:id="rId59">
        <w:r w:rsidDel="00000000" w:rsidR="00000000" w:rsidRPr="00000000">
          <w:rPr>
            <w:rFonts w:ascii="Google Sans" w:cs="Google Sans" w:eastAsia="Google Sans" w:hAnsi="Google Sans"/>
            <w:color w:val="0000ee"/>
            <w:sz w:val="24"/>
            <w:szCs w:val="24"/>
            <w:u w:val="single"/>
            <w:rtl w:val="0"/>
          </w:rPr>
          <w:t xml:space="preserve">https://www.alpha-sense.com/resources/product-articles/what-is-alphasense/</w:t>
        </w:r>
      </w:hyperlink>
      <w:r w:rsidDel="00000000" w:rsidR="00000000" w:rsidRPr="00000000">
        <w:rPr>
          <w:rtl w:val="0"/>
        </w:rPr>
      </w:r>
    </w:p>
    <w:p w:rsidR="00000000" w:rsidDel="00000000" w:rsidP="00000000" w:rsidRDefault="00000000" w:rsidRPr="00000000" w14:paraId="0000025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AlphaSense Product Releases in 2025, </w:t>
      </w:r>
      <w:hyperlink r:id="rId60">
        <w:r w:rsidDel="00000000" w:rsidR="00000000" w:rsidRPr="00000000">
          <w:rPr>
            <w:rFonts w:ascii="Google Sans" w:cs="Google Sans" w:eastAsia="Google Sans" w:hAnsi="Google Sans"/>
            <w:color w:val="0000ee"/>
            <w:sz w:val="24"/>
            <w:szCs w:val="24"/>
            <w:u w:val="single"/>
            <w:rtl w:val="0"/>
          </w:rPr>
          <w:t xml:space="preserve">https://www.alpha-sense.com/resources/product-articles/product-releases-2025/</w:t>
        </w:r>
      </w:hyperlink>
      <w:r w:rsidDel="00000000" w:rsidR="00000000" w:rsidRPr="00000000">
        <w:rPr>
          <w:rtl w:val="0"/>
        </w:rPr>
      </w:r>
    </w:p>
    <w:p w:rsidR="00000000" w:rsidDel="00000000" w:rsidP="00000000" w:rsidRDefault="00000000" w:rsidRPr="00000000" w14:paraId="0000025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AlphaSense Reviews &amp; Ratings 2026 | Gartner Peer Insights, </w:t>
      </w:r>
      <w:hyperlink r:id="rId61">
        <w:r w:rsidDel="00000000" w:rsidR="00000000" w:rsidRPr="00000000">
          <w:rPr>
            <w:rFonts w:ascii="Google Sans" w:cs="Google Sans" w:eastAsia="Google Sans" w:hAnsi="Google Sans"/>
            <w:color w:val="0000ee"/>
            <w:sz w:val="24"/>
            <w:szCs w:val="24"/>
            <w:u w:val="single"/>
            <w:rtl w:val="0"/>
          </w:rPr>
          <w:t xml:space="preserve">https://www.gartner.com/reviews/product/alphasense</w:t>
        </w:r>
      </w:hyperlink>
      <w:r w:rsidDel="00000000" w:rsidR="00000000" w:rsidRPr="00000000">
        <w:rPr>
          <w:rtl w:val="0"/>
        </w:rPr>
      </w:r>
    </w:p>
    <w:p w:rsidR="00000000" w:rsidDel="00000000" w:rsidP="00000000" w:rsidRDefault="00000000" w:rsidRPr="00000000" w14:paraId="0000026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AlphaSense Company Growth, Stability &amp; Outlook 2026 | Built In, </w:t>
      </w:r>
      <w:hyperlink r:id="rId62">
        <w:r w:rsidDel="00000000" w:rsidR="00000000" w:rsidRPr="00000000">
          <w:rPr>
            <w:rFonts w:ascii="Google Sans" w:cs="Google Sans" w:eastAsia="Google Sans" w:hAnsi="Google Sans"/>
            <w:color w:val="0000ee"/>
            <w:sz w:val="24"/>
            <w:szCs w:val="24"/>
            <w:u w:val="single"/>
            <w:rtl w:val="0"/>
          </w:rPr>
          <w:t xml:space="preserve">https://builtin.com/company/alphasense/faq/stability-growth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ify.com/labrat011/sec-edgar-scraper" TargetMode="External"/><Relationship Id="rId42" Type="http://schemas.openxmlformats.org/officeDocument/2006/relationships/hyperlink" Target="https://neo4j.com/docs/cypher-manual/current/values-and-types/temporal/" TargetMode="External"/><Relationship Id="rId41" Type="http://schemas.openxmlformats.org/officeDocument/2006/relationships/hyperlink" Target="https://apify.com/ryanclinton/edgar-financial-extractor" TargetMode="External"/><Relationship Id="rId44" Type="http://schemas.openxmlformats.org/officeDocument/2006/relationships/hyperlink" Target="https://arxiv.org/html/2605.29586v1" TargetMode="External"/><Relationship Id="rId43" Type="http://schemas.openxmlformats.org/officeDocument/2006/relationships/hyperlink" Target="https://github.com/alphanome-ai/sec-parser" TargetMode="External"/><Relationship Id="rId46" Type="http://schemas.openxmlformats.org/officeDocument/2006/relationships/hyperlink" Target="https://pypi.org/project/sec-api/" TargetMode="External"/><Relationship Id="rId45" Type="http://schemas.openxmlformats.org/officeDocument/2006/relationships/hyperlink" Target="https://arxiv.org/abs/2508.179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liconanalysts.com/analysis/foundry-allocation-status-q1-2026" TargetMode="External"/><Relationship Id="rId48" Type="http://schemas.openxmlformats.org/officeDocument/2006/relationships/hyperlink" Target="https://aclanthology.org/2026.acl-long.446.pdf" TargetMode="External"/><Relationship Id="rId47" Type="http://schemas.openxmlformats.org/officeDocument/2006/relationships/hyperlink" Target="https://github.com/cyanheads/secedgar-mcp-server" TargetMode="External"/><Relationship Id="rId49" Type="http://schemas.openxmlformats.org/officeDocument/2006/relationships/hyperlink" Target="https://www.mdpi.com/2504-2289/10/7/21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eco3min.fr/en/ai-capex-vs-historical-mega-investments/" TargetMode="External"/><Relationship Id="rId31" Type="http://schemas.openxmlformats.org/officeDocument/2006/relationships/hyperlink" Target="https://www.indmoney.com/blog/us-stocks/ai-chip-war-broadcom-avgo-marvell-mrvl-asic" TargetMode="External"/><Relationship Id="rId30" Type="http://schemas.openxmlformats.org/officeDocument/2006/relationships/hyperlink" Target="https://www.perplexity.ai/finance/AVGO?comparing=AVGO,AMD,MU,GFS,ARM,NVDA" TargetMode="External"/><Relationship Id="rId33" Type="http://schemas.openxmlformats.org/officeDocument/2006/relationships/hyperlink" Target="https://investor.synopsys.com/news/news-details/2026/Synopsys-Partners-with-TSMC-to-Power-Next-Generation-AI-Systems-with-Silicon-Proven-IP-and-Certified-EDA-Flows/default.aspx" TargetMode="External"/><Relationship Id="rId32" Type="http://schemas.openxmlformats.org/officeDocument/2006/relationships/hyperlink" Target="https://oplexa.com/broadcom-google-tpu-deal-2026/" TargetMode="External"/><Relationship Id="rId35" Type="http://schemas.openxmlformats.org/officeDocument/2006/relationships/hyperlink" Target="https://www.gao.gov/products/gao-25-107386" TargetMode="External"/><Relationship Id="rId34" Type="http://schemas.openxmlformats.org/officeDocument/2006/relationships/hyperlink" Target="https://www.kucoin.com/news/flash/micron-faces-pressure-as-sk-hynix-and-samsung-dominate-ai-hbm-market" TargetMode="External"/><Relationship Id="rId37" Type="http://schemas.openxmlformats.org/officeDocument/2006/relationships/hyperlink" Target="https://arxiv.org/abs/2604.14220" TargetMode="External"/><Relationship Id="rId36" Type="http://schemas.openxmlformats.org/officeDocument/2006/relationships/hyperlink" Target="https://swotpal.com/blog/broadcom-swot-analysis-2026" TargetMode="External"/><Relationship Id="rId39" Type="http://schemas.openxmlformats.org/officeDocument/2006/relationships/hyperlink" Target="https://www.sec.gov/search-filings/edgar-application-programming-interfaces" TargetMode="External"/><Relationship Id="rId38" Type="http://schemas.openxmlformats.org/officeDocument/2006/relationships/hyperlink" Target="https://arxiv.org/pdf/2508.17906" TargetMode="External"/><Relationship Id="rId62" Type="http://schemas.openxmlformats.org/officeDocument/2006/relationships/hyperlink" Target="https://builtin.com/company/alphasense/faq/stability-growth" TargetMode="External"/><Relationship Id="rId61" Type="http://schemas.openxmlformats.org/officeDocument/2006/relationships/hyperlink" Target="https://www.gartner.com/reviews/product/alphasense" TargetMode="External"/><Relationship Id="rId20" Type="http://schemas.openxmlformats.org/officeDocument/2006/relationships/hyperlink" Target="https://sec-parser.readthedocs.io/en/stable/notebooks/user_guide.html" TargetMode="External"/><Relationship Id="rId22" Type="http://schemas.openxmlformats.org/officeDocument/2006/relationships/hyperlink" Target="https://arxiv.org/html/2605.18770v1" TargetMode="External"/><Relationship Id="rId21" Type="http://schemas.openxmlformats.org/officeDocument/2006/relationships/hyperlink" Target="https://arxiv.org/html/2510.05710v2" TargetMode="External"/><Relationship Id="rId24" Type="http://schemas.openxmlformats.org/officeDocument/2006/relationships/hyperlink" Target="https://www.alpha-sense.com/resources/research-articles/artificial-intelligence-trends/" TargetMode="External"/><Relationship Id="rId23" Type="http://schemas.openxmlformats.org/officeDocument/2006/relationships/hyperlink" Target="https://www.allianz.com/content/dam/onemarketing/azcom/Allianz_com/economic-research/publications/specials/en/2026/march/2026_03_25_AI.pdf" TargetMode="External"/><Relationship Id="rId60" Type="http://schemas.openxmlformats.org/officeDocument/2006/relationships/hyperlink" Target="https://www.alpha-sense.com/resources/product-articles/product-releases-2025/" TargetMode="External"/><Relationship Id="rId26" Type="http://schemas.openxmlformats.org/officeDocument/2006/relationships/hyperlink" Target="https://github.com/josetraderx/edgar-sec-parser" TargetMode="External"/><Relationship Id="rId25" Type="http://schemas.openxmlformats.org/officeDocument/2006/relationships/hyperlink" Target="https://www.reddit.com/r/Rag/comments/1sji373/seeking_advice_references_for_financial_knowledge/" TargetMode="External"/><Relationship Id="rId28" Type="http://schemas.openxmlformats.org/officeDocument/2006/relationships/hyperlink" Target="https://www.sec.gov/about/developer-resources" TargetMode="External"/><Relationship Id="rId27" Type="http://schemas.openxmlformats.org/officeDocument/2006/relationships/hyperlink" Target="https://www.federalregister.gov/documents/2023/10/25/2023-23049/export-controls-on-semiconductor-manufacturing-items" TargetMode="External"/><Relationship Id="rId29" Type="http://schemas.openxmlformats.org/officeDocument/2006/relationships/hyperlink" Target="https://pmc.ncbi.nlm.nih.gov/articles/PMC12421730/" TargetMode="External"/><Relationship Id="rId51" Type="http://schemas.openxmlformats.org/officeDocument/2006/relationships/hyperlink" Target="https://www.tweaktown.com/news/112403/samsung-sk-hynix-and-micron-are-being-sued-for-alleged-dram-price-fixing-and-collusion/index.html" TargetMode="External"/><Relationship Id="rId50" Type="http://schemas.openxmlformats.org/officeDocument/2006/relationships/hyperlink" Target="https://www.shyankdev.us/blogs/rag-evaluation-metrics-ragas-trulens" TargetMode="External"/><Relationship Id="rId53" Type="http://schemas.openxmlformats.org/officeDocument/2006/relationships/hyperlink" Target="https://www.regulations.gov/document/BIS-2022-0025-0052" TargetMode="External"/><Relationship Id="rId52" Type="http://schemas.openxmlformats.org/officeDocument/2006/relationships/hyperlink" Target="https://za.investing.com/news/stock-market-news/mizuho-lifts-tsmc-cowos-capacity-forecasts-as-server-cpu-demand-surges-4350867" TargetMode="External"/><Relationship Id="rId11" Type="http://schemas.openxmlformats.org/officeDocument/2006/relationships/hyperlink" Target="https://www.skadden.com/insights/publications/2023/10/bis-updates-october-2022-semiconductor-export-control-rules" TargetMode="External"/><Relationship Id="rId55" Type="http://schemas.openxmlformats.org/officeDocument/2006/relationships/hyperlink" Target="https://github.com/jatinshah/sec-filings-api" TargetMode="External"/><Relationship Id="rId10" Type="http://schemas.openxmlformats.org/officeDocument/2006/relationships/hyperlink" Target="https://www.digitalapplied.com/blog/micron-anthropic-strategic-infrastructure-agreement-2026" TargetMode="External"/><Relationship Id="rId54" Type="http://schemas.openxmlformats.org/officeDocument/2006/relationships/hyperlink" Target="https://www.investing.com/analysis/micron-rerating-tests-whether-ai-memory-has-broken-the-old-cycle-200682993" TargetMode="External"/><Relationship Id="rId13" Type="http://schemas.openxmlformats.org/officeDocument/2006/relationships/hyperlink" Target="https://dev.to/satyam_shree_087caef77512/a-practical-guide-to-temporal-versioning-in-neo4j-nodes-relationships-and-historical-graph-1m5g" TargetMode="External"/><Relationship Id="rId57" Type="http://schemas.openxmlformats.org/officeDocument/2006/relationships/hyperlink" Target="https://edgartools.readthedocs.io/en/latest/complete-guide/" TargetMode="External"/><Relationship Id="rId12" Type="http://schemas.openxmlformats.org/officeDocument/2006/relationships/hyperlink" Target="https://www.csis.org/analysis/understanding-us-allies-current-legal-authority-implement-ai-and-semiconductor-export" TargetMode="External"/><Relationship Id="rId56" Type="http://schemas.openxmlformats.org/officeDocument/2006/relationships/hyperlink" Target="https://github.com/bcastelino/sec-financial-chatbot" TargetMode="External"/><Relationship Id="rId15" Type="http://schemas.openxmlformats.org/officeDocument/2006/relationships/hyperlink" Target="https://www.sec.gov/search-filings/edgar-search-assistance/accessing-edgar-data" TargetMode="External"/><Relationship Id="rId59" Type="http://schemas.openxmlformats.org/officeDocument/2006/relationships/hyperlink" Target="https://www.alpha-sense.com/resources/product-articles/what-is-alphasense/" TargetMode="External"/><Relationship Id="rId14" Type="http://schemas.openxmlformats.org/officeDocument/2006/relationships/hyperlink" Target="https://arxiv.org/html/2606.00610v1" TargetMode="External"/><Relationship Id="rId58" Type="http://schemas.openxmlformats.org/officeDocument/2006/relationships/hyperlink" Target="https://www.scribd.com/document/889122992/Bloomberg-Terminal-AI-Disruption-Report" TargetMode="External"/><Relationship Id="rId17" Type="http://schemas.openxmlformats.org/officeDocument/2006/relationships/hyperlink" Target="https://graphaware.com/blog/ai-in-intelligence-analysis-graphrag-vs-agentic-retrieval/" TargetMode="External"/><Relationship Id="rId16" Type="http://schemas.openxmlformats.org/officeDocument/2006/relationships/hyperlink" Target="https://www.tandfonline.com/doi/full/10.1080/01605682.2025.2608868" TargetMode="External"/><Relationship Id="rId19" Type="http://schemas.openxmlformats.org/officeDocument/2006/relationships/hyperlink" Target="https://github.com/sareegpt/edgartools-mcp" TargetMode="External"/><Relationship Id="rId18" Type="http://schemas.openxmlformats.org/officeDocument/2006/relationships/hyperlink" Target="https://www.drugpatentwatch.com/blog/a-comprehensive-review-of-alpha-signals-for-pharmaceutical-and-biotech-inves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