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4B2D8E"/>
          <w:sz w:val="20"/>
          <w:szCs w:val="20"/>
        </w:rPr>
        <w:t xml:space="preserve">QUALIZENZ</w:t>
      </w:r>
    </w:p>
    <w:p>
      <w:pPr>
        <w:pBdr>
          <w:bottom w:val="single" w:color="4B2D8E" w:sz="4" w:space="1"/>
        </w:pBdr>
        <w:spacing w:after="400"/>
        <w:jc w:val="center"/>
      </w:pPr>
      <w:r>
        <w:rPr>
          <w:rFonts w:ascii="Arial" w:cs="Arial" w:eastAsia="Arial" w:hAnsi="Arial"/>
          <w:i/>
          <w:iCs/>
          <w:color w:val="666666"/>
          <w:sz w:val="18"/>
          <w:szCs w:val="18"/>
        </w:rPr>
        <w:t xml:space="preserve">Expert Pharmaceutical Knowledge Made Simple</w:t>
      </w:r>
    </w:p>
    <w:p>
      <w:pPr>
        <w:spacing w:after="120"/>
        <w:jc w:val="center"/>
      </w:pPr>
      <w:r>
        <w:rPr>
          <w:rFonts w:ascii="Arial" w:cs="Arial" w:eastAsia="Arial" w:hAnsi="Arial"/>
          <w:b/>
          <w:bCs/>
          <w:color w:val="4B2D8E"/>
          <w:sz w:val="20"/>
          <w:szCs w:val="20"/>
        </w:rPr>
        <w:t xml:space="preserve">ARTICLE 1</w:t>
      </w:r>
    </w:p>
    <w:p>
      <w:pPr>
        <w:pStyle w:val="Heading1"/>
        <w:jc w:val="center"/>
      </w:pPr>
      <w:r>
        <w:rPr>
          <w:rFonts w:ascii="Arial" w:cs="Arial" w:eastAsia="Arial" w:hAnsi="Arial"/>
          <w:b/>
          <w:bCs/>
          <w:color w:val="4B2D8E"/>
          <w:sz w:val="40"/>
          <w:szCs w:val="40"/>
        </w:rPr>
        <w:t xml:space="preserve">What Is GMP Compliance?</w:t>
      </w:r>
    </w:p>
    <w:p>
      <w:pPr>
        <w:spacing w:after="480"/>
        <w:jc w:val="center"/>
      </w:pPr>
      <w:r>
        <w:rPr>
          <w:rFonts w:ascii="Arial" w:cs="Arial" w:eastAsia="Arial" w:hAnsi="Arial"/>
          <w:i/>
          <w:iCs/>
          <w:color w:val="555555"/>
          <w:sz w:val="22"/>
          <w:szCs w:val="22"/>
        </w:rPr>
        <w:t xml:space="preserve">A Foundation Guide for Pharmaceutical Professionals</w:t>
      </w:r>
    </w:p>
    <w:p>
      <w:pPr>
        <w:pStyle w:val="Heading2"/>
      </w:pPr>
      <w:r>
        <w:rPr>
          <w:rFonts w:ascii="Arial" w:cs="Arial" w:eastAsia="Arial" w:hAnsi="Arial"/>
          <w:b/>
          <w:bCs/>
          <w:color w:val="2E4D7B"/>
          <w:sz w:val="28"/>
          <w:szCs w:val="28"/>
        </w:rPr>
        <w:t xml:space="preserve">Introduction</w:t>
      </w:r>
    </w:p>
    <w:p>
      <w:pPr>
        <w:spacing w:after="200"/>
      </w:pPr>
      <w:r>
        <w:rPr>
          <w:rFonts w:ascii="Arial" w:cs="Arial" w:eastAsia="Arial" w:hAnsi="Arial"/>
          <w:sz w:val="24"/>
          <w:szCs w:val="24"/>
        </w:rPr>
        <w:t xml:space="preserve">Good Manufacturing Practice (GMP) compliance is the cornerstone of the pharmaceutical industry. It defines the minimum standards that drug manufacturers must meet to ensure their products are consistently safe, effective, and of high quality. Without GMP, the integrity of medicines reaching patients cannot be guaranteed.</w:t>
      </w:r>
    </w:p>
    <w:p>
      <w:pPr>
        <w:spacing w:after="320"/>
      </w:pPr>
      <w:r>
        <w:rPr>
          <w:rFonts w:ascii="Arial" w:cs="Arial" w:eastAsia="Arial" w:hAnsi="Arial"/>
          <w:sz w:val="24"/>
          <w:szCs w:val="24"/>
        </w:rPr>
        <w:t xml:space="preserve">In today's highly regulated environment, GMP is not simply a set of rules — it is a comprehensive philosophy of quality that must be embedded into every process, decision, and document within a pharmaceutical organisation.</w:t>
      </w:r>
    </w:p>
    <w:p>
      <w:pPr>
        <w:pStyle w:val="Heading2"/>
      </w:pPr>
      <w:r>
        <w:rPr>
          <w:rFonts w:ascii="Arial" w:cs="Arial" w:eastAsia="Arial" w:hAnsi="Arial"/>
          <w:b/>
          <w:bCs/>
          <w:color w:val="2E4D7B"/>
          <w:sz w:val="28"/>
          <w:szCs w:val="28"/>
        </w:rPr>
        <w:t xml:space="preserve">What Is Good Manufacturing Practice (GMP)?</w:t>
      </w:r>
    </w:p>
    <w:p>
      <w:pPr>
        <w:spacing w:after="200"/>
      </w:pPr>
      <w:r>
        <w:rPr>
          <w:rFonts w:ascii="Arial" w:cs="Arial" w:eastAsia="Arial" w:hAnsi="Arial"/>
          <w:sz w:val="24"/>
          <w:szCs w:val="24"/>
        </w:rPr>
        <w:t xml:space="preserve">GMP is a system of regulations and guidelines that govern the manufacturing, testing, and quality assurance of pharmaceutical products. It covers every aspect of production — from the raw materials used, to the equipment employed, to the training of personnel, to the final release of a product.</w:t>
      </w:r>
    </w:p>
    <w:p>
      <w:pPr>
        <w:spacing w:after="200"/>
      </w:pPr>
      <w:r>
        <w:rPr>
          <w:rFonts w:ascii="Arial" w:cs="Arial" w:eastAsia="Arial" w:hAnsi="Arial"/>
          <w:sz w:val="24"/>
          <w:szCs w:val="24"/>
        </w:rPr>
        <w:t xml:space="preserve">Key GMP regulatory bodies and frameworks include:</w:t>
      </w:r>
    </w:p>
    <w:p>
      <w:pPr>
        <w:pStyle w:val="ListParagraph"/>
        <w:numPr>
          <w:ilvl w:val="0"/>
          <w:numId w:val="2"/>
        </w:numPr>
        <w:spacing w:after="120"/>
      </w:pPr>
      <w:r>
        <w:rPr>
          <w:rFonts w:ascii="Arial" w:cs="Arial" w:eastAsia="Arial" w:hAnsi="Arial"/>
          <w:sz w:val="24"/>
          <w:szCs w:val="24"/>
        </w:rPr>
        <w:t xml:space="preserve">WHO GMP (World Health Organization) — The global baseline standard adopted by many developing nations.</w:t>
      </w:r>
    </w:p>
    <w:p>
      <w:pPr>
        <w:pStyle w:val="ListParagraph"/>
        <w:numPr>
          <w:ilvl w:val="0"/>
          <w:numId w:val="2"/>
        </w:numPr>
        <w:spacing w:after="120"/>
      </w:pPr>
      <w:r>
        <w:rPr>
          <w:rFonts w:ascii="Arial" w:cs="Arial" w:eastAsia="Arial" w:hAnsi="Arial"/>
          <w:sz w:val="24"/>
          <w:szCs w:val="24"/>
        </w:rPr>
        <w:t xml:space="preserve">EU GMP (European Medicines Agency / EMA) — Mandatory for all manufacturers supplying medicines to Europe.</w:t>
      </w:r>
    </w:p>
    <w:p>
      <w:pPr>
        <w:pStyle w:val="ListParagraph"/>
        <w:numPr>
          <w:ilvl w:val="0"/>
          <w:numId w:val="2"/>
        </w:numPr>
        <w:spacing w:after="120"/>
      </w:pPr>
      <w:r>
        <w:rPr>
          <w:rFonts w:ascii="Arial" w:cs="Arial" w:eastAsia="Arial" w:hAnsi="Arial"/>
          <w:sz w:val="24"/>
          <w:szCs w:val="24"/>
        </w:rPr>
        <w:t xml:space="preserve">US FDA cGMP (Current Good Manufacturing Practice) — Required for all pharmaceutical companies marketing products in the United States.</w:t>
      </w:r>
    </w:p>
    <w:p>
      <w:pPr>
        <w:pStyle w:val="ListParagraph"/>
        <w:numPr>
          <w:ilvl w:val="0"/>
          <w:numId w:val="2"/>
        </w:numPr>
        <w:spacing w:after="120"/>
      </w:pPr>
      <w:r>
        <w:rPr>
          <w:rFonts w:ascii="Arial" w:cs="Arial" w:eastAsia="Arial" w:hAnsi="Arial"/>
          <w:sz w:val="24"/>
          <w:szCs w:val="24"/>
        </w:rPr>
        <w:t xml:space="preserve">PIC/S GMP — A harmonised international framework adopted by over 50 regulatory authorities worldwide.</w:t>
      </w:r>
    </w:p>
    <w:p>
      <w:pPr>
        <w:pStyle w:val="ListParagraph"/>
        <w:numPr>
          <w:ilvl w:val="0"/>
          <w:numId w:val="2"/>
        </w:numPr>
        <w:spacing w:after="120"/>
      </w:pPr>
      <w:r>
        <w:rPr>
          <w:rFonts w:ascii="Arial" w:cs="Arial" w:eastAsia="Arial" w:hAnsi="Arial"/>
          <w:sz w:val="24"/>
          <w:szCs w:val="24"/>
        </w:rPr>
        <w:t xml:space="preserve">ICH Q10 Pharmaceutical Quality System — A guideline that integrates GMP into a holistic quality management system.</w:t>
      </w:r>
    </w:p>
    <w:p>
      <w:pPr>
        <w:spacing w:after="200"/>
      </w:pPr>
    </w:p>
    <w:p>
      <w:pPr>
        <w:pStyle w:val="Heading2"/>
      </w:pPr>
      <w:r>
        <w:rPr>
          <w:rFonts w:ascii="Arial" w:cs="Arial" w:eastAsia="Arial" w:hAnsi="Arial"/>
          <w:b/>
          <w:bCs/>
          <w:color w:val="2E4D7B"/>
          <w:sz w:val="28"/>
          <w:szCs w:val="28"/>
        </w:rPr>
        <w:t xml:space="preserve">Why Does GMP Compliance Matter?</w:t>
      </w:r>
    </w:p>
    <w:p>
      <w:pPr>
        <w:spacing w:after="200"/>
      </w:pPr>
      <w:r>
        <w:rPr>
          <w:rFonts w:ascii="Arial" w:cs="Arial" w:eastAsia="Arial" w:hAnsi="Arial"/>
          <w:sz w:val="24"/>
          <w:szCs w:val="24"/>
        </w:rPr>
        <w:t xml:space="preserve">GMP compliance matters for three fundamental reasons: patient safety, product quality, and regulatory acceptance.</w:t>
      </w:r>
    </w:p>
    <w:p>
      <w:pPr>
        <w:pStyle w:val="Heading3"/>
      </w:pPr>
      <w:r>
        <w:rPr>
          <w:rFonts w:ascii="Arial" w:cs="Arial" w:eastAsia="Arial" w:hAnsi="Arial"/>
          <w:b/>
          <w:bCs/>
          <w:color w:val="1A6B3C"/>
          <w:sz w:val="24"/>
          <w:szCs w:val="24"/>
        </w:rPr>
        <w:t xml:space="preserve">1. Patient Safety</w:t>
      </w:r>
    </w:p>
    <w:p>
      <w:pPr>
        <w:spacing w:after="200"/>
      </w:pPr>
      <w:r>
        <w:rPr>
          <w:rFonts w:ascii="Arial" w:cs="Arial" w:eastAsia="Arial" w:hAnsi="Arial"/>
          <w:sz w:val="24"/>
          <w:szCs w:val="24"/>
        </w:rPr>
        <w:t xml:space="preserve">Medicines that fail GMP standards can harm patients. History is filled with tragedies caused by contaminated, mislabelled, or subpotent drugs. GMP regulations were largely developed in response to such incidents — including the thalidomide disaster of the 1960s and the sulfanilamide tragedy of 1937. Compliance ensures that what is written on the label is exactly what is in the product.</w:t>
      </w:r>
    </w:p>
    <w:p>
      <w:pPr>
        <w:pStyle w:val="Heading3"/>
      </w:pPr>
      <w:r>
        <w:rPr>
          <w:rFonts w:ascii="Arial" w:cs="Arial" w:eastAsia="Arial" w:hAnsi="Arial"/>
          <w:b/>
          <w:bCs/>
          <w:color w:val="1A6B3C"/>
          <w:sz w:val="24"/>
          <w:szCs w:val="24"/>
        </w:rPr>
        <w:t xml:space="preserve">2. Product Quality &amp; Consistency</w:t>
      </w:r>
    </w:p>
    <w:p>
      <w:pPr>
        <w:spacing w:after="200"/>
      </w:pPr>
      <w:r>
        <w:rPr>
          <w:rFonts w:ascii="Arial" w:cs="Arial" w:eastAsia="Arial" w:hAnsi="Arial"/>
          <w:sz w:val="24"/>
          <w:szCs w:val="24"/>
        </w:rPr>
        <w:t xml:space="preserve">GMP ensures that every batch of a medicine meets the same specifications. Consistency is critical — a tablet produced today must perform identically to one produced six months ago. Through validated processes, calibrated equipment, and documented controls, GMP makes this possible.</w:t>
      </w:r>
    </w:p>
    <w:p>
      <w:pPr>
        <w:pStyle w:val="Heading3"/>
      </w:pPr>
      <w:r>
        <w:rPr>
          <w:rFonts w:ascii="Arial" w:cs="Arial" w:eastAsia="Arial" w:hAnsi="Arial"/>
          <w:b/>
          <w:bCs/>
          <w:color w:val="1A6B3C"/>
          <w:sz w:val="24"/>
          <w:szCs w:val="24"/>
        </w:rPr>
        <w:t xml:space="preserve">3. Regulatory Acceptance &amp; Market Access</w:t>
      </w:r>
    </w:p>
    <w:p>
      <w:pPr>
        <w:spacing w:after="320"/>
      </w:pPr>
      <w:r>
        <w:rPr>
          <w:rFonts w:ascii="Arial" w:cs="Arial" w:eastAsia="Arial" w:hAnsi="Arial"/>
          <w:sz w:val="24"/>
          <w:szCs w:val="24"/>
        </w:rPr>
        <w:t xml:space="preserve">No regulatory authority will grant a marketing authorisation to a pharmaceutical product unless the manufacturing site is GMP-compliant. Without GMP certification, companies cannot legally sell their medicines in most countries. GMP compliance is, therefore, not optional — it is the price of entry into the global pharmaceutical market.</w:t>
      </w:r>
    </w:p>
    <w:p>
      <w:pPr>
        <w:pStyle w:val="Heading2"/>
      </w:pPr>
      <w:r>
        <w:rPr>
          <w:rFonts w:ascii="Arial" w:cs="Arial" w:eastAsia="Arial" w:hAnsi="Arial"/>
          <w:b/>
          <w:bCs/>
          <w:color w:val="2E4D7B"/>
          <w:sz w:val="28"/>
          <w:szCs w:val="28"/>
        </w:rPr>
        <w:t xml:space="preserve">The Core Principles of GMP</w:t>
      </w:r>
    </w:p>
    <w:p>
      <w:pPr>
        <w:spacing w:after="200"/>
      </w:pPr>
      <w:r>
        <w:rPr>
          <w:rFonts w:ascii="Arial" w:cs="Arial" w:eastAsia="Arial" w:hAnsi="Arial"/>
          <w:sz w:val="24"/>
          <w:szCs w:val="24"/>
        </w:rPr>
        <w:t xml:space="preserve">GMP is built on several interconnected principles that together form a robust quality system:</w:t>
      </w:r>
    </w:p>
    <w:p>
      <w:pPr>
        <w:pStyle w:val="ListParagraph"/>
        <w:numPr>
          <w:ilvl w:val="0"/>
          <w:numId w:val="2"/>
        </w:numPr>
        <w:spacing w:after="160"/>
      </w:pPr>
      <w:r>
        <w:rPr>
          <w:rFonts w:ascii="Arial" w:cs="Arial" w:eastAsia="Arial" w:hAnsi="Arial"/>
          <w:sz w:val="24"/>
          <w:szCs w:val="24"/>
        </w:rPr>
        <w:t xml:space="preserve">Quality Cannot Be Tested Into a Product — Quality must be built into the manufacturing process itself, not inspected in at the end. This principle underpins all of GMP.</w:t>
      </w:r>
    </w:p>
    <w:p>
      <w:pPr>
        <w:pStyle w:val="ListParagraph"/>
        <w:numPr>
          <w:ilvl w:val="0"/>
          <w:numId w:val="2"/>
        </w:numPr>
        <w:spacing w:after="160"/>
      </w:pPr>
      <w:r>
        <w:rPr>
          <w:rFonts w:ascii="Arial" w:cs="Arial" w:eastAsia="Arial" w:hAnsi="Arial"/>
          <w:sz w:val="24"/>
          <w:szCs w:val="24"/>
        </w:rPr>
        <w:t xml:space="preserve">Documentation Is the Backbone of GMP — If it is not documented, it did not happen. Every procedure, test, deviation, and decision must be recorded accurately and completely.</w:t>
      </w:r>
    </w:p>
    <w:p>
      <w:pPr>
        <w:pStyle w:val="ListParagraph"/>
        <w:numPr>
          <w:ilvl w:val="0"/>
          <w:numId w:val="2"/>
        </w:numPr>
        <w:spacing w:after="160"/>
      </w:pPr>
      <w:r>
        <w:rPr>
          <w:rFonts w:ascii="Arial" w:cs="Arial" w:eastAsia="Arial" w:hAnsi="Arial"/>
          <w:sz w:val="24"/>
          <w:szCs w:val="24"/>
        </w:rPr>
        <w:t xml:space="preserve">Personnel Are the Most Critical Resource — Even the best systems fail without trained, competent, and motivated people. GMP places great emphasis on training, hygiene, and personnel qualifications.</w:t>
      </w:r>
    </w:p>
    <w:p>
      <w:pPr>
        <w:pStyle w:val="ListParagraph"/>
        <w:numPr>
          <w:ilvl w:val="0"/>
          <w:numId w:val="2"/>
        </w:numPr>
        <w:spacing w:after="160"/>
      </w:pPr>
      <w:r>
        <w:rPr>
          <w:rFonts w:ascii="Arial" w:cs="Arial" w:eastAsia="Arial" w:hAnsi="Arial"/>
          <w:sz w:val="24"/>
          <w:szCs w:val="24"/>
        </w:rPr>
        <w:t xml:space="preserve">Contamination Must Be Prevented, Not Corrected — Cross-contamination, microbial contamination, and mix-ups must be prevented through facility design, cleaning validation, and operational controls.</w:t>
      </w:r>
    </w:p>
    <w:p>
      <w:pPr>
        <w:pStyle w:val="ListParagraph"/>
        <w:numPr>
          <w:ilvl w:val="0"/>
          <w:numId w:val="2"/>
        </w:numPr>
        <w:spacing w:after="160"/>
      </w:pPr>
      <w:r>
        <w:rPr>
          <w:rFonts w:ascii="Arial" w:cs="Arial" w:eastAsia="Arial" w:hAnsi="Arial"/>
          <w:sz w:val="24"/>
          <w:szCs w:val="24"/>
        </w:rPr>
        <w:t xml:space="preserve">Validation Proves Your Processes Work — All critical manufacturing processes must be validated to demonstrate that they consistently deliver the intended result.</w:t>
      </w:r>
    </w:p>
    <w:p>
      <w:pPr>
        <w:pStyle w:val="ListParagraph"/>
        <w:numPr>
          <w:ilvl w:val="0"/>
          <w:numId w:val="2"/>
        </w:numPr>
        <w:spacing w:after="160"/>
      </w:pPr>
      <w:r>
        <w:rPr>
          <w:rFonts w:ascii="Arial" w:cs="Arial" w:eastAsia="Arial" w:hAnsi="Arial"/>
          <w:sz w:val="24"/>
          <w:szCs w:val="24"/>
        </w:rPr>
        <w:t xml:space="preserve">Change Must Be Controlled — Any change to a validated system, process, or material must go through a formal change control procedure to prevent unintended consequences.</w:t>
      </w:r>
    </w:p>
    <w:p>
      <w:pPr>
        <w:spacing w:after="200"/>
      </w:pPr>
    </w:p>
    <w:p>
      <w:pPr>
        <w:pStyle w:val="Heading2"/>
      </w:pPr>
      <w:r>
        <w:rPr>
          <w:rFonts w:ascii="Arial" w:cs="Arial" w:eastAsia="Arial" w:hAnsi="Arial"/>
          <w:b/>
          <w:bCs/>
          <w:color w:val="2E4D7B"/>
          <w:sz w:val="28"/>
          <w:szCs w:val="28"/>
        </w:rPr>
        <w:t xml:space="preserve">Key Areas Covered by GMP</w:t>
      </w:r>
    </w:p>
    <w:p>
      <w:pPr>
        <w:spacing w:after="200"/>
      </w:pPr>
      <w:r>
        <w:rPr>
          <w:rFonts w:ascii="Arial" w:cs="Arial" w:eastAsia="Arial" w:hAnsi="Arial"/>
          <w:sz w:val="24"/>
          <w:szCs w:val="24"/>
        </w:rPr>
        <w:t xml:space="preserve">GMP regulations touch every department within a pharmaceutical manufacturing site. The main areas include:</w:t>
      </w:r>
    </w:p>
    <w:p>
      <w:pPr>
        <w:pStyle w:val="ListParagraph"/>
        <w:numPr>
          <w:ilvl w:val="0"/>
          <w:numId w:val="2"/>
        </w:numPr>
        <w:spacing w:after="160"/>
      </w:pPr>
      <w:r>
        <w:rPr>
          <w:rFonts w:ascii="Arial" w:cs="Arial" w:eastAsia="Arial" w:hAnsi="Arial"/>
          <w:b/>
          <w:bCs/>
          <w:sz w:val="24"/>
          <w:szCs w:val="24"/>
        </w:rPr>
        <w:t xml:space="preserve">Quality Management System (QMS): </w:t>
      </w:r>
      <w:r>
        <w:rPr>
          <w:rFonts w:ascii="Arial" w:cs="Arial" w:eastAsia="Arial" w:hAnsi="Arial"/>
          <w:sz w:val="24"/>
          <w:szCs w:val="24"/>
        </w:rPr>
        <w:t xml:space="preserve">A comprehensive framework that oversees all quality-related activities, including SOPs, deviations, CAPA, and management review.</w:t>
      </w:r>
    </w:p>
    <w:p>
      <w:pPr>
        <w:pStyle w:val="ListParagraph"/>
        <w:numPr>
          <w:ilvl w:val="0"/>
          <w:numId w:val="2"/>
        </w:numPr>
        <w:spacing w:after="160"/>
      </w:pPr>
      <w:r>
        <w:rPr>
          <w:rFonts w:ascii="Arial" w:cs="Arial" w:eastAsia="Arial" w:hAnsi="Arial"/>
          <w:b/>
          <w:bCs/>
          <w:sz w:val="24"/>
          <w:szCs w:val="24"/>
        </w:rPr>
        <w:t xml:space="preserve">Personnel: </w:t>
      </w:r>
      <w:r>
        <w:rPr>
          <w:rFonts w:ascii="Arial" w:cs="Arial" w:eastAsia="Arial" w:hAnsi="Arial"/>
          <w:sz w:val="24"/>
          <w:szCs w:val="24"/>
        </w:rPr>
        <w:t xml:space="preserve">Roles, responsibilities, qualifications, training records, hygiene standards, and health monitoring.</w:t>
      </w:r>
    </w:p>
    <w:p>
      <w:pPr>
        <w:pStyle w:val="ListParagraph"/>
        <w:numPr>
          <w:ilvl w:val="0"/>
          <w:numId w:val="2"/>
        </w:numPr>
        <w:spacing w:after="160"/>
      </w:pPr>
      <w:r>
        <w:rPr>
          <w:rFonts w:ascii="Arial" w:cs="Arial" w:eastAsia="Arial" w:hAnsi="Arial"/>
          <w:b/>
          <w:bCs/>
          <w:sz w:val="24"/>
          <w:szCs w:val="24"/>
        </w:rPr>
        <w:t xml:space="preserve">Premises and Equipment: </w:t>
      </w:r>
      <w:r>
        <w:rPr>
          <w:rFonts w:ascii="Arial" w:cs="Arial" w:eastAsia="Arial" w:hAnsi="Arial"/>
          <w:sz w:val="24"/>
          <w:szCs w:val="24"/>
        </w:rPr>
        <w:t xml:space="preserve">Facility design, maintenance schedules, environmental monitoring, and equipment qualification (IQ/OQ/PQ).</w:t>
      </w:r>
    </w:p>
    <w:p>
      <w:pPr>
        <w:pStyle w:val="ListParagraph"/>
        <w:numPr>
          <w:ilvl w:val="0"/>
          <w:numId w:val="2"/>
        </w:numPr>
        <w:spacing w:after="160"/>
      </w:pPr>
      <w:r>
        <w:rPr>
          <w:rFonts w:ascii="Arial" w:cs="Arial" w:eastAsia="Arial" w:hAnsi="Arial"/>
          <w:b/>
          <w:bCs/>
          <w:sz w:val="24"/>
          <w:szCs w:val="24"/>
        </w:rPr>
        <w:t xml:space="preserve">Documentation and Records: </w:t>
      </w:r>
      <w:r>
        <w:rPr>
          <w:rFonts w:ascii="Arial" w:cs="Arial" w:eastAsia="Arial" w:hAnsi="Arial"/>
          <w:sz w:val="24"/>
          <w:szCs w:val="24"/>
        </w:rPr>
        <w:t xml:space="preserve">Standard Operating Procedures (SOPs), batch records, logbooks, and audit trails — all following ALCOA+ principles.</w:t>
      </w:r>
    </w:p>
    <w:p>
      <w:pPr>
        <w:pStyle w:val="ListParagraph"/>
        <w:numPr>
          <w:ilvl w:val="0"/>
          <w:numId w:val="2"/>
        </w:numPr>
        <w:spacing w:after="160"/>
      </w:pPr>
      <w:r>
        <w:rPr>
          <w:rFonts w:ascii="Arial" w:cs="Arial" w:eastAsia="Arial" w:hAnsi="Arial"/>
          <w:b/>
          <w:bCs/>
          <w:sz w:val="24"/>
          <w:szCs w:val="24"/>
        </w:rPr>
        <w:t xml:space="preserve">Production: </w:t>
      </w:r>
      <w:r>
        <w:rPr>
          <w:rFonts w:ascii="Arial" w:cs="Arial" w:eastAsia="Arial" w:hAnsi="Arial"/>
          <w:sz w:val="24"/>
          <w:szCs w:val="24"/>
        </w:rPr>
        <w:t xml:space="preserve">Line clearance, in-process controls, batch manufacturing records, and yield reconciliation.</w:t>
      </w:r>
    </w:p>
    <w:p>
      <w:pPr>
        <w:pStyle w:val="ListParagraph"/>
        <w:numPr>
          <w:ilvl w:val="0"/>
          <w:numId w:val="2"/>
        </w:numPr>
        <w:spacing w:after="160"/>
      </w:pPr>
      <w:r>
        <w:rPr>
          <w:rFonts w:ascii="Arial" w:cs="Arial" w:eastAsia="Arial" w:hAnsi="Arial"/>
          <w:b/>
          <w:bCs/>
          <w:sz w:val="24"/>
          <w:szCs w:val="24"/>
        </w:rPr>
        <w:t xml:space="preserve">Quality Control (QC): </w:t>
      </w:r>
      <w:r>
        <w:rPr>
          <w:rFonts w:ascii="Arial" w:cs="Arial" w:eastAsia="Arial" w:hAnsi="Arial"/>
          <w:sz w:val="24"/>
          <w:szCs w:val="24"/>
        </w:rPr>
        <w:t xml:space="preserve">Testing of raw materials, in-process samples, finished products, stability studies, and reference standards.</w:t>
      </w:r>
    </w:p>
    <w:p>
      <w:pPr>
        <w:pStyle w:val="ListParagraph"/>
        <w:numPr>
          <w:ilvl w:val="0"/>
          <w:numId w:val="2"/>
        </w:numPr>
        <w:spacing w:after="160"/>
      </w:pPr>
      <w:r>
        <w:rPr>
          <w:rFonts w:ascii="Arial" w:cs="Arial" w:eastAsia="Arial" w:hAnsi="Arial"/>
          <w:b/>
          <w:bCs/>
          <w:sz w:val="24"/>
          <w:szCs w:val="24"/>
        </w:rPr>
        <w:t xml:space="preserve">Outsourced Activities: </w:t>
      </w:r>
      <w:r>
        <w:rPr>
          <w:rFonts w:ascii="Arial" w:cs="Arial" w:eastAsia="Arial" w:hAnsi="Arial"/>
          <w:sz w:val="24"/>
          <w:szCs w:val="24"/>
        </w:rPr>
        <w:t xml:space="preserve">Qualification of contract manufacturers, laboratories, and service providers.</w:t>
      </w:r>
    </w:p>
    <w:p>
      <w:pPr>
        <w:pStyle w:val="ListParagraph"/>
        <w:numPr>
          <w:ilvl w:val="0"/>
          <w:numId w:val="2"/>
        </w:numPr>
        <w:spacing w:after="160"/>
      </w:pPr>
      <w:r>
        <w:rPr>
          <w:rFonts w:ascii="Arial" w:cs="Arial" w:eastAsia="Arial" w:hAnsi="Arial"/>
          <w:b/>
          <w:bCs/>
          <w:sz w:val="24"/>
          <w:szCs w:val="24"/>
        </w:rPr>
        <w:t xml:space="preserve">Complaints and Recalls: </w:t>
      </w:r>
      <w:r>
        <w:rPr>
          <w:rFonts w:ascii="Arial" w:cs="Arial" w:eastAsia="Arial" w:hAnsi="Arial"/>
          <w:sz w:val="24"/>
          <w:szCs w:val="24"/>
        </w:rPr>
        <w:t xml:space="preserve">Systems for handling product complaints, conducting investigations, and executing market withdrawals when needed.</w:t>
      </w:r>
    </w:p>
    <w:p>
      <w:pPr>
        <w:spacing w:after="200"/>
      </w:pPr>
    </w:p>
    <w:p>
      <w:pPr>
        <w:pStyle w:val="Heading2"/>
      </w:pPr>
      <w:r>
        <w:rPr>
          <w:rFonts w:ascii="Arial" w:cs="Arial" w:eastAsia="Arial" w:hAnsi="Arial"/>
          <w:b/>
          <w:bCs/>
          <w:color w:val="2E4D7B"/>
          <w:sz w:val="28"/>
          <w:szCs w:val="28"/>
        </w:rPr>
        <w:t xml:space="preserve">Common Misconceptions About GMP</w:t>
      </w:r>
    </w:p>
    <w:p>
      <w:pPr>
        <w:pStyle w:val="ListParagraph"/>
        <w:numPr>
          <w:ilvl w:val="0"/>
          <w:numId w:val="2"/>
        </w:numPr>
        <w:spacing w:after="200"/>
      </w:pPr>
      <w:r>
        <w:rPr>
          <w:rFonts w:ascii="Arial" w:cs="Arial" w:eastAsia="Arial" w:hAnsi="Arial"/>
          <w:b/>
          <w:bCs/>
          <w:i/>
          <w:iCs/>
          <w:sz w:val="24"/>
          <w:szCs w:val="24"/>
        </w:rPr>
        <w:t xml:space="preserve">Myth: </w:t>
      </w:r>
      <w:r>
        <w:rPr>
          <w:rFonts w:ascii="Arial" w:cs="Arial" w:eastAsia="Arial" w:hAnsi="Arial"/>
          <w:i/>
          <w:iCs/>
          <w:sz w:val="24"/>
          <w:szCs w:val="24"/>
        </w:rPr>
        <w:t xml:space="preserve">GMP is only for large companies. </w:t>
      </w:r>
      <w:r>
        <w:rPr>
          <w:rFonts w:ascii="Arial" w:cs="Arial" w:eastAsia="Arial" w:hAnsi="Arial"/>
          <w:b/>
          <w:bCs/>
          <w:sz w:val="24"/>
          <w:szCs w:val="24"/>
        </w:rPr>
        <w:t xml:space="preserve">Reality: </w:t>
      </w:r>
      <w:r>
        <w:rPr>
          <w:rFonts w:ascii="Arial" w:cs="Arial" w:eastAsia="Arial" w:hAnsi="Arial"/>
          <w:sz w:val="24"/>
          <w:szCs w:val="24"/>
        </w:rPr>
        <w:t xml:space="preserve">False. GMP applies to all pharmaceutical manufacturers regardless of size — from multinational corporations to small local producers.</w:t>
      </w:r>
    </w:p>
    <w:p>
      <w:pPr>
        <w:pStyle w:val="ListParagraph"/>
        <w:numPr>
          <w:ilvl w:val="0"/>
          <w:numId w:val="2"/>
        </w:numPr>
        <w:spacing w:after="200"/>
      </w:pPr>
      <w:r>
        <w:rPr>
          <w:rFonts w:ascii="Arial" w:cs="Arial" w:eastAsia="Arial" w:hAnsi="Arial"/>
          <w:b/>
          <w:bCs/>
          <w:i/>
          <w:iCs/>
          <w:sz w:val="24"/>
          <w:szCs w:val="24"/>
        </w:rPr>
        <w:t xml:space="preserve">Myth: </w:t>
      </w:r>
      <w:r>
        <w:rPr>
          <w:rFonts w:ascii="Arial" w:cs="Arial" w:eastAsia="Arial" w:hAnsi="Arial"/>
          <w:i/>
          <w:iCs/>
          <w:sz w:val="24"/>
          <w:szCs w:val="24"/>
        </w:rPr>
        <w:t xml:space="preserve">GMP is a one-time certification. </w:t>
      </w:r>
      <w:r>
        <w:rPr>
          <w:rFonts w:ascii="Arial" w:cs="Arial" w:eastAsia="Arial" w:hAnsi="Arial"/>
          <w:b/>
          <w:bCs/>
          <w:sz w:val="24"/>
          <w:szCs w:val="24"/>
        </w:rPr>
        <w:t xml:space="preserve">Reality: </w:t>
      </w:r>
      <w:r>
        <w:rPr>
          <w:rFonts w:ascii="Arial" w:cs="Arial" w:eastAsia="Arial" w:hAnsi="Arial"/>
          <w:sz w:val="24"/>
          <w:szCs w:val="24"/>
        </w:rPr>
        <w:t xml:space="preserve">False. GMP compliance is a continuous commitment. Regulatory authorities conduct routine and unannounced inspections to verify ongoing compliance.</w:t>
      </w:r>
    </w:p>
    <w:p>
      <w:pPr>
        <w:pStyle w:val="ListParagraph"/>
        <w:numPr>
          <w:ilvl w:val="0"/>
          <w:numId w:val="2"/>
        </w:numPr>
        <w:spacing w:after="200"/>
      </w:pPr>
      <w:r>
        <w:rPr>
          <w:rFonts w:ascii="Arial" w:cs="Arial" w:eastAsia="Arial" w:hAnsi="Arial"/>
          <w:b/>
          <w:bCs/>
          <w:i/>
          <w:iCs/>
          <w:sz w:val="24"/>
          <w:szCs w:val="24"/>
        </w:rPr>
        <w:t xml:space="preserve">Myth: </w:t>
      </w:r>
      <w:r>
        <w:rPr>
          <w:rFonts w:ascii="Arial" w:cs="Arial" w:eastAsia="Arial" w:hAnsi="Arial"/>
          <w:i/>
          <w:iCs/>
          <w:sz w:val="24"/>
          <w:szCs w:val="24"/>
        </w:rPr>
        <w:t xml:space="preserve">GMP is purely a documentation exercise. </w:t>
      </w:r>
      <w:r>
        <w:rPr>
          <w:rFonts w:ascii="Arial" w:cs="Arial" w:eastAsia="Arial" w:hAnsi="Arial"/>
          <w:b/>
          <w:bCs/>
          <w:sz w:val="24"/>
          <w:szCs w:val="24"/>
        </w:rPr>
        <w:t xml:space="preserve">Reality: </w:t>
      </w:r>
      <w:r>
        <w:rPr>
          <w:rFonts w:ascii="Arial" w:cs="Arial" w:eastAsia="Arial" w:hAnsi="Arial"/>
          <w:sz w:val="24"/>
          <w:szCs w:val="24"/>
        </w:rPr>
        <w:t xml:space="preserve">False. While documentation is essential, GMP is fundamentally about operational control. Documents must reflect actual practice — and actual practice must match the documents.</w:t>
      </w:r>
    </w:p>
    <w:p>
      <w:pPr>
        <w:pStyle w:val="ListParagraph"/>
        <w:numPr>
          <w:ilvl w:val="0"/>
          <w:numId w:val="2"/>
        </w:numPr>
        <w:spacing w:after="200"/>
      </w:pPr>
      <w:r>
        <w:rPr>
          <w:rFonts w:ascii="Arial" w:cs="Arial" w:eastAsia="Arial" w:hAnsi="Arial"/>
          <w:b/>
          <w:bCs/>
          <w:i/>
          <w:iCs/>
          <w:sz w:val="24"/>
          <w:szCs w:val="24"/>
        </w:rPr>
        <w:t xml:space="preserve">Myth: </w:t>
      </w:r>
      <w:r>
        <w:rPr>
          <w:rFonts w:ascii="Arial" w:cs="Arial" w:eastAsia="Arial" w:hAnsi="Arial"/>
          <w:i/>
          <w:iCs/>
          <w:sz w:val="24"/>
          <w:szCs w:val="24"/>
        </w:rPr>
        <w:t xml:space="preserve">GMP only applies to manufacturing. </w:t>
      </w:r>
      <w:r>
        <w:rPr>
          <w:rFonts w:ascii="Arial" w:cs="Arial" w:eastAsia="Arial" w:hAnsi="Arial"/>
          <w:b/>
          <w:bCs/>
          <w:sz w:val="24"/>
          <w:szCs w:val="24"/>
        </w:rPr>
        <w:t xml:space="preserve">Reality: </w:t>
      </w:r>
      <w:r>
        <w:rPr>
          <w:rFonts w:ascii="Arial" w:cs="Arial" w:eastAsia="Arial" w:hAnsi="Arial"/>
          <w:sz w:val="24"/>
          <w:szCs w:val="24"/>
        </w:rPr>
        <w:t xml:space="preserve">False. GMP principles also extend to laboratories, warehouses, distribution centres, and even some clinical trial activities.</w:t>
      </w:r>
    </w:p>
    <w:p>
      <w:pPr>
        <w:spacing w:after="200"/>
      </w:pPr>
    </w:p>
    <w:p>
      <w:pPr>
        <w:pStyle w:val="Heading2"/>
      </w:pPr>
      <w:r>
        <w:rPr>
          <w:rFonts w:ascii="Arial" w:cs="Arial" w:eastAsia="Arial" w:hAnsi="Arial"/>
          <w:b/>
          <w:bCs/>
          <w:color w:val="2E4D7B"/>
          <w:sz w:val="28"/>
          <w:szCs w:val="28"/>
        </w:rPr>
        <w:t xml:space="preserve">Consequences of GMP Non-Compliance</w:t>
      </w:r>
    </w:p>
    <w:p>
      <w:pPr>
        <w:spacing w:after="200"/>
      </w:pPr>
      <w:r>
        <w:rPr>
          <w:rFonts w:ascii="Arial" w:cs="Arial" w:eastAsia="Arial" w:hAnsi="Arial"/>
          <w:sz w:val="24"/>
          <w:szCs w:val="24"/>
        </w:rPr>
        <w:t xml:space="preserve">The consequences of failing to comply with GMP requirements can be severe and far-reaching:</w:t>
      </w:r>
    </w:p>
    <w:p>
      <w:pPr>
        <w:pStyle w:val="ListParagraph"/>
        <w:numPr>
          <w:ilvl w:val="0"/>
          <w:numId w:val="2"/>
        </w:numPr>
        <w:spacing w:after="160"/>
      </w:pPr>
      <w:r>
        <w:rPr>
          <w:rFonts w:ascii="Arial" w:cs="Arial" w:eastAsia="Arial" w:hAnsi="Arial"/>
          <w:sz w:val="24"/>
          <w:szCs w:val="24"/>
        </w:rPr>
        <w:t xml:space="preserve">Regulatory Warning Letters — Formal notices from authorities such as the FDA, EMA, or WHO requiring urgent corrective action.</w:t>
      </w:r>
    </w:p>
    <w:p>
      <w:pPr>
        <w:pStyle w:val="ListParagraph"/>
        <w:numPr>
          <w:ilvl w:val="0"/>
          <w:numId w:val="2"/>
        </w:numPr>
        <w:spacing w:after="160"/>
      </w:pPr>
      <w:r>
        <w:rPr>
          <w:rFonts w:ascii="Arial" w:cs="Arial" w:eastAsia="Arial" w:hAnsi="Arial"/>
          <w:sz w:val="24"/>
          <w:szCs w:val="24"/>
        </w:rPr>
        <w:t xml:space="preserve">Import Bans and Export Restrictions — Products may be refused entry into markets or banned from export.</w:t>
      </w:r>
    </w:p>
    <w:p>
      <w:pPr>
        <w:pStyle w:val="ListParagraph"/>
        <w:numPr>
          <w:ilvl w:val="0"/>
          <w:numId w:val="2"/>
        </w:numPr>
        <w:spacing w:after="160"/>
      </w:pPr>
      <w:r>
        <w:rPr>
          <w:rFonts w:ascii="Arial" w:cs="Arial" w:eastAsia="Arial" w:hAnsi="Arial"/>
          <w:sz w:val="24"/>
          <w:szCs w:val="24"/>
        </w:rPr>
        <w:t xml:space="preserve">Product Recalls — Defective or non-compliant products may need to be recalled from the market at significant financial and reputational cost.</w:t>
      </w:r>
    </w:p>
    <w:p>
      <w:pPr>
        <w:pStyle w:val="ListParagraph"/>
        <w:numPr>
          <w:ilvl w:val="0"/>
          <w:numId w:val="2"/>
        </w:numPr>
        <w:spacing w:after="160"/>
      </w:pPr>
      <w:r>
        <w:rPr>
          <w:rFonts w:ascii="Arial" w:cs="Arial" w:eastAsia="Arial" w:hAnsi="Arial"/>
          <w:sz w:val="24"/>
          <w:szCs w:val="24"/>
        </w:rPr>
        <w:t xml:space="preserve">Manufacturing Site Shutdown — In severe cases, regulatory authorities can order a site to cease manufacturing operations.</w:t>
      </w:r>
    </w:p>
    <w:p>
      <w:pPr>
        <w:pStyle w:val="ListParagraph"/>
        <w:numPr>
          <w:ilvl w:val="0"/>
          <w:numId w:val="2"/>
        </w:numPr>
        <w:spacing w:after="160"/>
      </w:pPr>
      <w:r>
        <w:rPr>
          <w:rFonts w:ascii="Arial" w:cs="Arial" w:eastAsia="Arial" w:hAnsi="Arial"/>
          <w:sz w:val="24"/>
          <w:szCs w:val="24"/>
        </w:rPr>
        <w:t xml:space="preserve">Criminal Prosecution — Executives and quality personnel can face personal legal liability for serious GMP violations.</w:t>
      </w:r>
    </w:p>
    <w:p>
      <w:pPr>
        <w:pStyle w:val="ListParagraph"/>
        <w:numPr>
          <w:ilvl w:val="0"/>
          <w:numId w:val="2"/>
        </w:numPr>
        <w:spacing w:after="160"/>
      </w:pPr>
      <w:r>
        <w:rPr>
          <w:rFonts w:ascii="Arial" w:cs="Arial" w:eastAsia="Arial" w:hAnsi="Arial"/>
          <w:sz w:val="24"/>
          <w:szCs w:val="24"/>
        </w:rPr>
        <w:t xml:space="preserve">Loss of Marketing Authorisation — The right to sell a product can be revoked if the manufacturing site loses GMP certification.</w:t>
      </w:r>
    </w:p>
    <w:p>
      <w:pPr>
        <w:spacing w:after="200"/>
      </w:pPr>
    </w:p>
    <w:p>
      <w:pPr>
        <w:pStyle w:val="Heading2"/>
      </w:pPr>
      <w:r>
        <w:rPr>
          <w:rFonts w:ascii="Arial" w:cs="Arial" w:eastAsia="Arial" w:hAnsi="Arial"/>
          <w:b/>
          <w:bCs/>
          <w:color w:val="2E4D7B"/>
          <w:sz w:val="28"/>
          <w:szCs w:val="28"/>
        </w:rPr>
        <w:t xml:space="preserve">Conclusion</w:t>
      </w:r>
    </w:p>
    <w:p>
      <w:pPr>
        <w:spacing w:after="200"/>
      </w:pPr>
      <w:r>
        <w:rPr>
          <w:rFonts w:ascii="Arial" w:cs="Arial" w:eastAsia="Arial" w:hAnsi="Arial"/>
          <w:sz w:val="24"/>
          <w:szCs w:val="24"/>
        </w:rPr>
        <w:t xml:space="preserve">GMP compliance is not a burden — it is the foundation upon which patient trust, product integrity, and business sustainability are built. For any pharmaceutical professional, understanding GMP is not optional; it is the very basis of their role.</w:t>
      </w:r>
    </w:p>
    <w:p>
      <w:pPr>
        <w:spacing w:after="400"/>
      </w:pPr>
      <w:r>
        <w:rPr>
          <w:rFonts w:ascii="Arial" w:cs="Arial" w:eastAsia="Arial" w:hAnsi="Arial"/>
          <w:sz w:val="24"/>
          <w:szCs w:val="24"/>
        </w:rPr>
        <w:t xml:space="preserve">In the articles that follow, Qualizenz will break down each major area of pharmaceutical compliance — from Quality Assurance and Validation to Data Integrity and Regulatory Inspections — providing you with practical, expert knowledge you can apply immediately in your professional environment.</w:t>
      </w:r>
    </w:p>
    <w:p>
      <w:pPr>
        <w:pBdr>
          <w:top w:val="single" w:color="4B2D8E" w:sz="4" w:space="1"/>
        </w:pBdr>
        <w:spacing w:after="120" w:before="240"/>
        <w:jc w:val="center"/>
      </w:pPr>
      <w:r>
        <w:rPr>
          <w:rFonts w:ascii="Arial" w:cs="Arial" w:eastAsia="Arial" w:hAnsi="Arial"/>
          <w:b/>
          <w:bCs/>
          <w:color w:val="4B2D8E"/>
          <w:sz w:val="18"/>
          <w:szCs w:val="18"/>
        </w:rPr>
        <w:t xml:space="preserve">Qualizenz | Expert Pharmaceutical Knowledge Made Simple</w:t>
      </w:r>
    </w:p>
    <w:p>
      <w:pPr>
        <w:jc w:val="center"/>
      </w:pPr>
      <w:r>
        <w:rPr>
          <w:rFonts w:ascii="Arial" w:cs="Arial" w:eastAsia="Arial" w:hAnsi="Arial"/>
          <w:color w:val="888888"/>
          <w:sz w:val="18"/>
          <w:szCs w:val="18"/>
        </w:rPr>
        <w:t xml:space="preserve">www.qualizenz.com  |  Knowledge  |  Templates  |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4B2D8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2026-05-31T02:40:55.488Z</dcterms:created>
  <dcterms:modified xsi:type="dcterms:W3CDTF">2026-05-31T02:40:55.488Z</dcterms:modified>
</cp:coreProperties>
</file>

<file path=docProps/custom.xml><?xml version="1.0" encoding="utf-8"?>
<Properties xmlns="http://schemas.openxmlformats.org/officeDocument/2006/custom-properties" xmlns:vt="http://schemas.openxmlformats.org/officeDocument/2006/docPropsVTypes"/>
</file>