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4B2D8E"/>
          <w:sz w:val="20"/>
          <w:szCs w:val="20"/>
        </w:rPr>
        <w:t xml:space="preserve">QUALIZENZ</w:t>
      </w:r>
    </w:p>
    <w:p>
      <w:pPr>
        <w:pBdr>
          <w:bottom w:val="single" w:color="4B2D8E" w:sz="4" w:space="1"/>
        </w:pBdr>
        <w:spacing w:after="400"/>
        <w:jc w:val="center"/>
      </w:pPr>
      <w:r>
        <w:rPr>
          <w:rFonts w:ascii="Arial" w:cs="Arial" w:eastAsia="Arial" w:hAnsi="Arial"/>
          <w:i/>
          <w:iCs/>
          <w:color w:val="666666"/>
          <w:sz w:val="18"/>
          <w:szCs w:val="18"/>
        </w:rPr>
        <w:t xml:space="preserve">Expert Pharmaceutical Knowledge Made Simple</w:t>
      </w:r>
    </w:p>
    <w:p>
      <w:pPr>
        <w:spacing w:after="120"/>
        <w:jc w:val="center"/>
      </w:pPr>
      <w:r>
        <w:rPr>
          <w:rFonts w:ascii="Arial" w:cs="Arial" w:eastAsia="Arial" w:hAnsi="Arial"/>
          <w:b/>
          <w:bCs/>
          <w:color w:val="4B2D8E"/>
          <w:sz w:val="20"/>
          <w:szCs w:val="20"/>
        </w:rPr>
        <w:t xml:space="preserve">ARTICLE 2</w:t>
      </w:r>
    </w:p>
    <w:p>
      <w:pPr>
        <w:pStyle w:val="Heading1"/>
        <w:jc w:val="center"/>
      </w:pPr>
      <w:r>
        <w:rPr>
          <w:rFonts w:ascii="Arial" w:cs="Arial" w:eastAsia="Arial" w:hAnsi="Arial"/>
          <w:b/>
          <w:bCs/>
          <w:color w:val="4B2D8E"/>
          <w:sz w:val="40"/>
          <w:szCs w:val="40"/>
        </w:rPr>
        <w:t xml:space="preserve">Data Integrity in Pharmaceuticals</w:t>
      </w:r>
    </w:p>
    <w:p>
      <w:pPr>
        <w:spacing w:after="480"/>
        <w:jc w:val="center"/>
      </w:pPr>
      <w:r>
        <w:rPr>
          <w:rFonts w:ascii="Arial" w:cs="Arial" w:eastAsia="Arial" w:hAnsi="Arial"/>
          <w:i/>
          <w:iCs/>
          <w:color w:val="555555"/>
          <w:sz w:val="22"/>
          <w:szCs w:val="22"/>
        </w:rPr>
        <w:t xml:space="preserve">Understanding ALCOA+, Audit Trails, and Regulatory Expectations</w:t>
      </w:r>
    </w:p>
    <w:p>
      <w:pPr>
        <w:pStyle w:val="Heading2"/>
      </w:pPr>
      <w:r>
        <w:rPr>
          <w:rFonts w:ascii="Arial" w:cs="Arial" w:eastAsia="Arial" w:hAnsi="Arial"/>
          <w:b/>
          <w:bCs/>
          <w:color w:val="2E4D7B"/>
          <w:sz w:val="28"/>
          <w:szCs w:val="28"/>
        </w:rPr>
        <w:t xml:space="preserve">Introduction</w:t>
      </w:r>
    </w:p>
    <w:p>
      <w:pPr>
        <w:spacing w:after="200"/>
      </w:pPr>
      <w:r>
        <w:rPr>
          <w:rFonts w:ascii="Arial" w:cs="Arial" w:eastAsia="Arial" w:hAnsi="Arial"/>
          <w:sz w:val="24"/>
          <w:szCs w:val="24"/>
        </w:rPr>
        <w:t xml:space="preserve">Data integrity has become one of the most scrutinised areas of pharmaceutical compliance. Regulatory authorities worldwide — including the US FDA, UK MHRA, and WHO — have issued dedicated guidance on data integrity, and inspection findings related to data integrity failures now account for a significant proportion of all GMP observations.</w:t>
      </w:r>
    </w:p>
    <w:p>
      <w:pPr>
        <w:spacing w:after="320"/>
      </w:pPr>
      <w:r>
        <w:rPr>
          <w:rFonts w:ascii="Arial" w:cs="Arial" w:eastAsia="Arial" w:hAnsi="Arial"/>
          <w:sz w:val="24"/>
          <w:szCs w:val="24"/>
        </w:rPr>
        <w:t xml:space="preserve">Put simply: if your data cannot be trusted, your products cannot be trusted. Data integrity is not just a regulatory requirement — it is the foundation of credible science and safe medicine.</w:t>
      </w:r>
    </w:p>
    <w:p>
      <w:pPr>
        <w:pStyle w:val="Heading2"/>
      </w:pPr>
      <w:r>
        <w:rPr>
          <w:rFonts w:ascii="Arial" w:cs="Arial" w:eastAsia="Arial" w:hAnsi="Arial"/>
          <w:b/>
          <w:bCs/>
          <w:color w:val="2E4D7B"/>
          <w:sz w:val="28"/>
          <w:szCs w:val="28"/>
        </w:rPr>
        <w:t xml:space="preserve">What Is Data Integrity?</w:t>
      </w:r>
    </w:p>
    <w:p>
      <w:pPr>
        <w:spacing w:after="200"/>
      </w:pPr>
      <w:r>
        <w:rPr>
          <w:rFonts w:ascii="Arial" w:cs="Arial" w:eastAsia="Arial" w:hAnsi="Arial"/>
          <w:sz w:val="24"/>
          <w:szCs w:val="24"/>
        </w:rPr>
        <w:t xml:space="preserve">Data integrity refers to the completeness, consistency, and accuracy of data throughout its entire lifecycle — from creation and recording, through processing and use, to archiving and retrieval. In the pharmaceutical context, this applies to all GMP data: laboratory results, batch manufacturing records, equipment logs, environmental monitoring data, and electronic system records.</w:t>
      </w:r>
    </w:p>
    <w:p>
      <w:pPr>
        <w:spacing w:after="320"/>
      </w:pPr>
      <w:r>
        <w:rPr>
          <w:rFonts w:ascii="Arial" w:cs="Arial" w:eastAsia="Arial" w:hAnsi="Arial"/>
          <w:sz w:val="24"/>
          <w:szCs w:val="24"/>
        </w:rPr>
        <w:t xml:space="preserve">Compromised data integrity — whether through human error, system failures, or deliberate falsification — undermines the reliability of the entire quality system and poses direct risks to patient safety.</w:t>
      </w:r>
    </w:p>
    <w:p>
      <w:pPr>
        <w:pStyle w:val="Heading2"/>
      </w:pPr>
      <w:r>
        <w:rPr>
          <w:rFonts w:ascii="Arial" w:cs="Arial" w:eastAsia="Arial" w:hAnsi="Arial"/>
          <w:b/>
          <w:bCs/>
          <w:color w:val="2E4D7B"/>
          <w:sz w:val="28"/>
          <w:szCs w:val="28"/>
        </w:rPr>
        <w:t xml:space="preserve">The ALCOA+ Principles</w:t>
      </w:r>
    </w:p>
    <w:p>
      <w:pPr>
        <w:spacing w:after="200"/>
      </w:pPr>
      <w:r>
        <w:rPr>
          <w:rFonts w:ascii="Arial" w:cs="Arial" w:eastAsia="Arial" w:hAnsi="Arial"/>
          <w:sz w:val="24"/>
          <w:szCs w:val="24"/>
        </w:rPr>
        <w:t xml:space="preserve">The most widely recognised framework for data integrity in pharmaceuticals is ALCOA+. Originally developed by the FDA, ALCOA defines the core attributes that all GMP data must possess:</w:t>
      </w:r>
    </w:p>
    <w:p>
      <w:pPr>
        <w:pStyle w:val="ListParagraph"/>
        <w:numPr>
          <w:ilvl w:val="0"/>
          <w:numId w:val="2"/>
        </w:numPr>
        <w:spacing w:after="180"/>
      </w:pPr>
      <w:r>
        <w:rPr>
          <w:rFonts w:ascii="Arial" w:cs="Arial" w:eastAsia="Arial" w:hAnsi="Arial"/>
          <w:b/>
          <w:bCs/>
          <w:sz w:val="24"/>
          <w:szCs w:val="24"/>
        </w:rPr>
        <w:t xml:space="preserve">A — Attributable: </w:t>
      </w:r>
      <w:r>
        <w:rPr>
          <w:rFonts w:ascii="Arial" w:cs="Arial" w:eastAsia="Arial" w:hAnsi="Arial"/>
          <w:sz w:val="24"/>
          <w:szCs w:val="24"/>
        </w:rPr>
        <w:t xml:space="preserve">It must be clear who performed an action or recorded data, and when. Data entries must be signed (or electronically attributed) by the person who generated them. Anonymous data entries are not acceptable in a GMP environment.</w:t>
      </w:r>
    </w:p>
    <w:p>
      <w:pPr>
        <w:pStyle w:val="ListParagraph"/>
        <w:numPr>
          <w:ilvl w:val="0"/>
          <w:numId w:val="2"/>
        </w:numPr>
        <w:spacing w:after="180"/>
      </w:pPr>
      <w:r>
        <w:rPr>
          <w:rFonts w:ascii="Arial" w:cs="Arial" w:eastAsia="Arial" w:hAnsi="Arial"/>
          <w:b/>
          <w:bCs/>
          <w:sz w:val="24"/>
          <w:szCs w:val="24"/>
        </w:rPr>
        <w:t xml:space="preserve">L — Legible: </w:t>
      </w:r>
      <w:r>
        <w:rPr>
          <w:rFonts w:ascii="Arial" w:cs="Arial" w:eastAsia="Arial" w:hAnsi="Arial"/>
          <w:sz w:val="24"/>
          <w:szCs w:val="24"/>
        </w:rPr>
        <w:t xml:space="preserve">Data must be readable, permanent, and understandable throughout the record's retention period. Erasures, correction fluid (Tipp-Ex), or unreadable handwriting are GMP violations.</w:t>
      </w:r>
    </w:p>
    <w:p>
      <w:pPr>
        <w:pStyle w:val="ListParagraph"/>
        <w:numPr>
          <w:ilvl w:val="0"/>
          <w:numId w:val="2"/>
        </w:numPr>
        <w:spacing w:after="180"/>
      </w:pPr>
      <w:r>
        <w:rPr>
          <w:rFonts w:ascii="Arial" w:cs="Arial" w:eastAsia="Arial" w:hAnsi="Arial"/>
          <w:b/>
          <w:bCs/>
          <w:sz w:val="24"/>
          <w:szCs w:val="24"/>
        </w:rPr>
        <w:t xml:space="preserve">C — Contemporaneous: </w:t>
      </w:r>
      <w:r>
        <w:rPr>
          <w:rFonts w:ascii="Arial" w:cs="Arial" w:eastAsia="Arial" w:hAnsi="Arial"/>
          <w:sz w:val="24"/>
          <w:szCs w:val="24"/>
        </w:rPr>
        <w:t xml:space="preserve">Data must be recorded at the time the activity takes place — not reconstructed later from memory. Backdating records or completing documentation after the fact (without appropriate review) is a serious integrity violation.</w:t>
      </w:r>
    </w:p>
    <w:p>
      <w:pPr>
        <w:pStyle w:val="ListParagraph"/>
        <w:numPr>
          <w:ilvl w:val="0"/>
          <w:numId w:val="2"/>
        </w:numPr>
        <w:spacing w:after="180"/>
      </w:pPr>
      <w:r>
        <w:rPr>
          <w:rFonts w:ascii="Arial" w:cs="Arial" w:eastAsia="Arial" w:hAnsi="Arial"/>
          <w:b/>
          <w:bCs/>
          <w:sz w:val="24"/>
          <w:szCs w:val="24"/>
        </w:rPr>
        <w:t xml:space="preserve">O — Original: </w:t>
      </w:r>
      <w:r>
        <w:rPr>
          <w:rFonts w:ascii="Arial" w:cs="Arial" w:eastAsia="Arial" w:hAnsi="Arial"/>
          <w:sz w:val="24"/>
          <w:szCs w:val="24"/>
        </w:rPr>
        <w:t xml:space="preserve">The first capture of data is the original record. This may be a paper record, a printout, or an electronic file. Original records must be preserved — transcribing results from rough notes and then discarding the notes destroys the original.</w:t>
      </w:r>
    </w:p>
    <w:p>
      <w:pPr>
        <w:pStyle w:val="ListParagraph"/>
        <w:numPr>
          <w:ilvl w:val="0"/>
          <w:numId w:val="2"/>
        </w:numPr>
        <w:spacing w:after="180"/>
      </w:pPr>
      <w:r>
        <w:rPr>
          <w:rFonts w:ascii="Arial" w:cs="Arial" w:eastAsia="Arial" w:hAnsi="Arial"/>
          <w:b/>
          <w:bCs/>
          <w:sz w:val="24"/>
          <w:szCs w:val="24"/>
        </w:rPr>
        <w:t xml:space="preserve">A — Accurate: </w:t>
      </w:r>
      <w:r>
        <w:rPr>
          <w:rFonts w:ascii="Arial" w:cs="Arial" w:eastAsia="Arial" w:hAnsi="Arial"/>
          <w:sz w:val="24"/>
          <w:szCs w:val="24"/>
        </w:rPr>
        <w:t xml:space="preserve">Data must be correct, truthful, and representative of the actual observation or result. Rounding results to pass specifications, selectively reporting favourable data, or falsifying entries are critical GMP failures.</w:t>
      </w:r>
    </w:p>
    <w:p>
      <w:pPr>
        <w:spacing w:after="160"/>
      </w:pPr>
      <w:r>
        <w:rPr>
          <w:rFonts w:ascii="Arial" w:cs="Arial" w:eastAsia="Arial" w:hAnsi="Arial"/>
          <w:sz w:val="24"/>
          <w:szCs w:val="24"/>
        </w:rPr>
        <w:t xml:space="preserve">The '+' in ALCOA+ adds further attributes required in modern, complex pharmaceutical environments:</w:t>
      </w:r>
    </w:p>
    <w:p>
      <w:pPr>
        <w:pStyle w:val="ListParagraph"/>
        <w:numPr>
          <w:ilvl w:val="0"/>
          <w:numId w:val="2"/>
        </w:numPr>
        <w:spacing w:after="180"/>
      </w:pPr>
      <w:r>
        <w:rPr>
          <w:rFonts w:ascii="Arial" w:cs="Arial" w:eastAsia="Arial" w:hAnsi="Arial"/>
          <w:b/>
          <w:bCs/>
          <w:sz w:val="24"/>
          <w:szCs w:val="24"/>
        </w:rPr>
        <w:t xml:space="preserve">Complete: </w:t>
      </w:r>
      <w:r>
        <w:rPr>
          <w:rFonts w:ascii="Arial" w:cs="Arial" w:eastAsia="Arial" w:hAnsi="Arial"/>
          <w:sz w:val="24"/>
          <w:szCs w:val="24"/>
        </w:rPr>
        <w:t xml:space="preserve">All data must be included — including failed runs, invalidated results, and any out-of-specification results. Cherry-picking data is a critical violation.</w:t>
      </w:r>
    </w:p>
    <w:p>
      <w:pPr>
        <w:pStyle w:val="ListParagraph"/>
        <w:numPr>
          <w:ilvl w:val="0"/>
          <w:numId w:val="2"/>
        </w:numPr>
        <w:spacing w:after="180"/>
      </w:pPr>
      <w:r>
        <w:rPr>
          <w:rFonts w:ascii="Arial" w:cs="Arial" w:eastAsia="Arial" w:hAnsi="Arial"/>
          <w:b/>
          <w:bCs/>
          <w:sz w:val="24"/>
          <w:szCs w:val="24"/>
        </w:rPr>
        <w:t xml:space="preserve">Consistent: </w:t>
      </w:r>
      <w:r>
        <w:rPr>
          <w:rFonts w:ascii="Arial" w:cs="Arial" w:eastAsia="Arial" w:hAnsi="Arial"/>
          <w:sz w:val="24"/>
          <w:szCs w:val="24"/>
        </w:rPr>
        <w:t xml:space="preserve">Data must follow a logical, chronological sequence. Timestamps, sequences of events, and process parameters must be internally consistent.</w:t>
      </w:r>
    </w:p>
    <w:p>
      <w:pPr>
        <w:pStyle w:val="ListParagraph"/>
        <w:numPr>
          <w:ilvl w:val="0"/>
          <w:numId w:val="2"/>
        </w:numPr>
        <w:spacing w:after="180"/>
      </w:pPr>
      <w:r>
        <w:rPr>
          <w:rFonts w:ascii="Arial" w:cs="Arial" w:eastAsia="Arial" w:hAnsi="Arial"/>
          <w:b/>
          <w:bCs/>
          <w:sz w:val="24"/>
          <w:szCs w:val="24"/>
        </w:rPr>
        <w:t xml:space="preserve">Enduring: </w:t>
      </w:r>
      <w:r>
        <w:rPr>
          <w:rFonts w:ascii="Arial" w:cs="Arial" w:eastAsia="Arial" w:hAnsi="Arial"/>
          <w:sz w:val="24"/>
          <w:szCs w:val="24"/>
        </w:rPr>
        <w:t xml:space="preserve">Data must be retained in a durable form that remains legible for the required retention period (often 15–30 years for pharmaceutical records).</w:t>
      </w:r>
    </w:p>
    <w:p>
      <w:pPr>
        <w:pStyle w:val="ListParagraph"/>
        <w:numPr>
          <w:ilvl w:val="0"/>
          <w:numId w:val="2"/>
        </w:numPr>
        <w:spacing w:after="180"/>
      </w:pPr>
      <w:r>
        <w:rPr>
          <w:rFonts w:ascii="Arial" w:cs="Arial" w:eastAsia="Arial" w:hAnsi="Arial"/>
          <w:b/>
          <w:bCs/>
          <w:sz w:val="24"/>
          <w:szCs w:val="24"/>
        </w:rPr>
        <w:t xml:space="preserve">Available: </w:t>
      </w:r>
      <w:r>
        <w:rPr>
          <w:rFonts w:ascii="Arial" w:cs="Arial" w:eastAsia="Arial" w:hAnsi="Arial"/>
          <w:sz w:val="24"/>
          <w:szCs w:val="24"/>
        </w:rPr>
        <w:t xml:space="preserve">Data must be accessible whenever needed — whether for routine review, internal audits, or regulatory inspections.</w:t>
      </w:r>
    </w:p>
    <w:p>
      <w:pPr>
        <w:spacing w:after="200"/>
      </w:pPr>
    </w:p>
    <w:p>
      <w:pPr>
        <w:pStyle w:val="Heading2"/>
      </w:pPr>
      <w:r>
        <w:rPr>
          <w:rFonts w:ascii="Arial" w:cs="Arial" w:eastAsia="Arial" w:hAnsi="Arial"/>
          <w:b/>
          <w:bCs/>
          <w:color w:val="2E4D7B"/>
          <w:sz w:val="28"/>
          <w:szCs w:val="28"/>
        </w:rPr>
        <w:t xml:space="preserve">Audit Trails: The Digital Backbone of Data Integrity</w:t>
      </w:r>
    </w:p>
    <w:p>
      <w:pPr>
        <w:spacing w:after="200"/>
      </w:pPr>
      <w:r>
        <w:rPr>
          <w:rFonts w:ascii="Arial" w:cs="Arial" w:eastAsia="Arial" w:hAnsi="Arial"/>
          <w:sz w:val="24"/>
          <w:szCs w:val="24"/>
        </w:rPr>
        <w:t xml:space="preserve">An audit trail is a secure, computer-generated, time-stamped electronic record that allows reconstruction of the history of events relating to the creation, modification, or deletion of an electronic record. In GMP computerised systems, audit trails are not optional — they are mandatory.</w:t>
      </w:r>
    </w:p>
    <w:p>
      <w:pPr>
        <w:spacing w:after="200"/>
      </w:pPr>
      <w:r>
        <w:rPr>
          <w:rFonts w:ascii="Arial" w:cs="Arial" w:eastAsia="Arial" w:hAnsi="Arial"/>
          <w:sz w:val="24"/>
          <w:szCs w:val="24"/>
        </w:rPr>
        <w:t xml:space="preserve">A compliant audit trail must capture:</w:t>
      </w:r>
    </w:p>
    <w:p>
      <w:pPr>
        <w:pStyle w:val="ListParagraph"/>
        <w:numPr>
          <w:ilvl w:val="0"/>
          <w:numId w:val="2"/>
        </w:numPr>
        <w:spacing w:after="120"/>
      </w:pPr>
      <w:r>
        <w:rPr>
          <w:rFonts w:ascii="Arial" w:cs="Arial" w:eastAsia="Arial" w:hAnsi="Arial"/>
          <w:sz w:val="24"/>
          <w:szCs w:val="24"/>
        </w:rPr>
        <w:t xml:space="preserve">Who performed the action (user ID)</w:t>
      </w:r>
    </w:p>
    <w:p>
      <w:pPr>
        <w:pStyle w:val="ListParagraph"/>
        <w:numPr>
          <w:ilvl w:val="0"/>
          <w:numId w:val="2"/>
        </w:numPr>
        <w:spacing w:after="120"/>
      </w:pPr>
      <w:r>
        <w:rPr>
          <w:rFonts w:ascii="Arial" w:cs="Arial" w:eastAsia="Arial" w:hAnsi="Arial"/>
          <w:sz w:val="24"/>
          <w:szCs w:val="24"/>
        </w:rPr>
        <w:t xml:space="preserve">What action was taken (data entry, modification, or deletion)</w:t>
      </w:r>
    </w:p>
    <w:p>
      <w:pPr>
        <w:pStyle w:val="ListParagraph"/>
        <w:numPr>
          <w:ilvl w:val="0"/>
          <w:numId w:val="2"/>
        </w:numPr>
        <w:spacing w:after="120"/>
      </w:pPr>
      <w:r>
        <w:rPr>
          <w:rFonts w:ascii="Arial" w:cs="Arial" w:eastAsia="Arial" w:hAnsi="Arial"/>
          <w:sz w:val="24"/>
          <w:szCs w:val="24"/>
        </w:rPr>
        <w:t xml:space="preserve">When the action occurred (date and time stamp)</w:t>
      </w:r>
    </w:p>
    <w:p>
      <w:pPr>
        <w:pStyle w:val="ListParagraph"/>
        <w:numPr>
          <w:ilvl w:val="0"/>
          <w:numId w:val="2"/>
        </w:numPr>
        <w:spacing w:after="120"/>
      </w:pPr>
      <w:r>
        <w:rPr>
          <w:rFonts w:ascii="Arial" w:cs="Arial" w:eastAsia="Arial" w:hAnsi="Arial"/>
          <w:sz w:val="24"/>
          <w:szCs w:val="24"/>
        </w:rPr>
        <w:t xml:space="preserve">What the original value was (before any change)</w:t>
      </w:r>
    </w:p>
    <w:p>
      <w:pPr>
        <w:pStyle w:val="ListParagraph"/>
        <w:numPr>
          <w:ilvl w:val="0"/>
          <w:numId w:val="2"/>
        </w:numPr>
        <w:spacing w:after="120"/>
      </w:pPr>
      <w:r>
        <w:rPr>
          <w:rFonts w:ascii="Arial" w:cs="Arial" w:eastAsia="Arial" w:hAnsi="Arial"/>
          <w:sz w:val="24"/>
          <w:szCs w:val="24"/>
        </w:rPr>
        <w:t xml:space="preserve">The reason for any modification</w:t>
      </w:r>
    </w:p>
    <w:p>
      <w:pPr>
        <w:spacing w:after="200"/>
      </w:pPr>
    </w:p>
    <w:p>
      <w:pPr>
        <w:spacing w:after="320"/>
      </w:pPr>
      <w:r>
        <w:rPr>
          <w:rFonts w:ascii="Arial" w:cs="Arial" w:eastAsia="Arial" w:hAnsi="Arial"/>
          <w:sz w:val="24"/>
          <w:szCs w:val="24"/>
        </w:rPr>
        <w:t xml:space="preserve">Critically, audit trails must be regularly reviewed as part of the routine quality oversight process. It is not sufficient to simply have audit trails enabled — someone with appropriate authority and training must review them and investigate any anomalies.</w:t>
      </w:r>
    </w:p>
    <w:p>
      <w:pPr>
        <w:pStyle w:val="Heading2"/>
      </w:pPr>
      <w:r>
        <w:rPr>
          <w:rFonts w:ascii="Arial" w:cs="Arial" w:eastAsia="Arial" w:hAnsi="Arial"/>
          <w:b/>
          <w:bCs/>
          <w:color w:val="2E4D7B"/>
          <w:sz w:val="28"/>
          <w:szCs w:val="28"/>
        </w:rPr>
        <w:t xml:space="preserve">Common Data Integrity Failures</w:t>
      </w:r>
    </w:p>
    <w:p>
      <w:pPr>
        <w:spacing w:after="200"/>
      </w:pPr>
      <w:r>
        <w:rPr>
          <w:rFonts w:ascii="Arial" w:cs="Arial" w:eastAsia="Arial" w:hAnsi="Arial"/>
          <w:sz w:val="24"/>
          <w:szCs w:val="24"/>
        </w:rPr>
        <w:t xml:space="preserve">Regulatory inspections have identified recurring patterns of data integrity failures in pharmaceutical facilities. The most common include:</w:t>
      </w:r>
    </w:p>
    <w:p>
      <w:pPr>
        <w:pStyle w:val="ListParagraph"/>
        <w:numPr>
          <w:ilvl w:val="0"/>
          <w:numId w:val="2"/>
        </w:numPr>
        <w:spacing w:after="160"/>
      </w:pPr>
      <w:r>
        <w:rPr>
          <w:rFonts w:ascii="Arial" w:cs="Arial" w:eastAsia="Arial" w:hAnsi="Arial"/>
          <w:sz w:val="24"/>
          <w:szCs w:val="24"/>
        </w:rPr>
        <w:t xml:space="preserve">Testing into compliance — Running a test multiple times and only recording the passing result, discarding failed runs.</w:t>
      </w:r>
    </w:p>
    <w:p>
      <w:pPr>
        <w:pStyle w:val="ListParagraph"/>
        <w:numPr>
          <w:ilvl w:val="0"/>
          <w:numId w:val="2"/>
        </w:numPr>
        <w:spacing w:after="160"/>
      </w:pPr>
      <w:r>
        <w:rPr>
          <w:rFonts w:ascii="Arial" w:cs="Arial" w:eastAsia="Arial" w:hAnsi="Arial"/>
          <w:sz w:val="24"/>
          <w:szCs w:val="24"/>
        </w:rPr>
        <w:t xml:space="preserve">Backdating records — Completing logbooks, batch records, or calibration certificates after the fact with falsified timestamps.</w:t>
      </w:r>
    </w:p>
    <w:p>
      <w:pPr>
        <w:pStyle w:val="ListParagraph"/>
        <w:numPr>
          <w:ilvl w:val="0"/>
          <w:numId w:val="2"/>
        </w:numPr>
        <w:spacing w:after="160"/>
      </w:pPr>
      <w:r>
        <w:rPr>
          <w:rFonts w:ascii="Arial" w:cs="Arial" w:eastAsia="Arial" w:hAnsi="Arial"/>
          <w:sz w:val="24"/>
          <w:szCs w:val="24"/>
        </w:rPr>
        <w:t xml:space="preserve">Shared login credentials — Multiple users operating under a single computer account, making it impossible to attribute actions to individuals.</w:t>
      </w:r>
    </w:p>
    <w:p>
      <w:pPr>
        <w:pStyle w:val="ListParagraph"/>
        <w:numPr>
          <w:ilvl w:val="0"/>
          <w:numId w:val="2"/>
        </w:numPr>
        <w:spacing w:after="160"/>
      </w:pPr>
      <w:r>
        <w:rPr>
          <w:rFonts w:ascii="Arial" w:cs="Arial" w:eastAsia="Arial" w:hAnsi="Arial"/>
          <w:sz w:val="24"/>
          <w:szCs w:val="24"/>
        </w:rPr>
        <w:t xml:space="preserve">Paper record manipulation — Using correction fluid, overwriting entries, or cutting and pasting data between documents.</w:t>
      </w:r>
    </w:p>
    <w:p>
      <w:pPr>
        <w:pStyle w:val="ListParagraph"/>
        <w:numPr>
          <w:ilvl w:val="0"/>
          <w:numId w:val="2"/>
        </w:numPr>
        <w:spacing w:after="160"/>
      </w:pPr>
      <w:r>
        <w:rPr>
          <w:rFonts w:ascii="Arial" w:cs="Arial" w:eastAsia="Arial" w:hAnsi="Arial"/>
          <w:sz w:val="24"/>
          <w:szCs w:val="24"/>
        </w:rPr>
        <w:t xml:space="preserve">Disabled audit trails — Deliberately turning off electronic audit trail functions to conceal unauthorised changes.</w:t>
      </w:r>
    </w:p>
    <w:p>
      <w:pPr>
        <w:pStyle w:val="ListParagraph"/>
        <w:numPr>
          <w:ilvl w:val="0"/>
          <w:numId w:val="2"/>
        </w:numPr>
        <w:spacing w:after="160"/>
      </w:pPr>
      <w:r>
        <w:rPr>
          <w:rFonts w:ascii="Arial" w:cs="Arial" w:eastAsia="Arial" w:hAnsi="Arial"/>
          <w:sz w:val="24"/>
          <w:szCs w:val="24"/>
        </w:rPr>
        <w:t xml:space="preserve">Unofficial spreadsheets — Maintaining separate 'shadow' data files that are used for decision-making outside the official GMP system.</w:t>
      </w:r>
    </w:p>
    <w:p>
      <w:pPr>
        <w:pStyle w:val="ListParagraph"/>
        <w:numPr>
          <w:ilvl w:val="0"/>
          <w:numId w:val="2"/>
        </w:numPr>
        <w:spacing w:after="160"/>
      </w:pPr>
      <w:r>
        <w:rPr>
          <w:rFonts w:ascii="Arial" w:cs="Arial" w:eastAsia="Arial" w:hAnsi="Arial"/>
          <w:sz w:val="24"/>
          <w:szCs w:val="24"/>
        </w:rPr>
        <w:t xml:space="preserve">Selective data reporting — Including only favourable stability or analytical results in reports submitted to regulators.</w:t>
      </w:r>
    </w:p>
    <w:p>
      <w:pPr>
        <w:spacing w:after="200"/>
      </w:pPr>
    </w:p>
    <w:p>
      <w:pPr>
        <w:pStyle w:val="Heading2"/>
      </w:pPr>
      <w:r>
        <w:rPr>
          <w:rFonts w:ascii="Arial" w:cs="Arial" w:eastAsia="Arial" w:hAnsi="Arial"/>
          <w:b/>
          <w:bCs/>
          <w:color w:val="2E4D7B"/>
          <w:sz w:val="28"/>
          <w:szCs w:val="28"/>
        </w:rPr>
        <w:t xml:space="preserve">Regulatory Guidance on Data Integrity</w:t>
      </w:r>
    </w:p>
    <w:p>
      <w:pPr>
        <w:spacing w:after="200"/>
      </w:pPr>
      <w:r>
        <w:rPr>
          <w:rFonts w:ascii="Arial" w:cs="Arial" w:eastAsia="Arial" w:hAnsi="Arial"/>
          <w:sz w:val="24"/>
          <w:szCs w:val="24"/>
        </w:rPr>
        <w:t xml:space="preserve">Several major regulatory authorities have issued specific guidance on pharmaceutical data integrity:</w:t>
      </w:r>
    </w:p>
    <w:p>
      <w:pPr>
        <w:pStyle w:val="ListParagraph"/>
        <w:numPr>
          <w:ilvl w:val="0"/>
          <w:numId w:val="2"/>
        </w:numPr>
        <w:spacing w:after="160"/>
      </w:pPr>
      <w:r>
        <w:rPr>
          <w:rFonts w:ascii="Arial" w:cs="Arial" w:eastAsia="Arial" w:hAnsi="Arial"/>
          <w:b/>
          <w:bCs/>
          <w:sz w:val="24"/>
          <w:szCs w:val="24"/>
        </w:rPr>
        <w:t xml:space="preserve">WHO TRS 1019 Annex 5 (2021): </w:t>
      </w:r>
      <w:r>
        <w:rPr>
          <w:rFonts w:ascii="Arial" w:cs="Arial" w:eastAsia="Arial" w:hAnsi="Arial"/>
          <w:sz w:val="24"/>
          <w:szCs w:val="24"/>
        </w:rPr>
        <w:t xml:space="preserve">Provides global guidance on data integrity for GMP-regulated environments, covering both paper and electronic records.</w:t>
      </w:r>
    </w:p>
    <w:p>
      <w:pPr>
        <w:pStyle w:val="ListParagraph"/>
        <w:numPr>
          <w:ilvl w:val="0"/>
          <w:numId w:val="2"/>
        </w:numPr>
        <w:spacing w:after="160"/>
      </w:pPr>
      <w:r>
        <w:rPr>
          <w:rFonts w:ascii="Arial" w:cs="Arial" w:eastAsia="Arial" w:hAnsi="Arial"/>
          <w:b/>
          <w:bCs/>
          <w:sz w:val="24"/>
          <w:szCs w:val="24"/>
        </w:rPr>
        <w:t xml:space="preserve">MHRA GXP Data Integrity Guidance (2018, updated 2021): </w:t>
      </w:r>
      <w:r>
        <w:rPr>
          <w:rFonts w:ascii="Arial" w:cs="Arial" w:eastAsia="Arial" w:hAnsi="Arial"/>
          <w:sz w:val="24"/>
          <w:szCs w:val="24"/>
        </w:rPr>
        <w:t xml:space="preserve">A detailed guidance document from the UK's medicines regulator, widely referenced internationally.</w:t>
      </w:r>
    </w:p>
    <w:p>
      <w:pPr>
        <w:pStyle w:val="ListParagraph"/>
        <w:numPr>
          <w:ilvl w:val="0"/>
          <w:numId w:val="2"/>
        </w:numPr>
        <w:spacing w:after="160"/>
      </w:pPr>
      <w:r>
        <w:rPr>
          <w:rFonts w:ascii="Arial" w:cs="Arial" w:eastAsia="Arial" w:hAnsi="Arial"/>
          <w:b/>
          <w:bCs/>
          <w:sz w:val="24"/>
          <w:szCs w:val="24"/>
        </w:rPr>
        <w:t xml:space="preserve">FDA Guidance on Data Integrity and cGMP Compliance (2018): </w:t>
      </w:r>
      <w:r>
        <w:rPr>
          <w:rFonts w:ascii="Arial" w:cs="Arial" w:eastAsia="Arial" w:hAnsi="Arial"/>
          <w:sz w:val="24"/>
          <w:szCs w:val="24"/>
        </w:rPr>
        <w:t xml:space="preserve">Focuses on ensuring the reliability of records submitted to the FDA and maintained by manufacturers.</w:t>
      </w:r>
    </w:p>
    <w:p>
      <w:pPr>
        <w:pStyle w:val="ListParagraph"/>
        <w:numPr>
          <w:ilvl w:val="0"/>
          <w:numId w:val="2"/>
        </w:numPr>
        <w:spacing w:after="160"/>
      </w:pPr>
      <w:r>
        <w:rPr>
          <w:rFonts w:ascii="Arial" w:cs="Arial" w:eastAsia="Arial" w:hAnsi="Arial"/>
          <w:b/>
          <w:bCs/>
          <w:sz w:val="24"/>
          <w:szCs w:val="24"/>
        </w:rPr>
        <w:t xml:space="preserve">EMA Reflection Paper on Expectations for Electronic Source Data (2010): </w:t>
      </w:r>
      <w:r>
        <w:rPr>
          <w:rFonts w:ascii="Arial" w:cs="Arial" w:eastAsia="Arial" w:hAnsi="Arial"/>
          <w:sz w:val="24"/>
          <w:szCs w:val="24"/>
        </w:rPr>
        <w:t xml:space="preserve">Addresses data integrity expectations for computerised systems in clinical and GMP environments.</w:t>
      </w:r>
    </w:p>
    <w:p>
      <w:pPr>
        <w:pStyle w:val="ListParagraph"/>
        <w:numPr>
          <w:ilvl w:val="0"/>
          <w:numId w:val="2"/>
        </w:numPr>
        <w:spacing w:after="160"/>
      </w:pPr>
      <w:r>
        <w:rPr>
          <w:rFonts w:ascii="Arial" w:cs="Arial" w:eastAsia="Arial" w:hAnsi="Arial"/>
          <w:b/>
          <w:bCs/>
          <w:sz w:val="24"/>
          <w:szCs w:val="24"/>
        </w:rPr>
        <w:t xml:space="preserve">PIC/S PI 041-1 (2021): </w:t>
      </w:r>
      <w:r>
        <w:rPr>
          <w:rFonts w:ascii="Arial" w:cs="Arial" w:eastAsia="Arial" w:hAnsi="Arial"/>
          <w:sz w:val="24"/>
          <w:szCs w:val="24"/>
        </w:rPr>
        <w:t xml:space="preserve">A harmonised guidance document used by over 50 PIC/S member countries.</w:t>
      </w:r>
    </w:p>
    <w:p>
      <w:pPr>
        <w:spacing w:after="200"/>
      </w:pPr>
    </w:p>
    <w:p>
      <w:pPr>
        <w:pStyle w:val="Heading2"/>
      </w:pPr>
      <w:r>
        <w:rPr>
          <w:rFonts w:ascii="Arial" w:cs="Arial" w:eastAsia="Arial" w:hAnsi="Arial"/>
          <w:b/>
          <w:bCs/>
          <w:color w:val="2E4D7B"/>
          <w:sz w:val="28"/>
          <w:szCs w:val="28"/>
        </w:rPr>
        <w:t xml:space="preserve">Building a Data Integrity Culture</w:t>
      </w:r>
    </w:p>
    <w:p>
      <w:pPr>
        <w:spacing w:after="200"/>
      </w:pPr>
      <w:r>
        <w:rPr>
          <w:rFonts w:ascii="Arial" w:cs="Arial" w:eastAsia="Arial" w:hAnsi="Arial"/>
          <w:sz w:val="24"/>
          <w:szCs w:val="24"/>
        </w:rPr>
        <w:t xml:space="preserve">Sustainable data integrity cannot be achieved through controls and systems alone. It requires a genuine quality culture where every employee understands the importance of honest, accurate data — and feels safe to report errors without fear of blame.</w:t>
      </w:r>
    </w:p>
    <w:p>
      <w:pPr>
        <w:spacing w:after="200"/>
      </w:pPr>
      <w:r>
        <w:rPr>
          <w:rFonts w:ascii="Arial" w:cs="Arial" w:eastAsia="Arial" w:hAnsi="Arial"/>
          <w:sz w:val="24"/>
          <w:szCs w:val="24"/>
        </w:rPr>
        <w:t xml:space="preserve">Key steps to building a data integrity culture include:</w:t>
      </w:r>
    </w:p>
    <w:p>
      <w:pPr>
        <w:pStyle w:val="ListParagraph"/>
        <w:numPr>
          <w:ilvl w:val="0"/>
          <w:numId w:val="2"/>
        </w:numPr>
        <w:spacing w:after="160"/>
      </w:pPr>
      <w:r>
        <w:rPr>
          <w:rFonts w:ascii="Arial" w:cs="Arial" w:eastAsia="Arial" w:hAnsi="Arial"/>
          <w:sz w:val="24"/>
          <w:szCs w:val="24"/>
        </w:rPr>
        <w:t xml:space="preserve">Leadership commitment — Senior management must visibly demonstrate that data integrity is non-negotiable, and that commercial pressures will never override quality standards.</w:t>
      </w:r>
    </w:p>
    <w:p>
      <w:pPr>
        <w:pStyle w:val="ListParagraph"/>
        <w:numPr>
          <w:ilvl w:val="0"/>
          <w:numId w:val="2"/>
        </w:numPr>
        <w:spacing w:after="160"/>
      </w:pPr>
      <w:r>
        <w:rPr>
          <w:rFonts w:ascii="Arial" w:cs="Arial" w:eastAsia="Arial" w:hAnsi="Arial"/>
          <w:sz w:val="24"/>
          <w:szCs w:val="24"/>
        </w:rPr>
        <w:t xml:space="preserve">Regular training — All GMP staff must be trained on data integrity principles, with practical examples relevant to their specific roles.</w:t>
      </w:r>
    </w:p>
    <w:p>
      <w:pPr>
        <w:pStyle w:val="ListParagraph"/>
        <w:numPr>
          <w:ilvl w:val="0"/>
          <w:numId w:val="2"/>
        </w:numPr>
        <w:spacing w:after="160"/>
      </w:pPr>
      <w:r>
        <w:rPr>
          <w:rFonts w:ascii="Arial" w:cs="Arial" w:eastAsia="Arial" w:hAnsi="Arial"/>
          <w:sz w:val="24"/>
          <w:szCs w:val="24"/>
        </w:rPr>
        <w:t xml:space="preserve">Anonymous reporting systems — Employees must have a safe mechanism to report data integrity concerns without fear of retaliation.</w:t>
      </w:r>
    </w:p>
    <w:p>
      <w:pPr>
        <w:pStyle w:val="ListParagraph"/>
        <w:numPr>
          <w:ilvl w:val="0"/>
          <w:numId w:val="2"/>
        </w:numPr>
        <w:spacing w:after="160"/>
      </w:pPr>
      <w:r>
        <w:rPr>
          <w:rFonts w:ascii="Arial" w:cs="Arial" w:eastAsia="Arial" w:hAnsi="Arial"/>
          <w:sz w:val="24"/>
          <w:szCs w:val="24"/>
        </w:rPr>
        <w:t xml:space="preserve">Routine data review — Quality Assurance must regularly review audit trails, laboratory data, and production records as a proactive control.</w:t>
      </w:r>
    </w:p>
    <w:p>
      <w:pPr>
        <w:pStyle w:val="ListParagraph"/>
        <w:numPr>
          <w:ilvl w:val="0"/>
          <w:numId w:val="2"/>
        </w:numPr>
        <w:spacing w:after="160"/>
      </w:pPr>
      <w:r>
        <w:rPr>
          <w:rFonts w:ascii="Arial" w:cs="Arial" w:eastAsia="Arial" w:hAnsi="Arial"/>
          <w:sz w:val="24"/>
          <w:szCs w:val="24"/>
        </w:rPr>
        <w:t xml:space="preserve">Root cause investigation — All data integrity deviations must be thoroughly investigated, with appropriate corrective actions implemented.</w:t>
      </w:r>
    </w:p>
    <w:p>
      <w:pPr>
        <w:pStyle w:val="ListParagraph"/>
        <w:numPr>
          <w:ilvl w:val="0"/>
          <w:numId w:val="2"/>
        </w:numPr>
        <w:spacing w:after="160"/>
      </w:pPr>
      <w:r>
        <w:rPr>
          <w:rFonts w:ascii="Arial" w:cs="Arial" w:eastAsia="Arial" w:hAnsi="Arial"/>
          <w:sz w:val="24"/>
          <w:szCs w:val="24"/>
        </w:rPr>
        <w:t xml:space="preserve">Computerised system validation — All computer systems used in GMP activities must be validated, with appropriate access controls and audit trail functions in place.</w:t>
      </w:r>
    </w:p>
    <w:p>
      <w:pPr>
        <w:spacing w:after="200"/>
      </w:pPr>
    </w:p>
    <w:p>
      <w:pPr>
        <w:pStyle w:val="Heading2"/>
      </w:pPr>
      <w:r>
        <w:rPr>
          <w:rFonts w:ascii="Arial" w:cs="Arial" w:eastAsia="Arial" w:hAnsi="Arial"/>
          <w:b/>
          <w:bCs/>
          <w:color w:val="2E4D7B"/>
          <w:sz w:val="28"/>
          <w:szCs w:val="28"/>
        </w:rPr>
        <w:t xml:space="preserve">Conclusion</w:t>
      </w:r>
    </w:p>
    <w:p>
      <w:pPr>
        <w:spacing w:after="200"/>
      </w:pPr>
      <w:r>
        <w:rPr>
          <w:rFonts w:ascii="Arial" w:cs="Arial" w:eastAsia="Arial" w:hAnsi="Arial"/>
          <w:sz w:val="24"/>
          <w:szCs w:val="24"/>
        </w:rPr>
        <w:t xml:space="preserve">Data integrity is not a technical exercise confined to the IT or QC department — it is a company-wide commitment to honesty, accuracy, and transparency. In an industry where the reliability of data directly impacts patient safety, there is no room for compromise.</w:t>
      </w:r>
    </w:p>
    <w:p>
      <w:pPr>
        <w:spacing w:after="400"/>
      </w:pPr>
      <w:r>
        <w:rPr>
          <w:rFonts w:ascii="Arial" w:cs="Arial" w:eastAsia="Arial" w:hAnsi="Arial"/>
          <w:sz w:val="24"/>
          <w:szCs w:val="24"/>
        </w:rPr>
        <w:t xml:space="preserve">Organisations that embed data integrity into their daily culture — rather than treating it as a compliance requirement to be managed — will be better placed to pass regulatory inspections, protect their reputation, and above all, protect their patients.</w:t>
      </w:r>
    </w:p>
    <w:p>
      <w:pPr>
        <w:pBdr>
          <w:top w:val="single" w:color="4B2D8E" w:sz="4" w:space="1"/>
        </w:pBdr>
        <w:spacing w:after="120" w:before="240"/>
        <w:jc w:val="center"/>
      </w:pPr>
      <w:r>
        <w:rPr>
          <w:rFonts w:ascii="Arial" w:cs="Arial" w:eastAsia="Arial" w:hAnsi="Arial"/>
          <w:b/>
          <w:bCs/>
          <w:color w:val="4B2D8E"/>
          <w:sz w:val="18"/>
          <w:szCs w:val="18"/>
        </w:rPr>
        <w:t xml:space="preserve">Qualizenz | Expert Pharmaceutical Knowledge Made Simple</w:t>
      </w:r>
    </w:p>
    <w:p>
      <w:pPr>
        <w:jc w:val="center"/>
      </w:pPr>
      <w:r>
        <w:rPr>
          <w:rFonts w:ascii="Arial" w:cs="Arial" w:eastAsia="Arial" w:hAnsi="Arial"/>
          <w:color w:val="888888"/>
          <w:sz w:val="18"/>
          <w:szCs w:val="18"/>
        </w:rPr>
        <w:t xml:space="preserve">www.qualizenz.com  |  Knowledge  |  Templates  |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4B2D8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A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2026-05-31T02:42:07.689Z</dcterms:created>
  <dcterms:modified xsi:type="dcterms:W3CDTF">2026-05-31T02:42:07.690Z</dcterms:modified>
</cp:coreProperties>
</file>

<file path=docProps/custom.xml><?xml version="1.0" encoding="utf-8"?>
<Properties xmlns="http://schemas.openxmlformats.org/officeDocument/2006/custom-properties" xmlns:vt="http://schemas.openxmlformats.org/officeDocument/2006/docPropsVTypes"/>
</file>