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3</w:t>
      </w:r>
    </w:p>
    <w:p>
      <w:pPr>
        <w:pStyle w:val="Heading1"/>
        <w:jc w:val="center"/>
      </w:pPr>
      <w:r>
        <w:rPr>
          <w:rFonts w:ascii="Arial" w:cs="Arial" w:eastAsia="Arial" w:hAnsi="Arial"/>
          <w:b/>
          <w:bCs/>
          <w:color w:val="4B2D8E"/>
          <w:sz w:val="40"/>
          <w:szCs w:val="40"/>
        </w:rPr>
        <w:t xml:space="preserve">Pharmaceutical Validation</w:t>
      </w:r>
    </w:p>
    <w:p>
      <w:pPr>
        <w:spacing w:after="480"/>
        <w:jc w:val="center"/>
      </w:pPr>
      <w:r>
        <w:rPr>
          <w:rFonts w:ascii="Arial" w:cs="Arial" w:eastAsia="Arial" w:hAnsi="Arial"/>
          <w:i/>
          <w:iCs/>
          <w:color w:val="555555"/>
          <w:sz w:val="22"/>
          <w:szCs w:val="22"/>
        </w:rPr>
        <w:t xml:space="preserve">Proving That Your Processes Work — Every Time</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In pharmaceutical manufacturing, it is not enough to simply follow a procedure and hope the product meets its specifications. Regulators require documented scientific evidence that a process will consistently deliver the intended result — every time, under defined conditions. This evidence is provided through validation.</w:t>
      </w:r>
    </w:p>
    <w:p>
      <w:pPr>
        <w:spacing w:after="320"/>
      </w:pPr>
      <w:r>
        <w:rPr>
          <w:rFonts w:ascii="Arial" w:cs="Arial" w:eastAsia="Arial" w:hAnsi="Arial"/>
          <w:sz w:val="24"/>
          <w:szCs w:val="24"/>
        </w:rPr>
        <w:t xml:space="preserve">Validation is one of the most resource-intensive and technically demanding aspects of GMP compliance. Yet when executed correctly, it provides manufacturers with confidence in their processes, reduces the risk of product failures, and forms the basis of a credible regulatory submission.</w:t>
      </w:r>
    </w:p>
    <w:p>
      <w:pPr>
        <w:pStyle w:val="Heading2"/>
      </w:pPr>
      <w:r>
        <w:rPr>
          <w:rFonts w:ascii="Arial" w:cs="Arial" w:eastAsia="Arial" w:hAnsi="Arial"/>
          <w:b/>
          <w:bCs/>
          <w:color w:val="2E4D7B"/>
          <w:sz w:val="28"/>
          <w:szCs w:val="28"/>
        </w:rPr>
        <w:t xml:space="preserve">What Is Validation?</w:t>
      </w:r>
    </w:p>
    <w:p>
      <w:pPr>
        <w:spacing w:after="200"/>
      </w:pPr>
      <w:r>
        <w:rPr>
          <w:rFonts w:ascii="Arial" w:cs="Arial" w:eastAsia="Arial" w:hAnsi="Arial"/>
          <w:sz w:val="24"/>
          <w:szCs w:val="24"/>
        </w:rPr>
        <w:t xml:space="preserve">Validation is defined as the documented programme that provides a high degree of assurance that a specific process, method, or system will consistently produce a result meeting its predetermined acceptance criteria.</w:t>
      </w:r>
    </w:p>
    <w:p>
      <w:pPr>
        <w:spacing w:after="200"/>
      </w:pPr>
      <w:r>
        <w:rPr>
          <w:rFonts w:ascii="Arial" w:cs="Arial" w:eastAsia="Arial" w:hAnsi="Arial"/>
          <w:sz w:val="24"/>
          <w:szCs w:val="24"/>
        </w:rPr>
        <w:t xml:space="preserve">This definition contains three critical elements:</w:t>
      </w:r>
    </w:p>
    <w:p>
      <w:pPr>
        <w:pStyle w:val="ListParagraph"/>
        <w:numPr>
          <w:ilvl w:val="0"/>
          <w:numId w:val="2"/>
        </w:numPr>
        <w:spacing w:after="160"/>
      </w:pPr>
      <w:r>
        <w:rPr>
          <w:rFonts w:ascii="Arial" w:cs="Arial" w:eastAsia="Arial" w:hAnsi="Arial"/>
          <w:b/>
          <w:bCs/>
          <w:sz w:val="24"/>
          <w:szCs w:val="24"/>
        </w:rPr>
        <w:t xml:space="preserve">Documented: </w:t>
      </w:r>
      <w:r>
        <w:rPr>
          <w:rFonts w:ascii="Arial" w:cs="Arial" w:eastAsia="Arial" w:hAnsi="Arial"/>
          <w:sz w:val="24"/>
          <w:szCs w:val="24"/>
        </w:rPr>
        <w:t xml:space="preserve">Validation is not an informal activity. Every step — protocols, test results, deviations, and conclusions — must be formally documented and reviewed.</w:t>
      </w:r>
    </w:p>
    <w:p>
      <w:pPr>
        <w:pStyle w:val="ListParagraph"/>
        <w:numPr>
          <w:ilvl w:val="0"/>
          <w:numId w:val="2"/>
        </w:numPr>
        <w:spacing w:after="160"/>
      </w:pPr>
      <w:r>
        <w:rPr>
          <w:rFonts w:ascii="Arial" w:cs="Arial" w:eastAsia="Arial" w:hAnsi="Arial"/>
          <w:b/>
          <w:bCs/>
          <w:sz w:val="24"/>
          <w:szCs w:val="24"/>
        </w:rPr>
        <w:t xml:space="preserve">Consistent: </w:t>
      </w:r>
      <w:r>
        <w:rPr>
          <w:rFonts w:ascii="Arial" w:cs="Arial" w:eastAsia="Arial" w:hAnsi="Arial"/>
          <w:sz w:val="24"/>
          <w:szCs w:val="24"/>
        </w:rPr>
        <w:t xml:space="preserve">A single successful run is not sufficient. Validation must demonstrate repeatability across multiple runs under defined conditions.</w:t>
      </w:r>
    </w:p>
    <w:p>
      <w:pPr>
        <w:pStyle w:val="ListParagraph"/>
        <w:numPr>
          <w:ilvl w:val="0"/>
          <w:numId w:val="2"/>
        </w:numPr>
        <w:spacing w:after="160"/>
      </w:pPr>
      <w:r>
        <w:rPr>
          <w:rFonts w:ascii="Arial" w:cs="Arial" w:eastAsia="Arial" w:hAnsi="Arial"/>
          <w:b/>
          <w:bCs/>
          <w:sz w:val="24"/>
          <w:szCs w:val="24"/>
        </w:rPr>
        <w:t xml:space="preserve">Predetermined acceptance criteria: </w:t>
      </w:r>
      <w:r>
        <w:rPr>
          <w:rFonts w:ascii="Arial" w:cs="Arial" w:eastAsia="Arial" w:hAnsi="Arial"/>
          <w:sz w:val="24"/>
          <w:szCs w:val="24"/>
        </w:rPr>
        <w:t xml:space="preserve">The standards for success must be defined before testing begins — not adjusted after the fact to accommodate unexpected results.</w:t>
      </w:r>
    </w:p>
    <w:p>
      <w:pPr>
        <w:spacing w:after="200"/>
      </w:pPr>
    </w:p>
    <w:p>
      <w:pPr>
        <w:pStyle w:val="Heading2"/>
      </w:pPr>
      <w:r>
        <w:rPr>
          <w:rFonts w:ascii="Arial" w:cs="Arial" w:eastAsia="Arial" w:hAnsi="Arial"/>
          <w:b/>
          <w:bCs/>
          <w:color w:val="2E4D7B"/>
          <w:sz w:val="28"/>
          <w:szCs w:val="28"/>
        </w:rPr>
        <w:t xml:space="preserve">Types of Validation in Pharmaceuticals</w:t>
      </w:r>
    </w:p>
    <w:p>
      <w:pPr>
        <w:pStyle w:val="Heading3"/>
      </w:pPr>
      <w:r>
        <w:rPr>
          <w:rFonts w:ascii="Arial" w:cs="Arial" w:eastAsia="Arial" w:hAnsi="Arial"/>
          <w:b/>
          <w:bCs/>
          <w:color w:val="1A6B3C"/>
          <w:sz w:val="24"/>
          <w:szCs w:val="24"/>
        </w:rPr>
        <w:t xml:space="preserve">1. Process Validation</w:t>
      </w:r>
    </w:p>
    <w:p>
      <w:pPr>
        <w:spacing w:after="200"/>
      </w:pPr>
      <w:r>
        <w:rPr>
          <w:rFonts w:ascii="Arial" w:cs="Arial" w:eastAsia="Arial" w:hAnsi="Arial"/>
          <w:sz w:val="24"/>
          <w:szCs w:val="24"/>
        </w:rPr>
        <w:t xml:space="preserve">Process validation establishes documented evidence that a manufacturing process, operated within established parameters, consistently produces a product meeting its predetermined specifications and quality attributes. The FDA's 2011 Process Validation Guidance introduced a lifecycle approach with three stages:</w:t>
      </w:r>
    </w:p>
    <w:p>
      <w:pPr>
        <w:pStyle w:val="ListParagraph"/>
        <w:numPr>
          <w:ilvl w:val="0"/>
          <w:numId w:val="2"/>
        </w:numPr>
        <w:spacing w:after="160"/>
      </w:pPr>
      <w:r>
        <w:rPr>
          <w:rFonts w:ascii="Arial" w:cs="Arial" w:eastAsia="Arial" w:hAnsi="Arial"/>
          <w:b/>
          <w:bCs/>
          <w:sz w:val="24"/>
          <w:szCs w:val="24"/>
        </w:rPr>
        <w:t xml:space="preserve">Stage 1 — Process Design: </w:t>
      </w:r>
      <w:r>
        <w:rPr>
          <w:rFonts w:ascii="Arial" w:cs="Arial" w:eastAsia="Arial" w:hAnsi="Arial"/>
          <w:sz w:val="24"/>
          <w:szCs w:val="24"/>
        </w:rPr>
        <w:t xml:space="preserve">The manufacturing process is defined based on knowledge gained during development and scale-up. Critical Quality Attributes (CQAs) and Critical Process Parameters (CPPs) are identified.</w:t>
      </w:r>
    </w:p>
    <w:p>
      <w:pPr>
        <w:pStyle w:val="ListParagraph"/>
        <w:numPr>
          <w:ilvl w:val="0"/>
          <w:numId w:val="2"/>
        </w:numPr>
        <w:spacing w:after="160"/>
      </w:pPr>
      <w:r>
        <w:rPr>
          <w:rFonts w:ascii="Arial" w:cs="Arial" w:eastAsia="Arial" w:hAnsi="Arial"/>
          <w:b/>
          <w:bCs/>
          <w:sz w:val="24"/>
          <w:szCs w:val="24"/>
        </w:rPr>
        <w:t xml:space="preserve">Stage 2 — Process Performance Qualification (PPQ): </w:t>
      </w:r>
      <w:r>
        <w:rPr>
          <w:rFonts w:ascii="Arial" w:cs="Arial" w:eastAsia="Arial" w:hAnsi="Arial"/>
          <w:sz w:val="24"/>
          <w:szCs w:val="24"/>
        </w:rPr>
        <w:t xml:space="preserve">The process design is evaluated under commercial manufacturing conditions to confirm it is reproducible. Typically performed over three or more consecutive batches.</w:t>
      </w:r>
    </w:p>
    <w:p>
      <w:pPr>
        <w:pStyle w:val="ListParagraph"/>
        <w:numPr>
          <w:ilvl w:val="0"/>
          <w:numId w:val="2"/>
        </w:numPr>
        <w:spacing w:after="160"/>
      </w:pPr>
      <w:r>
        <w:rPr>
          <w:rFonts w:ascii="Arial" w:cs="Arial" w:eastAsia="Arial" w:hAnsi="Arial"/>
          <w:b/>
          <w:bCs/>
          <w:sz w:val="24"/>
          <w:szCs w:val="24"/>
        </w:rPr>
        <w:t xml:space="preserve">Stage 3 — Continued Process Verification: </w:t>
      </w:r>
      <w:r>
        <w:rPr>
          <w:rFonts w:ascii="Arial" w:cs="Arial" w:eastAsia="Arial" w:hAnsi="Arial"/>
          <w:sz w:val="24"/>
          <w:szCs w:val="24"/>
        </w:rPr>
        <w:t xml:space="preserve">Ongoing monitoring during routine production to ensure the process remains in a state of control. Uses statistical process control and trend analysis.</w:t>
      </w:r>
    </w:p>
    <w:p>
      <w:pPr>
        <w:spacing w:after="200"/>
      </w:pPr>
    </w:p>
    <w:p>
      <w:pPr>
        <w:pStyle w:val="Heading3"/>
      </w:pPr>
      <w:r>
        <w:rPr>
          <w:rFonts w:ascii="Arial" w:cs="Arial" w:eastAsia="Arial" w:hAnsi="Arial"/>
          <w:b/>
          <w:bCs/>
          <w:color w:val="1A6B3C"/>
          <w:sz w:val="24"/>
          <w:szCs w:val="24"/>
        </w:rPr>
        <w:t xml:space="preserve">2. Cleaning Validation</w:t>
      </w:r>
    </w:p>
    <w:p>
      <w:pPr>
        <w:spacing w:after="200"/>
      </w:pPr>
      <w:r>
        <w:rPr>
          <w:rFonts w:ascii="Arial" w:cs="Arial" w:eastAsia="Arial" w:hAnsi="Arial"/>
          <w:sz w:val="24"/>
          <w:szCs w:val="24"/>
        </w:rPr>
        <w:t xml:space="preserve">Cleaning validation demonstrates that the cleaning procedures for manufacturing equipment effectively remove residues of the product, cleaning agents, and potential microbial contamination to acceptable levels. It is particularly critical in multi-product facilities where cross-contamination between products could have serious safety consequences.</w:t>
      </w:r>
    </w:p>
    <w:p>
      <w:pPr>
        <w:spacing w:after="200"/>
      </w:pPr>
      <w:r>
        <w:rPr>
          <w:rFonts w:ascii="Arial" w:cs="Arial" w:eastAsia="Arial" w:hAnsi="Arial"/>
          <w:sz w:val="24"/>
          <w:szCs w:val="24"/>
        </w:rPr>
        <w:t xml:space="preserve">Key elements of cleaning validation include:</w:t>
      </w:r>
    </w:p>
    <w:p>
      <w:pPr>
        <w:pStyle w:val="ListParagraph"/>
        <w:numPr>
          <w:ilvl w:val="0"/>
          <w:numId w:val="2"/>
        </w:numPr>
        <w:spacing w:after="120"/>
      </w:pPr>
      <w:r>
        <w:rPr>
          <w:rFonts w:ascii="Arial" w:cs="Arial" w:eastAsia="Arial" w:hAnsi="Arial"/>
          <w:sz w:val="24"/>
          <w:szCs w:val="24"/>
        </w:rPr>
        <w:t xml:space="preserve">Selection of a 'worst-case' product (based on solubility, toxicity, and equipment contact surface area)</w:t>
      </w:r>
    </w:p>
    <w:p>
      <w:pPr>
        <w:pStyle w:val="ListParagraph"/>
        <w:numPr>
          <w:ilvl w:val="0"/>
          <w:numId w:val="2"/>
        </w:numPr>
        <w:spacing w:after="120"/>
      </w:pPr>
      <w:r>
        <w:rPr>
          <w:rFonts w:ascii="Arial" w:cs="Arial" w:eastAsia="Arial" w:hAnsi="Arial"/>
          <w:sz w:val="24"/>
          <w:szCs w:val="24"/>
        </w:rPr>
        <w:t xml:space="preserve">Determination of acceptance limits (often based on maximum allowable carryover — MACO — calculations)</w:t>
      </w:r>
    </w:p>
    <w:p>
      <w:pPr>
        <w:pStyle w:val="ListParagraph"/>
        <w:numPr>
          <w:ilvl w:val="0"/>
          <w:numId w:val="2"/>
        </w:numPr>
        <w:spacing w:after="120"/>
      </w:pPr>
      <w:r>
        <w:rPr>
          <w:rFonts w:ascii="Arial" w:cs="Arial" w:eastAsia="Arial" w:hAnsi="Arial"/>
          <w:sz w:val="24"/>
          <w:szCs w:val="24"/>
        </w:rPr>
        <w:t xml:space="preserve">Sampling methods: rinse samples and direct surface swabs</w:t>
      </w:r>
    </w:p>
    <w:p>
      <w:pPr>
        <w:pStyle w:val="ListParagraph"/>
        <w:numPr>
          <w:ilvl w:val="0"/>
          <w:numId w:val="2"/>
        </w:numPr>
        <w:spacing w:after="120"/>
      </w:pPr>
      <w:r>
        <w:rPr>
          <w:rFonts w:ascii="Arial" w:cs="Arial" w:eastAsia="Arial" w:hAnsi="Arial"/>
          <w:sz w:val="24"/>
          <w:szCs w:val="24"/>
        </w:rPr>
        <w:t xml:space="preserve">Analytical methods validated for specificity and sensitivity at the required limit of detection</w:t>
      </w:r>
    </w:p>
    <w:p>
      <w:pPr>
        <w:pStyle w:val="ListParagraph"/>
        <w:numPr>
          <w:ilvl w:val="0"/>
          <w:numId w:val="2"/>
        </w:numPr>
        <w:spacing w:after="120"/>
      </w:pPr>
      <w:r>
        <w:rPr>
          <w:rFonts w:ascii="Arial" w:cs="Arial" w:eastAsia="Arial" w:hAnsi="Arial"/>
          <w:sz w:val="24"/>
          <w:szCs w:val="24"/>
        </w:rPr>
        <w:t xml:space="preserve">Assessment of cleaning procedure reproducibility across multiple cleaning cycles</w:t>
      </w:r>
    </w:p>
    <w:p>
      <w:pPr>
        <w:spacing w:after="200"/>
      </w:pPr>
    </w:p>
    <w:p>
      <w:pPr>
        <w:pStyle w:val="Heading3"/>
      </w:pPr>
      <w:r>
        <w:rPr>
          <w:rFonts w:ascii="Arial" w:cs="Arial" w:eastAsia="Arial" w:hAnsi="Arial"/>
          <w:b/>
          <w:bCs/>
          <w:color w:val="1A6B3C"/>
          <w:sz w:val="24"/>
          <w:szCs w:val="24"/>
        </w:rPr>
        <w:t xml:space="preserve">3. Analytical Method Validation</w:t>
      </w:r>
    </w:p>
    <w:p>
      <w:pPr>
        <w:spacing w:after="200"/>
      </w:pPr>
      <w:r>
        <w:rPr>
          <w:rFonts w:ascii="Arial" w:cs="Arial" w:eastAsia="Arial" w:hAnsi="Arial"/>
          <w:sz w:val="24"/>
          <w:szCs w:val="24"/>
        </w:rPr>
        <w:t xml:space="preserve">Before an analytical method can be used to make GMP decisions — such as releasing a batch or assigning a stability result — it must be validated to demonstrate it is fit for purpose. ICH Q2(R1) provides the international guideline for analytical method validation, covering the following parameters:</w:t>
      </w:r>
    </w:p>
    <w:p>
      <w:pPr>
        <w:pStyle w:val="ListParagraph"/>
        <w:numPr>
          <w:ilvl w:val="0"/>
          <w:numId w:val="2"/>
        </w:numPr>
        <w:spacing w:after="160"/>
      </w:pPr>
      <w:r>
        <w:rPr>
          <w:rFonts w:ascii="Arial" w:cs="Arial" w:eastAsia="Arial" w:hAnsi="Arial"/>
          <w:b/>
          <w:bCs/>
          <w:sz w:val="24"/>
          <w:szCs w:val="24"/>
        </w:rPr>
        <w:t xml:space="preserve">Specificity: </w:t>
      </w:r>
      <w:r>
        <w:rPr>
          <w:rFonts w:ascii="Arial" w:cs="Arial" w:eastAsia="Arial" w:hAnsi="Arial"/>
          <w:sz w:val="24"/>
          <w:szCs w:val="24"/>
        </w:rPr>
        <w:t xml:space="preserve">The method measures only the analyte of interest, without interference from other substances.</w:t>
      </w:r>
    </w:p>
    <w:p>
      <w:pPr>
        <w:pStyle w:val="ListParagraph"/>
        <w:numPr>
          <w:ilvl w:val="0"/>
          <w:numId w:val="2"/>
        </w:numPr>
        <w:spacing w:after="160"/>
      </w:pPr>
      <w:r>
        <w:rPr>
          <w:rFonts w:ascii="Arial" w:cs="Arial" w:eastAsia="Arial" w:hAnsi="Arial"/>
          <w:b/>
          <w:bCs/>
          <w:sz w:val="24"/>
          <w:szCs w:val="24"/>
        </w:rPr>
        <w:t xml:space="preserve">Linearity: </w:t>
      </w:r>
      <w:r>
        <w:rPr>
          <w:rFonts w:ascii="Arial" w:cs="Arial" w:eastAsia="Arial" w:hAnsi="Arial"/>
          <w:sz w:val="24"/>
          <w:szCs w:val="24"/>
        </w:rPr>
        <w:t xml:space="preserve">The method produces results proportional to the concentration of the analyte within the working range.</w:t>
      </w:r>
    </w:p>
    <w:p>
      <w:pPr>
        <w:pStyle w:val="ListParagraph"/>
        <w:numPr>
          <w:ilvl w:val="0"/>
          <w:numId w:val="2"/>
        </w:numPr>
        <w:spacing w:after="160"/>
      </w:pPr>
      <w:r>
        <w:rPr>
          <w:rFonts w:ascii="Arial" w:cs="Arial" w:eastAsia="Arial" w:hAnsi="Arial"/>
          <w:b/>
          <w:bCs/>
          <w:sz w:val="24"/>
          <w:szCs w:val="24"/>
        </w:rPr>
        <w:t xml:space="preserve">Range: </w:t>
      </w:r>
      <w:r>
        <w:rPr>
          <w:rFonts w:ascii="Arial" w:cs="Arial" w:eastAsia="Arial" w:hAnsi="Arial"/>
          <w:sz w:val="24"/>
          <w:szCs w:val="24"/>
        </w:rPr>
        <w:t xml:space="preserve">The interval over which the method provides acceptable precision, accuracy, and linearity.</w:t>
      </w:r>
    </w:p>
    <w:p>
      <w:pPr>
        <w:pStyle w:val="ListParagraph"/>
        <w:numPr>
          <w:ilvl w:val="0"/>
          <w:numId w:val="2"/>
        </w:numPr>
        <w:spacing w:after="160"/>
      </w:pPr>
      <w:r>
        <w:rPr>
          <w:rFonts w:ascii="Arial" w:cs="Arial" w:eastAsia="Arial" w:hAnsi="Arial"/>
          <w:b/>
          <w:bCs/>
          <w:sz w:val="24"/>
          <w:szCs w:val="24"/>
        </w:rPr>
        <w:t xml:space="preserve">Accuracy: </w:t>
      </w:r>
      <w:r>
        <w:rPr>
          <w:rFonts w:ascii="Arial" w:cs="Arial" w:eastAsia="Arial" w:hAnsi="Arial"/>
          <w:sz w:val="24"/>
          <w:szCs w:val="24"/>
        </w:rPr>
        <w:t xml:space="preserve">The closeness of the measured value to the true value. Typically assessed by recovery studies using spiked samples.</w:t>
      </w:r>
    </w:p>
    <w:p>
      <w:pPr>
        <w:pStyle w:val="ListParagraph"/>
        <w:numPr>
          <w:ilvl w:val="0"/>
          <w:numId w:val="2"/>
        </w:numPr>
        <w:spacing w:after="160"/>
      </w:pPr>
      <w:r>
        <w:rPr>
          <w:rFonts w:ascii="Arial" w:cs="Arial" w:eastAsia="Arial" w:hAnsi="Arial"/>
          <w:b/>
          <w:bCs/>
          <w:sz w:val="24"/>
          <w:szCs w:val="24"/>
        </w:rPr>
        <w:t xml:space="preserve">Precision (Repeatability, Intermediate Precision, Reproducibility): </w:t>
      </w:r>
      <w:r>
        <w:rPr>
          <w:rFonts w:ascii="Arial" w:cs="Arial" w:eastAsia="Arial" w:hAnsi="Arial"/>
          <w:sz w:val="24"/>
          <w:szCs w:val="24"/>
        </w:rPr>
        <w:t xml:space="preserve">The consistency of results under different conditions.</w:t>
      </w:r>
    </w:p>
    <w:p>
      <w:pPr>
        <w:pStyle w:val="ListParagraph"/>
        <w:numPr>
          <w:ilvl w:val="0"/>
          <w:numId w:val="2"/>
        </w:numPr>
        <w:spacing w:after="160"/>
      </w:pPr>
      <w:r>
        <w:rPr>
          <w:rFonts w:ascii="Arial" w:cs="Arial" w:eastAsia="Arial" w:hAnsi="Arial"/>
          <w:b/>
          <w:bCs/>
          <w:sz w:val="24"/>
          <w:szCs w:val="24"/>
        </w:rPr>
        <w:t xml:space="preserve">Detection Limit (LOD) and Quantitation Limit (LOQ): </w:t>
      </w:r>
      <w:r>
        <w:rPr>
          <w:rFonts w:ascii="Arial" w:cs="Arial" w:eastAsia="Arial" w:hAnsi="Arial"/>
          <w:sz w:val="24"/>
          <w:szCs w:val="24"/>
        </w:rPr>
        <w:t xml:space="preserve">The lowest concentration that can be detected and quantified reliably.</w:t>
      </w:r>
    </w:p>
    <w:p>
      <w:pPr>
        <w:pStyle w:val="ListParagraph"/>
        <w:numPr>
          <w:ilvl w:val="0"/>
          <w:numId w:val="2"/>
        </w:numPr>
        <w:spacing w:after="160"/>
      </w:pPr>
      <w:r>
        <w:rPr>
          <w:rFonts w:ascii="Arial" w:cs="Arial" w:eastAsia="Arial" w:hAnsi="Arial"/>
          <w:b/>
          <w:bCs/>
          <w:sz w:val="24"/>
          <w:szCs w:val="24"/>
        </w:rPr>
        <w:t xml:space="preserve">Robustness: </w:t>
      </w:r>
      <w:r>
        <w:rPr>
          <w:rFonts w:ascii="Arial" w:cs="Arial" w:eastAsia="Arial" w:hAnsi="Arial"/>
          <w:sz w:val="24"/>
          <w:szCs w:val="24"/>
        </w:rPr>
        <w:t xml:space="preserve">The method's ability to remain unaffected by small, deliberate variations in parameters.</w:t>
      </w:r>
    </w:p>
    <w:p>
      <w:pPr>
        <w:spacing w:after="200"/>
      </w:pPr>
    </w:p>
    <w:p>
      <w:pPr>
        <w:pStyle w:val="Heading3"/>
      </w:pPr>
      <w:r>
        <w:rPr>
          <w:rFonts w:ascii="Arial" w:cs="Arial" w:eastAsia="Arial" w:hAnsi="Arial"/>
          <w:b/>
          <w:bCs/>
          <w:color w:val="1A6B3C"/>
          <w:sz w:val="24"/>
          <w:szCs w:val="24"/>
        </w:rPr>
        <w:t xml:space="preserve">4. Computer System Validation (CSV)</w:t>
      </w:r>
    </w:p>
    <w:p>
      <w:pPr>
        <w:spacing w:after="200"/>
      </w:pPr>
      <w:r>
        <w:rPr>
          <w:rFonts w:ascii="Arial" w:cs="Arial" w:eastAsia="Arial" w:hAnsi="Arial"/>
          <w:sz w:val="24"/>
          <w:szCs w:val="24"/>
        </w:rPr>
        <w:t xml:space="preserve">Any computerised system used in GMP-regulated activities — including Laboratory Information Management Systems (LIMS), Manufacturing Execution Systems (MES), SCADA systems, and electronic document management systems — must be validated before use. CSV ensures that the system does what it is designed to do, consistently and reliably.</w:t>
      </w:r>
    </w:p>
    <w:p>
      <w:pPr>
        <w:spacing w:after="200"/>
      </w:pPr>
      <w:r>
        <w:rPr>
          <w:rFonts w:ascii="Arial" w:cs="Arial" w:eastAsia="Arial" w:hAnsi="Arial"/>
          <w:sz w:val="24"/>
          <w:szCs w:val="24"/>
        </w:rPr>
        <w:t xml:space="preserve">CSV follows a structured V-model approach, covering:</w:t>
      </w:r>
    </w:p>
    <w:p>
      <w:pPr>
        <w:pStyle w:val="ListParagraph"/>
        <w:numPr>
          <w:ilvl w:val="0"/>
          <w:numId w:val="2"/>
        </w:numPr>
        <w:spacing w:after="120"/>
      </w:pPr>
      <w:r>
        <w:rPr>
          <w:rFonts w:ascii="Arial" w:cs="Arial" w:eastAsia="Arial" w:hAnsi="Arial"/>
          <w:sz w:val="24"/>
          <w:szCs w:val="24"/>
        </w:rPr>
        <w:t xml:space="preserve">User Requirements Specification (URS) — What the system must do</w:t>
      </w:r>
    </w:p>
    <w:p>
      <w:pPr>
        <w:pStyle w:val="ListParagraph"/>
        <w:numPr>
          <w:ilvl w:val="0"/>
          <w:numId w:val="2"/>
        </w:numPr>
        <w:spacing w:after="120"/>
      </w:pPr>
      <w:r>
        <w:rPr>
          <w:rFonts w:ascii="Arial" w:cs="Arial" w:eastAsia="Arial" w:hAnsi="Arial"/>
          <w:sz w:val="24"/>
          <w:szCs w:val="24"/>
        </w:rPr>
        <w:t xml:space="preserve">Functional Specification (FS) — How the system will meet the URS</w:t>
      </w:r>
    </w:p>
    <w:p>
      <w:pPr>
        <w:pStyle w:val="ListParagraph"/>
        <w:numPr>
          <w:ilvl w:val="0"/>
          <w:numId w:val="2"/>
        </w:numPr>
        <w:spacing w:after="120"/>
      </w:pPr>
      <w:r>
        <w:rPr>
          <w:rFonts w:ascii="Arial" w:cs="Arial" w:eastAsia="Arial" w:hAnsi="Arial"/>
          <w:sz w:val="24"/>
          <w:szCs w:val="24"/>
        </w:rPr>
        <w:t xml:space="preserve">Design Specification (DS) — How the system will be built</w:t>
      </w:r>
    </w:p>
    <w:p>
      <w:pPr>
        <w:pStyle w:val="ListParagraph"/>
        <w:numPr>
          <w:ilvl w:val="0"/>
          <w:numId w:val="2"/>
        </w:numPr>
        <w:spacing w:after="120"/>
      </w:pPr>
      <w:r>
        <w:rPr>
          <w:rFonts w:ascii="Arial" w:cs="Arial" w:eastAsia="Arial" w:hAnsi="Arial"/>
          <w:sz w:val="24"/>
          <w:szCs w:val="24"/>
        </w:rPr>
        <w:t xml:space="preserve">Installation Qualification (IQ) — Confirming correct installation</w:t>
      </w:r>
    </w:p>
    <w:p>
      <w:pPr>
        <w:pStyle w:val="ListParagraph"/>
        <w:numPr>
          <w:ilvl w:val="0"/>
          <w:numId w:val="2"/>
        </w:numPr>
        <w:spacing w:after="120"/>
      </w:pPr>
      <w:r>
        <w:rPr>
          <w:rFonts w:ascii="Arial" w:cs="Arial" w:eastAsia="Arial" w:hAnsi="Arial"/>
          <w:sz w:val="24"/>
          <w:szCs w:val="24"/>
        </w:rPr>
        <w:t xml:space="preserve">Operational Qualification (OQ) — Confirming the system operates as designed</w:t>
      </w:r>
    </w:p>
    <w:p>
      <w:pPr>
        <w:pStyle w:val="ListParagraph"/>
        <w:numPr>
          <w:ilvl w:val="0"/>
          <w:numId w:val="2"/>
        </w:numPr>
        <w:spacing w:after="120"/>
      </w:pPr>
      <w:r>
        <w:rPr>
          <w:rFonts w:ascii="Arial" w:cs="Arial" w:eastAsia="Arial" w:hAnsi="Arial"/>
          <w:sz w:val="24"/>
          <w:szCs w:val="24"/>
        </w:rPr>
        <w:t xml:space="preserve">Performance Qualification (PQ) — Confirming the system performs in the real environment</w:t>
      </w:r>
    </w:p>
    <w:p>
      <w:pPr>
        <w:spacing w:after="200"/>
      </w:pPr>
    </w:p>
    <w:p>
      <w:pPr>
        <w:pStyle w:val="Heading2"/>
      </w:pPr>
      <w:r>
        <w:rPr>
          <w:rFonts w:ascii="Arial" w:cs="Arial" w:eastAsia="Arial" w:hAnsi="Arial"/>
          <w:b/>
          <w:bCs/>
          <w:color w:val="2E4D7B"/>
          <w:sz w:val="28"/>
          <w:szCs w:val="28"/>
        </w:rPr>
        <w:t xml:space="preserve">Equipment Qualification: IQ, OQ, PQ</w:t>
      </w:r>
    </w:p>
    <w:p>
      <w:pPr>
        <w:spacing w:after="200"/>
      </w:pPr>
      <w:r>
        <w:rPr>
          <w:rFonts w:ascii="Arial" w:cs="Arial" w:eastAsia="Arial" w:hAnsi="Arial"/>
          <w:sz w:val="24"/>
          <w:szCs w:val="24"/>
        </w:rPr>
        <w:t xml:space="preserve">Before equipment can be used in GMP manufacturing, it must be qualified through a three-stage process:</w:t>
      </w:r>
    </w:p>
    <w:p>
      <w:pPr>
        <w:pStyle w:val="ListParagraph"/>
        <w:numPr>
          <w:ilvl w:val="0"/>
          <w:numId w:val="2"/>
        </w:numPr>
        <w:spacing w:after="160"/>
      </w:pPr>
      <w:r>
        <w:rPr>
          <w:rFonts w:ascii="Arial" w:cs="Arial" w:eastAsia="Arial" w:hAnsi="Arial"/>
          <w:b/>
          <w:bCs/>
          <w:sz w:val="24"/>
          <w:szCs w:val="24"/>
        </w:rPr>
        <w:t xml:space="preserve">Installation Qualification (IQ): </w:t>
      </w:r>
      <w:r>
        <w:rPr>
          <w:rFonts w:ascii="Arial" w:cs="Arial" w:eastAsia="Arial" w:hAnsi="Arial"/>
          <w:sz w:val="24"/>
          <w:szCs w:val="24"/>
        </w:rPr>
        <w:t xml:space="preserve">Confirms that the equipment has been installed correctly according to the manufacturer's specifications and the user's requirements. Includes checking utilities, component lists, and calibration status.</w:t>
      </w:r>
    </w:p>
    <w:p>
      <w:pPr>
        <w:pStyle w:val="ListParagraph"/>
        <w:numPr>
          <w:ilvl w:val="0"/>
          <w:numId w:val="2"/>
        </w:numPr>
        <w:spacing w:after="160"/>
      </w:pPr>
      <w:r>
        <w:rPr>
          <w:rFonts w:ascii="Arial" w:cs="Arial" w:eastAsia="Arial" w:hAnsi="Arial"/>
          <w:b/>
          <w:bCs/>
          <w:sz w:val="24"/>
          <w:szCs w:val="24"/>
        </w:rPr>
        <w:t xml:space="preserve">Operational Qualification (OQ): </w:t>
      </w:r>
      <w:r>
        <w:rPr>
          <w:rFonts w:ascii="Arial" w:cs="Arial" w:eastAsia="Arial" w:hAnsi="Arial"/>
          <w:sz w:val="24"/>
          <w:szCs w:val="24"/>
        </w:rPr>
        <w:t xml:space="preserve">Demonstrates that the equipment operates as intended across its operating range. Tests are typically performed at the extremes of the operating parameters (worst-case conditions).</w:t>
      </w:r>
    </w:p>
    <w:p>
      <w:pPr>
        <w:pStyle w:val="ListParagraph"/>
        <w:numPr>
          <w:ilvl w:val="0"/>
          <w:numId w:val="2"/>
        </w:numPr>
        <w:spacing w:after="160"/>
      </w:pPr>
      <w:r>
        <w:rPr>
          <w:rFonts w:ascii="Arial" w:cs="Arial" w:eastAsia="Arial" w:hAnsi="Arial"/>
          <w:b/>
          <w:bCs/>
          <w:sz w:val="24"/>
          <w:szCs w:val="24"/>
        </w:rPr>
        <w:t xml:space="preserve">Performance Qualification (PQ): </w:t>
      </w:r>
      <w:r>
        <w:rPr>
          <w:rFonts w:ascii="Arial" w:cs="Arial" w:eastAsia="Arial" w:hAnsi="Arial"/>
          <w:sz w:val="24"/>
          <w:szCs w:val="24"/>
        </w:rPr>
        <w:t xml:space="preserve">Demonstrates that the equipment performs consistently and reproducibly within defined parameters when operated in its intended environment, using actual products or representative materials.</w:t>
      </w:r>
    </w:p>
    <w:p>
      <w:pPr>
        <w:spacing w:after="200"/>
      </w:pPr>
    </w:p>
    <w:p>
      <w:pPr>
        <w:pStyle w:val="Heading2"/>
      </w:pPr>
      <w:r>
        <w:rPr>
          <w:rFonts w:ascii="Arial" w:cs="Arial" w:eastAsia="Arial" w:hAnsi="Arial"/>
          <w:b/>
          <w:bCs/>
          <w:color w:val="2E4D7B"/>
          <w:sz w:val="28"/>
          <w:szCs w:val="28"/>
        </w:rPr>
        <w:t xml:space="preserve">The Validation Master Plan (VMP)</w:t>
      </w:r>
    </w:p>
    <w:p>
      <w:pPr>
        <w:spacing w:after="200"/>
      </w:pPr>
      <w:r>
        <w:rPr>
          <w:rFonts w:ascii="Arial" w:cs="Arial" w:eastAsia="Arial" w:hAnsi="Arial"/>
          <w:sz w:val="24"/>
          <w:szCs w:val="24"/>
        </w:rPr>
        <w:t xml:space="preserve">The Validation Master Plan is the overarching document that describes the validation strategy for a manufacturing site or project. It defines the scope, approach, responsibilities, and timelines for all validation activities. Regulatory inspectors frequently request the VMP as one of their first documents during a GMP inspection.</w:t>
      </w:r>
    </w:p>
    <w:p>
      <w:pPr>
        <w:spacing w:after="200"/>
      </w:pPr>
      <w:r>
        <w:rPr>
          <w:rFonts w:ascii="Arial" w:cs="Arial" w:eastAsia="Arial" w:hAnsi="Arial"/>
          <w:sz w:val="24"/>
          <w:szCs w:val="24"/>
        </w:rPr>
        <w:t xml:space="preserve">A typical VMP includes:</w:t>
      </w:r>
    </w:p>
    <w:p>
      <w:pPr>
        <w:pStyle w:val="ListParagraph"/>
        <w:numPr>
          <w:ilvl w:val="0"/>
          <w:numId w:val="2"/>
        </w:numPr>
        <w:spacing w:after="120"/>
      </w:pPr>
      <w:r>
        <w:rPr>
          <w:rFonts w:ascii="Arial" w:cs="Arial" w:eastAsia="Arial" w:hAnsi="Arial"/>
          <w:sz w:val="24"/>
          <w:szCs w:val="24"/>
        </w:rPr>
        <w:t xml:space="preserve">The site's validation philosophy and risk-based approach</w:t>
      </w:r>
    </w:p>
    <w:p>
      <w:pPr>
        <w:pStyle w:val="ListParagraph"/>
        <w:numPr>
          <w:ilvl w:val="0"/>
          <w:numId w:val="2"/>
        </w:numPr>
        <w:spacing w:after="120"/>
      </w:pPr>
      <w:r>
        <w:rPr>
          <w:rFonts w:ascii="Arial" w:cs="Arial" w:eastAsia="Arial" w:hAnsi="Arial"/>
          <w:sz w:val="24"/>
          <w:szCs w:val="24"/>
        </w:rPr>
        <w:t xml:space="preserve">An inventory of systems, equipment, and processes requiring validation</w:t>
      </w:r>
    </w:p>
    <w:p>
      <w:pPr>
        <w:pStyle w:val="ListParagraph"/>
        <w:numPr>
          <w:ilvl w:val="0"/>
          <w:numId w:val="2"/>
        </w:numPr>
        <w:spacing w:after="120"/>
      </w:pPr>
      <w:r>
        <w:rPr>
          <w:rFonts w:ascii="Arial" w:cs="Arial" w:eastAsia="Arial" w:hAnsi="Arial"/>
          <w:sz w:val="24"/>
          <w:szCs w:val="24"/>
        </w:rPr>
        <w:t xml:space="preserve">Validation deliverables (protocols, reports, SOPs)</w:t>
      </w:r>
    </w:p>
    <w:p>
      <w:pPr>
        <w:pStyle w:val="ListParagraph"/>
        <w:numPr>
          <w:ilvl w:val="0"/>
          <w:numId w:val="2"/>
        </w:numPr>
        <w:spacing w:after="120"/>
      </w:pPr>
      <w:r>
        <w:rPr>
          <w:rFonts w:ascii="Arial" w:cs="Arial" w:eastAsia="Arial" w:hAnsi="Arial"/>
          <w:sz w:val="24"/>
          <w:szCs w:val="24"/>
        </w:rPr>
        <w:t xml:space="preserve">Roles and responsibilities</w:t>
      </w:r>
    </w:p>
    <w:p>
      <w:pPr>
        <w:pStyle w:val="ListParagraph"/>
        <w:numPr>
          <w:ilvl w:val="0"/>
          <w:numId w:val="2"/>
        </w:numPr>
        <w:spacing w:after="120"/>
      </w:pPr>
      <w:r>
        <w:rPr>
          <w:rFonts w:ascii="Arial" w:cs="Arial" w:eastAsia="Arial" w:hAnsi="Arial"/>
          <w:sz w:val="24"/>
          <w:szCs w:val="24"/>
        </w:rPr>
        <w:t xml:space="preserve">Change control and revalidation triggers</w:t>
      </w:r>
    </w:p>
    <w:p>
      <w:pPr>
        <w:pStyle w:val="ListParagraph"/>
        <w:numPr>
          <w:ilvl w:val="0"/>
          <w:numId w:val="2"/>
        </w:numPr>
        <w:spacing w:after="120"/>
      </w:pPr>
      <w:r>
        <w:rPr>
          <w:rFonts w:ascii="Arial" w:cs="Arial" w:eastAsia="Arial" w:hAnsi="Arial"/>
          <w:sz w:val="24"/>
          <w:szCs w:val="24"/>
        </w:rPr>
        <w:t xml:space="preserve">Reference to applicable regulatory guidelines</w:t>
      </w:r>
    </w:p>
    <w:p>
      <w:pPr>
        <w:spacing w:after="200"/>
      </w:pPr>
    </w:p>
    <w:p>
      <w:pPr>
        <w:pStyle w:val="Heading2"/>
      </w:pPr>
      <w:r>
        <w:rPr>
          <w:rFonts w:ascii="Arial" w:cs="Arial" w:eastAsia="Arial" w:hAnsi="Arial"/>
          <w:b/>
          <w:bCs/>
          <w:color w:val="2E4D7B"/>
          <w:sz w:val="28"/>
          <w:szCs w:val="28"/>
        </w:rPr>
        <w:t xml:space="preserve">Risk-Based Validation</w:t>
      </w:r>
    </w:p>
    <w:p>
      <w:pPr>
        <w:spacing w:after="200"/>
      </w:pPr>
      <w:r>
        <w:rPr>
          <w:rFonts w:ascii="Arial" w:cs="Arial" w:eastAsia="Arial" w:hAnsi="Arial"/>
          <w:sz w:val="24"/>
          <w:szCs w:val="24"/>
        </w:rPr>
        <w:t xml:space="preserve">Modern pharmaceutical regulations — guided by ICH Q9 (Quality Risk Management) — encourage a risk-based approach to validation. This means that the depth and extent of validation activities should be proportionate to the risk the system or process poses to product quality and patient safety.</w:t>
      </w:r>
    </w:p>
    <w:p>
      <w:pPr>
        <w:spacing w:after="320"/>
      </w:pPr>
      <w:r>
        <w:rPr>
          <w:rFonts w:ascii="Arial" w:cs="Arial" w:eastAsia="Arial" w:hAnsi="Arial"/>
          <w:sz w:val="24"/>
          <w:szCs w:val="24"/>
        </w:rPr>
        <w:t xml:space="preserve">A risk-based approach requires systematic identification of critical quality attributes, assessment of potential failure modes, and prioritisation of validation resources toward the highest-risk processes and systems. This does not mean shortcuts — it means intelligent allocation of effort.</w:t>
      </w: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Validation is the scientific backbone of pharmaceutical quality. It transforms a procedure on paper into a proven, reliable, and inspectable reality. Without robust validation, a manufacturer cannot have — and cannot demonstrate — the confidence that their products will consistently meet patient needs.</w:t>
      </w:r>
    </w:p>
    <w:p>
      <w:pPr>
        <w:spacing w:after="400"/>
      </w:pPr>
      <w:r>
        <w:rPr>
          <w:rFonts w:ascii="Arial" w:cs="Arial" w:eastAsia="Arial" w:hAnsi="Arial"/>
          <w:sz w:val="24"/>
          <w:szCs w:val="24"/>
        </w:rPr>
        <w:t xml:space="preserve">Investing in thorough, well-documented validation is not simply a regulatory obligation; it is a fundamental act of responsibility toward every patient who depends on the quality of the medicines produced.</w:t>
      </w: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2026-05-31T02:43:26.171Z</dcterms:created>
  <dcterms:modified xsi:type="dcterms:W3CDTF">2026-05-31T02:43:26.171Z</dcterms:modified>
</cp:coreProperties>
</file>

<file path=docProps/custom.xml><?xml version="1.0" encoding="utf-8"?>
<Properties xmlns="http://schemas.openxmlformats.org/officeDocument/2006/custom-properties" xmlns:vt="http://schemas.openxmlformats.org/officeDocument/2006/docPropsVTypes"/>
</file>