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4B2D8E"/>
          <w:sz w:val="20"/>
          <w:szCs w:val="20"/>
        </w:rPr>
        <w:t xml:space="preserve">QUALIZENZ</w:t>
      </w:r>
    </w:p>
    <w:p>
      <w:pPr>
        <w:pBdr>
          <w:bottom w:val="single" w:color="4B2D8E" w:sz="4" w:space="1"/>
        </w:pBdr>
        <w:spacing w:after="400"/>
        <w:jc w:val="center"/>
      </w:pPr>
      <w:r>
        <w:rPr>
          <w:rFonts w:ascii="Arial" w:cs="Arial" w:eastAsia="Arial" w:hAnsi="Arial"/>
          <w:i/>
          <w:iCs/>
          <w:color w:val="666666"/>
          <w:sz w:val="18"/>
          <w:szCs w:val="18"/>
        </w:rPr>
        <w:t xml:space="preserve">Expert Pharmaceutical Knowledge Made Simple</w:t>
      </w:r>
    </w:p>
    <w:p>
      <w:pPr>
        <w:spacing w:after="120"/>
        <w:jc w:val="center"/>
      </w:pPr>
      <w:r>
        <w:rPr>
          <w:rFonts w:ascii="Arial" w:cs="Arial" w:eastAsia="Arial" w:hAnsi="Arial"/>
          <w:b/>
          <w:bCs/>
          <w:color w:val="4B2D8E"/>
          <w:sz w:val="20"/>
          <w:szCs w:val="20"/>
        </w:rPr>
        <w:t xml:space="preserve">ARTICLE 5</w:t>
      </w:r>
    </w:p>
    <w:p>
      <w:pPr>
        <w:pStyle w:val="Heading1"/>
        <w:jc w:val="center"/>
      </w:pPr>
      <w:r>
        <w:rPr>
          <w:rFonts w:ascii="Arial" w:cs="Arial" w:eastAsia="Arial" w:hAnsi="Arial"/>
          <w:b/>
          <w:bCs/>
          <w:color w:val="4B2D8E"/>
          <w:sz w:val="40"/>
          <w:szCs w:val="40"/>
        </w:rPr>
        <w:t xml:space="preserve">GMP Inspections</w:t>
      </w:r>
    </w:p>
    <w:p>
      <w:pPr>
        <w:spacing w:after="480"/>
        <w:jc w:val="center"/>
      </w:pPr>
      <w:r>
        <w:rPr>
          <w:rFonts w:ascii="Arial" w:cs="Arial" w:eastAsia="Arial" w:hAnsi="Arial"/>
          <w:i/>
          <w:iCs/>
          <w:color w:val="555555"/>
          <w:sz w:val="22"/>
          <w:szCs w:val="22"/>
        </w:rPr>
        <w:t xml:space="preserve">How to Prepare, What to Expect, and How to Succeed</w:t>
      </w:r>
    </w:p>
    <w:p>
      <w:pPr>
        <w:pStyle w:val="Heading2"/>
      </w:pPr>
      <w:r>
        <w:rPr>
          <w:rFonts w:ascii="Arial" w:cs="Arial" w:eastAsia="Arial" w:hAnsi="Arial"/>
          <w:b/>
          <w:bCs/>
          <w:color w:val="2E4D7B"/>
          <w:sz w:val="28"/>
          <w:szCs w:val="28"/>
        </w:rPr>
        <w:t xml:space="preserve">Introduction</w:t>
      </w:r>
    </w:p>
    <w:p>
      <w:pPr>
        <w:spacing w:after="200"/>
      </w:pPr>
      <w:r>
        <w:rPr>
          <w:rFonts w:ascii="Arial" w:cs="Arial" w:eastAsia="Arial" w:hAnsi="Arial"/>
          <w:sz w:val="24"/>
          <w:szCs w:val="24"/>
        </w:rPr>
        <w:t xml:space="preserve">A regulatory GMP inspection is one of the most significant events in the life of a pharmaceutical manufacturing site. The outcome — whether favourable, conditional, or critical — can determine the site's ability to supply medicines, retain marketing authorisations, and maintain its reputation in the global market.</w:t>
      </w:r>
    </w:p>
    <w:p>
      <w:pPr>
        <w:spacing w:after="320"/>
      </w:pPr>
      <w:r>
        <w:rPr>
          <w:rFonts w:ascii="Arial" w:cs="Arial" w:eastAsia="Arial" w:hAnsi="Arial"/>
          <w:sz w:val="24"/>
          <w:szCs w:val="24"/>
        </w:rPr>
        <w:t xml:space="preserve">Many professionals experience inspections with anxiety. Yet the organisations that fare best are invariably those who treat inspection readiness not as a periodic event, but as a continuous state of operation. This article explains how GMP inspections work, what inspectors look for, and how pharmaceutical sites can build genuine, lasting inspection readiness.</w:t>
      </w:r>
    </w:p>
    <w:p>
      <w:pPr>
        <w:pStyle w:val="Heading2"/>
      </w:pPr>
      <w:r>
        <w:rPr>
          <w:rFonts w:ascii="Arial" w:cs="Arial" w:eastAsia="Arial" w:hAnsi="Arial"/>
          <w:b/>
          <w:bCs/>
          <w:color w:val="2E4D7B"/>
          <w:sz w:val="28"/>
          <w:szCs w:val="28"/>
        </w:rPr>
        <w:t xml:space="preserve">What Is a GMP Inspection?</w:t>
      </w:r>
    </w:p>
    <w:p>
      <w:pPr>
        <w:spacing w:after="200"/>
      </w:pPr>
      <w:r>
        <w:rPr>
          <w:rFonts w:ascii="Arial" w:cs="Arial" w:eastAsia="Arial" w:hAnsi="Arial"/>
          <w:sz w:val="24"/>
          <w:szCs w:val="24"/>
        </w:rPr>
        <w:t xml:space="preserve">A GMP inspection is a systematic and official examination of a pharmaceutical manufacturing site by a regulatory authority to verify that the site is operating in compliance with applicable Good Manufacturing Practice requirements. Inspections are conducted by national and international regulatory bodies including:</w:t>
      </w:r>
    </w:p>
    <w:p>
      <w:pPr>
        <w:pStyle w:val="ListParagraph"/>
        <w:numPr>
          <w:ilvl w:val="0"/>
          <w:numId w:val="2"/>
        </w:numPr>
        <w:spacing w:after="120"/>
      </w:pPr>
      <w:r>
        <w:rPr>
          <w:rFonts w:ascii="Arial" w:cs="Arial" w:eastAsia="Arial" w:hAnsi="Arial"/>
          <w:sz w:val="24"/>
          <w:szCs w:val="24"/>
        </w:rPr>
        <w:t xml:space="preserve">US Food and Drug Administration (FDA) — 21 CFR Parts 210 and 211</w:t>
      </w:r>
    </w:p>
    <w:p>
      <w:pPr>
        <w:pStyle w:val="ListParagraph"/>
        <w:numPr>
          <w:ilvl w:val="0"/>
          <w:numId w:val="2"/>
        </w:numPr>
        <w:spacing w:after="120"/>
      </w:pPr>
      <w:r>
        <w:rPr>
          <w:rFonts w:ascii="Arial" w:cs="Arial" w:eastAsia="Arial" w:hAnsi="Arial"/>
          <w:sz w:val="24"/>
          <w:szCs w:val="24"/>
        </w:rPr>
        <w:t xml:space="preserve">European Medicines Agency (EMA) and national competent authorities (e.g., MHRA, ANSM, BfArM)</w:t>
      </w:r>
    </w:p>
    <w:p>
      <w:pPr>
        <w:pStyle w:val="ListParagraph"/>
        <w:numPr>
          <w:ilvl w:val="0"/>
          <w:numId w:val="2"/>
        </w:numPr>
        <w:spacing w:after="120"/>
      </w:pPr>
      <w:r>
        <w:rPr>
          <w:rFonts w:ascii="Arial" w:cs="Arial" w:eastAsia="Arial" w:hAnsi="Arial"/>
          <w:sz w:val="24"/>
          <w:szCs w:val="24"/>
        </w:rPr>
        <w:t xml:space="preserve">World Health Organization (WHO) — particularly for manufacturers supplying UN procurement programmes</w:t>
      </w:r>
    </w:p>
    <w:p>
      <w:pPr>
        <w:pStyle w:val="ListParagraph"/>
        <w:numPr>
          <w:ilvl w:val="0"/>
          <w:numId w:val="2"/>
        </w:numPr>
        <w:spacing w:after="120"/>
      </w:pPr>
      <w:r>
        <w:rPr>
          <w:rFonts w:ascii="Arial" w:cs="Arial" w:eastAsia="Arial" w:hAnsi="Arial"/>
          <w:sz w:val="24"/>
          <w:szCs w:val="24"/>
        </w:rPr>
        <w:t xml:space="preserve">PIC/S member authorities — a network of over 50 national GMP inspection services</w:t>
      </w:r>
    </w:p>
    <w:p>
      <w:pPr>
        <w:pStyle w:val="ListParagraph"/>
        <w:numPr>
          <w:ilvl w:val="0"/>
          <w:numId w:val="2"/>
        </w:numPr>
        <w:spacing w:after="120"/>
      </w:pPr>
      <w:r>
        <w:rPr>
          <w:rFonts w:ascii="Arial" w:cs="Arial" w:eastAsia="Arial" w:hAnsi="Arial"/>
          <w:sz w:val="24"/>
          <w:szCs w:val="24"/>
        </w:rPr>
        <w:t xml:space="preserve">Other national authorities (e.g., Health Canada, TGA Australia, ANVISA Brazil, NAFDAC Nigeria)</w:t>
      </w:r>
    </w:p>
    <w:p>
      <w:pPr>
        <w:spacing w:after="200"/>
      </w:pPr>
    </w:p>
    <w:p>
      <w:pPr>
        <w:pStyle w:val="Heading2"/>
      </w:pPr>
      <w:r>
        <w:rPr>
          <w:rFonts w:ascii="Arial" w:cs="Arial" w:eastAsia="Arial" w:hAnsi="Arial"/>
          <w:b/>
          <w:bCs/>
          <w:color w:val="2E4D7B"/>
          <w:sz w:val="28"/>
          <w:szCs w:val="28"/>
        </w:rPr>
        <w:t xml:space="preserve">Types of GMP Inspections</w:t>
      </w:r>
    </w:p>
    <w:p>
      <w:pPr>
        <w:pStyle w:val="ListParagraph"/>
        <w:numPr>
          <w:ilvl w:val="0"/>
          <w:numId w:val="2"/>
        </w:numPr>
        <w:spacing w:after="200"/>
      </w:pPr>
      <w:r>
        <w:rPr>
          <w:rFonts w:ascii="Arial" w:cs="Arial" w:eastAsia="Arial" w:hAnsi="Arial"/>
          <w:b/>
          <w:bCs/>
          <w:sz w:val="24"/>
          <w:szCs w:val="24"/>
        </w:rPr>
        <w:t xml:space="preserve">Pre-approval Inspection (PAI): </w:t>
      </w:r>
      <w:r>
        <w:rPr>
          <w:rFonts w:ascii="Arial" w:cs="Arial" w:eastAsia="Arial" w:hAnsi="Arial"/>
          <w:sz w:val="24"/>
          <w:szCs w:val="24"/>
        </w:rPr>
        <w:t xml:space="preserve">Conducted before a new drug product or manufacturing site is approved by a regulatory authority. The inspector verifies that the data submitted in the marketing authorisation application accurately reflects actual site operations.</w:t>
      </w:r>
    </w:p>
    <w:p>
      <w:pPr>
        <w:pStyle w:val="ListParagraph"/>
        <w:numPr>
          <w:ilvl w:val="0"/>
          <w:numId w:val="2"/>
        </w:numPr>
        <w:spacing w:after="200"/>
      </w:pPr>
      <w:r>
        <w:rPr>
          <w:rFonts w:ascii="Arial" w:cs="Arial" w:eastAsia="Arial" w:hAnsi="Arial"/>
          <w:b/>
          <w:bCs/>
          <w:sz w:val="24"/>
          <w:szCs w:val="24"/>
        </w:rPr>
        <w:t xml:space="preserve">Routine Surveillance Inspection: </w:t>
      </w:r>
      <w:r>
        <w:rPr>
          <w:rFonts w:ascii="Arial" w:cs="Arial" w:eastAsia="Arial" w:hAnsi="Arial"/>
          <w:sz w:val="24"/>
          <w:szCs w:val="24"/>
        </w:rPr>
        <w:t xml:space="preserve">Periodic inspections conducted as part of a regulatory authority's routine oversight programme. Frequency is typically risk-based — sites with previous compliance issues or handling high-risk products are inspected more frequently.</w:t>
      </w:r>
    </w:p>
    <w:p>
      <w:pPr>
        <w:pStyle w:val="ListParagraph"/>
        <w:numPr>
          <w:ilvl w:val="0"/>
          <w:numId w:val="2"/>
        </w:numPr>
        <w:spacing w:after="200"/>
      </w:pPr>
      <w:r>
        <w:rPr>
          <w:rFonts w:ascii="Arial" w:cs="Arial" w:eastAsia="Arial" w:hAnsi="Arial"/>
          <w:b/>
          <w:bCs/>
          <w:sz w:val="24"/>
          <w:szCs w:val="24"/>
        </w:rPr>
        <w:t xml:space="preserve">For-cause Inspection: </w:t>
      </w:r>
      <w:r>
        <w:rPr>
          <w:rFonts w:ascii="Arial" w:cs="Arial" w:eastAsia="Arial" w:hAnsi="Arial"/>
          <w:sz w:val="24"/>
          <w:szCs w:val="24"/>
        </w:rPr>
        <w:t xml:space="preserve">Triggered by a specific concern — such as a product recall, a consumer complaint, a whistleblower report, or anomalies in batch data submitted to the regulator. These inspections are unannounced or given very short notice.</w:t>
      </w:r>
    </w:p>
    <w:p>
      <w:pPr>
        <w:pStyle w:val="ListParagraph"/>
        <w:numPr>
          <w:ilvl w:val="0"/>
          <w:numId w:val="2"/>
        </w:numPr>
        <w:spacing w:after="200"/>
      </w:pPr>
      <w:r>
        <w:rPr>
          <w:rFonts w:ascii="Arial" w:cs="Arial" w:eastAsia="Arial" w:hAnsi="Arial"/>
          <w:b/>
          <w:bCs/>
          <w:sz w:val="24"/>
          <w:szCs w:val="24"/>
        </w:rPr>
        <w:t xml:space="preserve">Supplier/Contract Manufacturer Qualification Inspection: </w:t>
      </w:r>
      <w:r>
        <w:rPr>
          <w:rFonts w:ascii="Arial" w:cs="Arial" w:eastAsia="Arial" w:hAnsi="Arial"/>
          <w:sz w:val="24"/>
          <w:szCs w:val="24"/>
        </w:rPr>
        <w:t xml:space="preserve">Conducted by a pharmaceutical company (or its QA team) to verify the GMP compliance of a contract manufacturer, testing laboratory, or key supplier before qualification — and periodically thereafter.</w:t>
      </w:r>
    </w:p>
    <w:p>
      <w:pPr>
        <w:pStyle w:val="ListParagraph"/>
        <w:numPr>
          <w:ilvl w:val="0"/>
          <w:numId w:val="2"/>
        </w:numPr>
        <w:spacing w:after="200"/>
      </w:pPr>
      <w:r>
        <w:rPr>
          <w:rFonts w:ascii="Arial" w:cs="Arial" w:eastAsia="Arial" w:hAnsi="Arial"/>
          <w:b/>
          <w:bCs/>
          <w:sz w:val="24"/>
          <w:szCs w:val="24"/>
        </w:rPr>
        <w:t xml:space="preserve">Re-inspection: </w:t>
      </w:r>
      <w:r>
        <w:rPr>
          <w:rFonts w:ascii="Arial" w:cs="Arial" w:eastAsia="Arial" w:hAnsi="Arial"/>
          <w:sz w:val="24"/>
          <w:szCs w:val="24"/>
        </w:rPr>
        <w:t xml:space="preserve">Follows a previous inspection where critical or major deficiencies were identified. The inspector verifies that the CAPA commitments made in response to the previous findings have been implemented effectively.</w:t>
      </w:r>
    </w:p>
    <w:p>
      <w:pPr>
        <w:spacing w:after="200"/>
      </w:pPr>
    </w:p>
    <w:p>
      <w:pPr>
        <w:pStyle w:val="Heading2"/>
      </w:pPr>
      <w:r>
        <w:rPr>
          <w:rFonts w:ascii="Arial" w:cs="Arial" w:eastAsia="Arial" w:hAnsi="Arial"/>
          <w:b/>
          <w:bCs/>
          <w:color w:val="2E4D7B"/>
          <w:sz w:val="28"/>
          <w:szCs w:val="28"/>
        </w:rPr>
        <w:t xml:space="preserve">The Anatomy of a GMP Inspection</w:t>
      </w:r>
    </w:p>
    <w:p>
      <w:pPr>
        <w:pStyle w:val="Heading3"/>
      </w:pPr>
      <w:r>
        <w:rPr>
          <w:rFonts w:ascii="Arial" w:cs="Arial" w:eastAsia="Arial" w:hAnsi="Arial"/>
          <w:b/>
          <w:bCs/>
          <w:color w:val="1A6B3C"/>
          <w:sz w:val="24"/>
          <w:szCs w:val="24"/>
        </w:rPr>
        <w:t xml:space="preserve">Opening Meeting</w:t>
      </w:r>
    </w:p>
    <w:p>
      <w:pPr>
        <w:spacing w:after="200"/>
      </w:pPr>
      <w:r>
        <w:rPr>
          <w:rFonts w:ascii="Arial" w:cs="Arial" w:eastAsia="Arial" w:hAnsi="Arial"/>
          <w:sz w:val="24"/>
          <w:szCs w:val="24"/>
        </w:rPr>
        <w:t xml:space="preserve">The inspection begins with a formal opening meeting where the inspector(s) introduce themselves, present their credentials, and explain the scope and objectives of the inspection. The site management team introduces key personnel and provides a brief overview of site operations. At this stage, the inspector may request specific documents, systems, or areas for review.</w:t>
      </w:r>
    </w:p>
    <w:p>
      <w:pPr>
        <w:pStyle w:val="Heading3"/>
      </w:pPr>
      <w:r>
        <w:rPr>
          <w:rFonts w:ascii="Arial" w:cs="Arial" w:eastAsia="Arial" w:hAnsi="Arial"/>
          <w:b/>
          <w:bCs/>
          <w:color w:val="1A6B3C"/>
          <w:sz w:val="24"/>
          <w:szCs w:val="24"/>
        </w:rPr>
        <w:t xml:space="preserve">Site Tour and Facility Inspection</w:t>
      </w:r>
    </w:p>
    <w:p>
      <w:pPr>
        <w:spacing w:after="200"/>
      </w:pPr>
      <w:r>
        <w:rPr>
          <w:rFonts w:ascii="Arial" w:cs="Arial" w:eastAsia="Arial" w:hAnsi="Arial"/>
          <w:sz w:val="24"/>
          <w:szCs w:val="24"/>
        </w:rPr>
        <w:t xml:space="preserve">The inspector will tour the manufacturing facility, laboratories, warehouses, and utility areas. They observe actual operations, check environmental conditions, assess equipment status, review cleaning logs, and interview personnel. This is where they assess whether the written procedures match the reality of daily operations.</w:t>
      </w:r>
    </w:p>
    <w:p>
      <w:pPr>
        <w:pStyle w:val="Heading3"/>
      </w:pPr>
      <w:r>
        <w:rPr>
          <w:rFonts w:ascii="Arial" w:cs="Arial" w:eastAsia="Arial" w:hAnsi="Arial"/>
          <w:b/>
          <w:bCs/>
          <w:color w:val="1A6B3C"/>
          <w:sz w:val="24"/>
          <w:szCs w:val="24"/>
        </w:rPr>
        <w:t xml:space="preserve">Document and Data Review</w:t>
      </w:r>
    </w:p>
    <w:p>
      <w:pPr>
        <w:spacing w:after="200"/>
      </w:pPr>
      <w:r>
        <w:rPr>
          <w:rFonts w:ascii="Arial" w:cs="Arial" w:eastAsia="Arial" w:hAnsi="Arial"/>
          <w:sz w:val="24"/>
          <w:szCs w:val="24"/>
        </w:rPr>
        <w:t xml:space="preserve">Inspectors spend a significant portion of the inspection reviewing documentation — batch records, validation reports, deviation files, CAPA records, audit reports, training records, and qualification files. They look for consistency, completeness, and evidence of effective oversight. Increasingly, they also review electronic audit trails and raw data files.</w:t>
      </w:r>
    </w:p>
    <w:p>
      <w:pPr>
        <w:pStyle w:val="Heading3"/>
      </w:pPr>
      <w:r>
        <w:rPr>
          <w:rFonts w:ascii="Arial" w:cs="Arial" w:eastAsia="Arial" w:hAnsi="Arial"/>
          <w:b/>
          <w:bCs/>
          <w:color w:val="1A6B3C"/>
          <w:sz w:val="24"/>
          <w:szCs w:val="24"/>
        </w:rPr>
        <w:t xml:space="preserve">Personnel Interviews</w:t>
      </w:r>
    </w:p>
    <w:p>
      <w:pPr>
        <w:spacing w:after="200"/>
      </w:pPr>
      <w:r>
        <w:rPr>
          <w:rFonts w:ascii="Arial" w:cs="Arial" w:eastAsia="Arial" w:hAnsi="Arial"/>
          <w:sz w:val="24"/>
          <w:szCs w:val="24"/>
        </w:rPr>
        <w:t xml:space="preserve">One of the most revealing aspects of an inspection is the direct interview of operational staff. Inspectors may question operators, analysts, and supervisors about their responsibilities, their understanding of procedures, and how they handle non-conformances. Responses that contradict written procedures, or that reveal a gap between what is documented and what is actually practised, are significant red flags.</w:t>
      </w:r>
    </w:p>
    <w:p>
      <w:pPr>
        <w:pStyle w:val="Heading3"/>
      </w:pPr>
      <w:r>
        <w:rPr>
          <w:rFonts w:ascii="Arial" w:cs="Arial" w:eastAsia="Arial" w:hAnsi="Arial"/>
          <w:b/>
          <w:bCs/>
          <w:color w:val="1A6B3C"/>
          <w:sz w:val="24"/>
          <w:szCs w:val="24"/>
        </w:rPr>
        <w:t xml:space="preserve">Closing Meeting</w:t>
      </w:r>
    </w:p>
    <w:p>
      <w:pPr>
        <w:spacing w:after="200"/>
      </w:pPr>
      <w:r>
        <w:rPr>
          <w:rFonts w:ascii="Arial" w:cs="Arial" w:eastAsia="Arial" w:hAnsi="Arial"/>
          <w:sz w:val="24"/>
          <w:szCs w:val="24"/>
        </w:rPr>
        <w:t xml:space="preserve">At the conclusion of the inspection, the inspector presents a verbal summary of their findings to site management. This includes any deficiencies identified, their classification (critical, major, or other), and any preliminary comments. The written inspection report is issued subsequently — often within weeks.</w:t>
      </w:r>
    </w:p>
    <w:p>
      <w:pPr>
        <w:spacing w:after="200"/>
      </w:pPr>
    </w:p>
    <w:p>
      <w:pPr>
        <w:pStyle w:val="Heading2"/>
      </w:pPr>
      <w:r>
        <w:rPr>
          <w:rFonts w:ascii="Arial" w:cs="Arial" w:eastAsia="Arial" w:hAnsi="Arial"/>
          <w:b/>
          <w:bCs/>
          <w:color w:val="2E4D7B"/>
          <w:sz w:val="28"/>
          <w:szCs w:val="28"/>
        </w:rPr>
        <w:t xml:space="preserve">Classification of Inspection Findings</w:t>
      </w:r>
    </w:p>
    <w:p>
      <w:pPr>
        <w:spacing w:after="200"/>
      </w:pPr>
      <w:r>
        <w:rPr>
          <w:rFonts w:ascii="Arial" w:cs="Arial" w:eastAsia="Arial" w:hAnsi="Arial"/>
          <w:sz w:val="24"/>
          <w:szCs w:val="24"/>
        </w:rPr>
        <w:t xml:space="preserve">Regulatory authorities classify inspection findings (also called deficiencies, observations, or non-conformances) according to their severity:</w:t>
      </w:r>
    </w:p>
    <w:p>
      <w:pPr>
        <w:pStyle w:val="ListParagraph"/>
        <w:numPr>
          <w:ilvl w:val="0"/>
          <w:numId w:val="2"/>
        </w:numPr>
        <w:spacing w:after="200"/>
      </w:pPr>
      <w:r>
        <w:rPr>
          <w:rFonts w:ascii="Arial" w:cs="Arial" w:eastAsia="Arial" w:hAnsi="Arial"/>
          <w:b/>
          <w:bCs/>
          <w:sz w:val="24"/>
          <w:szCs w:val="24"/>
        </w:rPr>
        <w:t xml:space="preserve">Critical Deficiency: </w:t>
      </w:r>
      <w:r>
        <w:rPr>
          <w:rFonts w:ascii="Arial" w:cs="Arial" w:eastAsia="Arial" w:hAnsi="Arial"/>
          <w:sz w:val="24"/>
          <w:szCs w:val="24"/>
        </w:rPr>
        <w:t xml:space="preserve">A deficiency that has caused, or has significant risk of causing, harm to the patient. Examples include contamination of a sterile product, data falsification, or systemic failure of the quality system. Critical findings typically trigger immediate action — including potential site shutdown or product recall.</w:t>
      </w:r>
    </w:p>
    <w:p>
      <w:pPr>
        <w:pStyle w:val="ListParagraph"/>
        <w:numPr>
          <w:ilvl w:val="0"/>
          <w:numId w:val="2"/>
        </w:numPr>
        <w:spacing w:after="200"/>
      </w:pPr>
      <w:r>
        <w:rPr>
          <w:rFonts w:ascii="Arial" w:cs="Arial" w:eastAsia="Arial" w:hAnsi="Arial"/>
          <w:b/>
          <w:bCs/>
          <w:sz w:val="24"/>
          <w:szCs w:val="24"/>
        </w:rPr>
        <w:t xml:space="preserve">Major Deficiency: </w:t>
      </w:r>
      <w:r>
        <w:rPr>
          <w:rFonts w:ascii="Arial" w:cs="Arial" w:eastAsia="Arial" w:hAnsi="Arial"/>
          <w:sz w:val="24"/>
          <w:szCs w:val="24"/>
        </w:rPr>
        <w:t xml:space="preserve">A deficiency that could potentially harm the patient, or that represents a serious failure to comply with GMP requirements, but is not critical. Multiple major findings without critical findings can collectively have a serious regulatory impact.</w:t>
      </w:r>
    </w:p>
    <w:p>
      <w:pPr>
        <w:pStyle w:val="ListParagraph"/>
        <w:numPr>
          <w:ilvl w:val="0"/>
          <w:numId w:val="2"/>
        </w:numPr>
        <w:spacing w:after="200"/>
      </w:pPr>
      <w:r>
        <w:rPr>
          <w:rFonts w:ascii="Arial" w:cs="Arial" w:eastAsia="Arial" w:hAnsi="Arial"/>
          <w:b/>
          <w:bCs/>
          <w:sz w:val="24"/>
          <w:szCs w:val="24"/>
        </w:rPr>
        <w:t xml:space="preserve">Other / Minor Deficiency: </w:t>
      </w:r>
      <w:r>
        <w:rPr>
          <w:rFonts w:ascii="Arial" w:cs="Arial" w:eastAsia="Arial" w:hAnsi="Arial"/>
          <w:sz w:val="24"/>
          <w:szCs w:val="24"/>
        </w:rPr>
        <w:t xml:space="preserve">A deficiency that cannot be classified as critical or major, but indicates a departure from GMP guidelines. While individually less severe, patterns of minor findings can indicate underlying systemic weaknesses.</w:t>
      </w:r>
    </w:p>
    <w:p>
      <w:pPr>
        <w:spacing w:after="200"/>
      </w:pPr>
    </w:p>
    <w:p>
      <w:pPr>
        <w:pStyle w:val="Heading2"/>
      </w:pPr>
      <w:r>
        <w:rPr>
          <w:rFonts w:ascii="Arial" w:cs="Arial" w:eastAsia="Arial" w:hAnsi="Arial"/>
          <w:b/>
          <w:bCs/>
          <w:color w:val="2E4D7B"/>
          <w:sz w:val="28"/>
          <w:szCs w:val="28"/>
        </w:rPr>
        <w:t xml:space="preserve">What Inspectors Look For: The Top Focus Areas</w:t>
      </w:r>
    </w:p>
    <w:p>
      <w:pPr>
        <w:spacing w:after="200"/>
      </w:pPr>
      <w:r>
        <w:rPr>
          <w:rFonts w:ascii="Arial" w:cs="Arial" w:eastAsia="Arial" w:hAnsi="Arial"/>
          <w:sz w:val="24"/>
          <w:szCs w:val="24"/>
        </w:rPr>
        <w:t xml:space="preserve">Whilst each inspection is tailored to the site's profile and the products manufactured, there are common areas that consistently attract regulatory scrutiny:</w:t>
      </w:r>
    </w:p>
    <w:p>
      <w:pPr>
        <w:pStyle w:val="ListParagraph"/>
        <w:numPr>
          <w:ilvl w:val="0"/>
          <w:numId w:val="2"/>
        </w:numPr>
        <w:spacing w:after="120"/>
      </w:pPr>
      <w:r>
        <w:rPr>
          <w:rFonts w:ascii="Arial" w:cs="Arial" w:eastAsia="Arial" w:hAnsi="Arial"/>
          <w:sz w:val="24"/>
          <w:szCs w:val="24"/>
        </w:rPr>
        <w:t xml:space="preserve">Data integrity and audit trail management</w:t>
      </w:r>
    </w:p>
    <w:p>
      <w:pPr>
        <w:pStyle w:val="ListParagraph"/>
        <w:numPr>
          <w:ilvl w:val="0"/>
          <w:numId w:val="2"/>
        </w:numPr>
        <w:spacing w:after="120"/>
      </w:pPr>
      <w:r>
        <w:rPr>
          <w:rFonts w:ascii="Arial" w:cs="Arial" w:eastAsia="Arial" w:hAnsi="Arial"/>
          <w:sz w:val="24"/>
          <w:szCs w:val="24"/>
        </w:rPr>
        <w:t xml:space="preserve">Quality of deviation investigations and CAPA effectiveness</w:t>
      </w:r>
    </w:p>
    <w:p>
      <w:pPr>
        <w:pStyle w:val="ListParagraph"/>
        <w:numPr>
          <w:ilvl w:val="0"/>
          <w:numId w:val="2"/>
        </w:numPr>
        <w:spacing w:after="120"/>
      </w:pPr>
      <w:r>
        <w:rPr>
          <w:rFonts w:ascii="Arial" w:cs="Arial" w:eastAsia="Arial" w:hAnsi="Arial"/>
          <w:sz w:val="24"/>
          <w:szCs w:val="24"/>
        </w:rPr>
        <w:t xml:space="preserve">Validation status — particularly process validation and cleaning validation</w:t>
      </w:r>
    </w:p>
    <w:p>
      <w:pPr>
        <w:pStyle w:val="ListParagraph"/>
        <w:numPr>
          <w:ilvl w:val="0"/>
          <w:numId w:val="2"/>
        </w:numPr>
        <w:spacing w:after="120"/>
      </w:pPr>
      <w:r>
        <w:rPr>
          <w:rFonts w:ascii="Arial" w:cs="Arial" w:eastAsia="Arial" w:hAnsi="Arial"/>
          <w:sz w:val="24"/>
          <w:szCs w:val="24"/>
        </w:rPr>
        <w:t xml:space="preserve">Out-of-Specification (OOS) investigation procedures</w:t>
      </w:r>
    </w:p>
    <w:p>
      <w:pPr>
        <w:pStyle w:val="ListParagraph"/>
        <w:numPr>
          <w:ilvl w:val="0"/>
          <w:numId w:val="2"/>
        </w:numPr>
        <w:spacing w:after="120"/>
      </w:pPr>
      <w:r>
        <w:rPr>
          <w:rFonts w:ascii="Arial" w:cs="Arial" w:eastAsia="Arial" w:hAnsi="Arial"/>
          <w:sz w:val="24"/>
          <w:szCs w:val="24"/>
        </w:rPr>
        <w:t xml:space="preserve">Change control — especially whether changes have been properly assessed and implemented</w:t>
      </w:r>
    </w:p>
    <w:p>
      <w:pPr>
        <w:pStyle w:val="ListParagraph"/>
        <w:numPr>
          <w:ilvl w:val="0"/>
          <w:numId w:val="2"/>
        </w:numPr>
        <w:spacing w:after="120"/>
      </w:pPr>
      <w:r>
        <w:rPr>
          <w:rFonts w:ascii="Arial" w:cs="Arial" w:eastAsia="Arial" w:hAnsi="Arial"/>
          <w:sz w:val="24"/>
          <w:szCs w:val="24"/>
        </w:rPr>
        <w:t xml:space="preserve">Annual Product Review completeness and trend analysis</w:t>
      </w:r>
    </w:p>
    <w:p>
      <w:pPr>
        <w:pStyle w:val="ListParagraph"/>
        <w:numPr>
          <w:ilvl w:val="0"/>
          <w:numId w:val="2"/>
        </w:numPr>
        <w:spacing w:after="120"/>
      </w:pPr>
      <w:r>
        <w:rPr>
          <w:rFonts w:ascii="Arial" w:cs="Arial" w:eastAsia="Arial" w:hAnsi="Arial"/>
          <w:sz w:val="24"/>
          <w:szCs w:val="24"/>
        </w:rPr>
        <w:t xml:space="preserve">Personnel training — both the adequacy of training and evidence of competency</w:t>
      </w:r>
    </w:p>
    <w:p>
      <w:pPr>
        <w:pStyle w:val="ListParagraph"/>
        <w:numPr>
          <w:ilvl w:val="0"/>
          <w:numId w:val="2"/>
        </w:numPr>
        <w:spacing w:after="120"/>
      </w:pPr>
      <w:r>
        <w:rPr>
          <w:rFonts w:ascii="Arial" w:cs="Arial" w:eastAsia="Arial" w:hAnsi="Arial"/>
          <w:sz w:val="24"/>
          <w:szCs w:val="24"/>
        </w:rPr>
        <w:t xml:space="preserve">Environmental monitoring in controlled and aseptic areas</w:t>
      </w:r>
    </w:p>
    <w:p>
      <w:pPr>
        <w:pStyle w:val="ListParagraph"/>
        <w:numPr>
          <w:ilvl w:val="0"/>
          <w:numId w:val="2"/>
        </w:numPr>
        <w:spacing w:after="120"/>
      </w:pPr>
      <w:r>
        <w:rPr>
          <w:rFonts w:ascii="Arial" w:cs="Arial" w:eastAsia="Arial" w:hAnsi="Arial"/>
          <w:sz w:val="24"/>
          <w:szCs w:val="24"/>
        </w:rPr>
        <w:t xml:space="preserve">Supplier and contract manufacturer qualification</w:t>
      </w:r>
    </w:p>
    <w:p>
      <w:pPr>
        <w:pStyle w:val="ListParagraph"/>
        <w:numPr>
          <w:ilvl w:val="0"/>
          <w:numId w:val="2"/>
        </w:numPr>
        <w:spacing w:after="120"/>
      </w:pPr>
      <w:r>
        <w:rPr>
          <w:rFonts w:ascii="Arial" w:cs="Arial" w:eastAsia="Arial" w:hAnsi="Arial"/>
          <w:sz w:val="24"/>
          <w:szCs w:val="24"/>
        </w:rPr>
        <w:t xml:space="preserve">Management review and executive involvement in quality decisions</w:t>
      </w:r>
    </w:p>
    <w:p>
      <w:pPr>
        <w:spacing w:after="200"/>
      </w:pPr>
    </w:p>
    <w:p>
      <w:pPr>
        <w:pStyle w:val="Heading2"/>
      </w:pPr>
      <w:r>
        <w:rPr>
          <w:rFonts w:ascii="Arial" w:cs="Arial" w:eastAsia="Arial" w:hAnsi="Arial"/>
          <w:b/>
          <w:bCs/>
          <w:color w:val="2E4D7B"/>
          <w:sz w:val="28"/>
          <w:szCs w:val="28"/>
        </w:rPr>
        <w:t xml:space="preserve">Building Genuine Inspection Readiness</w:t>
      </w:r>
    </w:p>
    <w:p>
      <w:pPr>
        <w:spacing w:after="200"/>
      </w:pPr>
      <w:r>
        <w:rPr>
          <w:rFonts w:ascii="Arial" w:cs="Arial" w:eastAsia="Arial" w:hAnsi="Arial"/>
          <w:sz w:val="24"/>
          <w:szCs w:val="24"/>
        </w:rPr>
        <w:t xml:space="preserve">The most effective inspection preparation is not a sprint — it is a continuous marathon. Sites that only mobilise for inspections when an announcement arrives are already at a disadvantage. True inspection readiness means maintaining compliance every day.</w:t>
      </w:r>
    </w:p>
    <w:p>
      <w:pPr>
        <w:spacing w:after="200"/>
      </w:pPr>
      <w:r>
        <w:rPr>
          <w:rFonts w:ascii="Arial" w:cs="Arial" w:eastAsia="Arial" w:hAnsi="Arial"/>
          <w:sz w:val="24"/>
          <w:szCs w:val="24"/>
        </w:rPr>
        <w:t xml:space="preserve">Practical steps to build continuous inspection readiness include:</w:t>
      </w:r>
    </w:p>
    <w:p>
      <w:pPr>
        <w:pStyle w:val="ListParagraph"/>
        <w:numPr>
          <w:ilvl w:val="0"/>
          <w:numId w:val="2"/>
        </w:numPr>
        <w:spacing w:after="200"/>
      </w:pPr>
      <w:r>
        <w:rPr>
          <w:rFonts w:ascii="Arial" w:cs="Arial" w:eastAsia="Arial" w:hAnsi="Arial"/>
          <w:b/>
          <w:bCs/>
          <w:sz w:val="24"/>
          <w:szCs w:val="24"/>
        </w:rPr>
        <w:t xml:space="preserve">Regular self-inspections: </w:t>
      </w:r>
      <w:r>
        <w:rPr>
          <w:rFonts w:ascii="Arial" w:cs="Arial" w:eastAsia="Arial" w:hAnsi="Arial"/>
          <w:sz w:val="24"/>
          <w:szCs w:val="24"/>
        </w:rPr>
        <w:t xml:space="preserve">Conduct thorough internal audits of all GMP systems at least annually, with unannounced spot checks in between. Treat your own internal auditors with the same rigour you would an FDA inspector.</w:t>
      </w:r>
    </w:p>
    <w:p>
      <w:pPr>
        <w:pStyle w:val="ListParagraph"/>
        <w:numPr>
          <w:ilvl w:val="0"/>
          <w:numId w:val="2"/>
        </w:numPr>
        <w:spacing w:after="200"/>
      </w:pPr>
      <w:r>
        <w:rPr>
          <w:rFonts w:ascii="Arial" w:cs="Arial" w:eastAsia="Arial" w:hAnsi="Arial"/>
          <w:b/>
          <w:bCs/>
          <w:sz w:val="24"/>
          <w:szCs w:val="24"/>
        </w:rPr>
        <w:t xml:space="preserve">Mock inspections: </w:t>
      </w:r>
      <w:r>
        <w:rPr>
          <w:rFonts w:ascii="Arial" w:cs="Arial" w:eastAsia="Arial" w:hAnsi="Arial"/>
          <w:sz w:val="24"/>
          <w:szCs w:val="24"/>
        </w:rPr>
        <w:t xml:space="preserve">Periodically conduct realistic mock regulatory inspections with an experienced external assessor. These reveal gaps that routine self-inspections may miss — particularly in how staff respond to direct questions.</w:t>
      </w:r>
    </w:p>
    <w:p>
      <w:pPr>
        <w:pStyle w:val="ListParagraph"/>
        <w:numPr>
          <w:ilvl w:val="0"/>
          <w:numId w:val="2"/>
        </w:numPr>
        <w:spacing w:after="200"/>
      </w:pPr>
      <w:r>
        <w:rPr>
          <w:rFonts w:ascii="Arial" w:cs="Arial" w:eastAsia="Arial" w:hAnsi="Arial"/>
          <w:b/>
          <w:bCs/>
          <w:sz w:val="24"/>
          <w:szCs w:val="24"/>
        </w:rPr>
        <w:t xml:space="preserve">Document readiness: </w:t>
      </w:r>
      <w:r>
        <w:rPr>
          <w:rFonts w:ascii="Arial" w:cs="Arial" w:eastAsia="Arial" w:hAnsi="Arial"/>
          <w:sz w:val="24"/>
          <w:szCs w:val="24"/>
        </w:rPr>
        <w:t xml:space="preserve">Maintain a live Inspection Readiness File containing key documents that inspectors routinely request: the Site Master File, Validation Master Plan, training matrices, and Quality Management Review minutes.</w:t>
      </w:r>
    </w:p>
    <w:p>
      <w:pPr>
        <w:pStyle w:val="ListParagraph"/>
        <w:numPr>
          <w:ilvl w:val="0"/>
          <w:numId w:val="2"/>
        </w:numPr>
        <w:spacing w:after="200"/>
      </w:pPr>
      <w:r>
        <w:rPr>
          <w:rFonts w:ascii="Arial" w:cs="Arial" w:eastAsia="Arial" w:hAnsi="Arial"/>
          <w:b/>
          <w:bCs/>
          <w:sz w:val="24"/>
          <w:szCs w:val="24"/>
        </w:rPr>
        <w:t xml:space="preserve">Train everyone, not just QA: </w:t>
      </w:r>
      <w:r>
        <w:rPr>
          <w:rFonts w:ascii="Arial" w:cs="Arial" w:eastAsia="Arial" w:hAnsi="Arial"/>
          <w:sz w:val="24"/>
          <w:szCs w:val="24"/>
        </w:rPr>
        <w:t xml:space="preserve">Every member of staff who may interact with an inspector — from the security guard at the gate to the manufacturing operator — should receive basic inspection training. They should know how to behave professionally and what to do if approached by an inspector.</w:t>
      </w:r>
    </w:p>
    <w:p>
      <w:pPr>
        <w:pStyle w:val="ListParagraph"/>
        <w:numPr>
          <w:ilvl w:val="0"/>
          <w:numId w:val="2"/>
        </w:numPr>
        <w:spacing w:after="200"/>
      </w:pPr>
      <w:r>
        <w:rPr>
          <w:rFonts w:ascii="Arial" w:cs="Arial" w:eastAsia="Arial" w:hAnsi="Arial"/>
          <w:b/>
          <w:bCs/>
          <w:sz w:val="24"/>
          <w:szCs w:val="24"/>
        </w:rPr>
        <w:t xml:space="preserve">Respond to previous findings: </w:t>
      </w:r>
      <w:r>
        <w:rPr>
          <w:rFonts w:ascii="Arial" w:cs="Arial" w:eastAsia="Arial" w:hAnsi="Arial"/>
          <w:sz w:val="24"/>
          <w:szCs w:val="24"/>
        </w:rPr>
        <w:t xml:space="preserve">The most common inspection failure is presenting a CAPA that was not actually implemented. Regulatory authorities track previous inspection findings and verify closure. Incomplete CAPAs are a major red flag.</w:t>
      </w:r>
    </w:p>
    <w:p>
      <w:pPr>
        <w:pStyle w:val="ListParagraph"/>
        <w:numPr>
          <w:ilvl w:val="0"/>
          <w:numId w:val="2"/>
        </w:numPr>
        <w:spacing w:after="200"/>
      </w:pPr>
      <w:r>
        <w:rPr>
          <w:rFonts w:ascii="Arial" w:cs="Arial" w:eastAsia="Arial" w:hAnsi="Arial"/>
          <w:b/>
          <w:bCs/>
          <w:sz w:val="24"/>
          <w:szCs w:val="24"/>
        </w:rPr>
        <w:t xml:space="preserve">Maintain a healthy quality culture: </w:t>
      </w:r>
      <w:r>
        <w:rPr>
          <w:rFonts w:ascii="Arial" w:cs="Arial" w:eastAsia="Arial" w:hAnsi="Arial"/>
          <w:sz w:val="24"/>
          <w:szCs w:val="24"/>
        </w:rPr>
        <w:t xml:space="preserve">Inspectors are skilled at detecting whether compliance is genuinely embedded in the organisation or merely performed for the inspection. Sites where quality is genuinely valued — where deviations are reported openly, where management engages with quality metrics — consistently achieve better outcomes.</w:t>
      </w:r>
    </w:p>
    <w:p>
      <w:pPr>
        <w:spacing w:after="200"/>
      </w:pPr>
    </w:p>
    <w:p>
      <w:pPr>
        <w:pStyle w:val="Heading2"/>
      </w:pPr>
      <w:r>
        <w:rPr>
          <w:rFonts w:ascii="Arial" w:cs="Arial" w:eastAsia="Arial" w:hAnsi="Arial"/>
          <w:b/>
          <w:bCs/>
          <w:color w:val="2E4D7B"/>
          <w:sz w:val="28"/>
          <w:szCs w:val="28"/>
        </w:rPr>
        <w:t xml:space="preserve">After the Inspection: Responding to Findings</w:t>
      </w:r>
    </w:p>
    <w:p>
      <w:pPr>
        <w:spacing w:after="200"/>
      </w:pPr>
      <w:r>
        <w:rPr>
          <w:rFonts w:ascii="Arial" w:cs="Arial" w:eastAsia="Arial" w:hAnsi="Arial"/>
          <w:sz w:val="24"/>
          <w:szCs w:val="24"/>
        </w:rPr>
        <w:t xml:space="preserve">Receiving an inspection report with findings is not a failure — it is an opportunity. How a site responds to inspection findings is as important as the compliance status at the time of the inspection.</w:t>
      </w:r>
    </w:p>
    <w:p>
      <w:pPr>
        <w:spacing w:after="200"/>
      </w:pPr>
      <w:r>
        <w:rPr>
          <w:rFonts w:ascii="Arial" w:cs="Arial" w:eastAsia="Arial" w:hAnsi="Arial"/>
          <w:sz w:val="24"/>
          <w:szCs w:val="24"/>
        </w:rPr>
        <w:t xml:space="preserve">An effective inspection response should:</w:t>
      </w:r>
    </w:p>
    <w:p>
      <w:pPr>
        <w:pStyle w:val="ListParagraph"/>
        <w:numPr>
          <w:ilvl w:val="0"/>
          <w:numId w:val="2"/>
        </w:numPr>
        <w:spacing w:after="120"/>
      </w:pPr>
      <w:r>
        <w:rPr>
          <w:rFonts w:ascii="Arial" w:cs="Arial" w:eastAsia="Arial" w:hAnsi="Arial"/>
          <w:sz w:val="24"/>
          <w:szCs w:val="24"/>
        </w:rPr>
        <w:t xml:space="preserve">Acknowledge each finding fully and without defensiveness</w:t>
      </w:r>
    </w:p>
    <w:p>
      <w:pPr>
        <w:pStyle w:val="ListParagraph"/>
        <w:numPr>
          <w:ilvl w:val="0"/>
          <w:numId w:val="2"/>
        </w:numPr>
        <w:spacing w:after="120"/>
      </w:pPr>
      <w:r>
        <w:rPr>
          <w:rFonts w:ascii="Arial" w:cs="Arial" w:eastAsia="Arial" w:hAnsi="Arial"/>
          <w:sz w:val="24"/>
          <w:szCs w:val="24"/>
        </w:rPr>
        <w:t xml:space="preserve">Provide a thorough root cause analysis for each deficiency</w:t>
      </w:r>
    </w:p>
    <w:p>
      <w:pPr>
        <w:pStyle w:val="ListParagraph"/>
        <w:numPr>
          <w:ilvl w:val="0"/>
          <w:numId w:val="2"/>
        </w:numPr>
        <w:spacing w:after="120"/>
      </w:pPr>
      <w:r>
        <w:rPr>
          <w:rFonts w:ascii="Arial" w:cs="Arial" w:eastAsia="Arial" w:hAnsi="Arial"/>
          <w:sz w:val="24"/>
          <w:szCs w:val="24"/>
        </w:rPr>
        <w:t xml:space="preserve">Detail the immediate corrective actions already taken</w:t>
      </w:r>
    </w:p>
    <w:p>
      <w:pPr>
        <w:pStyle w:val="ListParagraph"/>
        <w:numPr>
          <w:ilvl w:val="0"/>
          <w:numId w:val="2"/>
        </w:numPr>
        <w:spacing w:after="120"/>
      </w:pPr>
      <w:r>
        <w:rPr>
          <w:rFonts w:ascii="Arial" w:cs="Arial" w:eastAsia="Arial" w:hAnsi="Arial"/>
          <w:sz w:val="24"/>
          <w:szCs w:val="24"/>
        </w:rPr>
        <w:t xml:space="preserve">Provide a realistic timeline for all remaining actions</w:t>
      </w:r>
    </w:p>
    <w:p>
      <w:pPr>
        <w:pStyle w:val="ListParagraph"/>
        <w:numPr>
          <w:ilvl w:val="0"/>
          <w:numId w:val="2"/>
        </w:numPr>
        <w:spacing w:after="120"/>
      </w:pPr>
      <w:r>
        <w:rPr>
          <w:rFonts w:ascii="Arial" w:cs="Arial" w:eastAsia="Arial" w:hAnsi="Arial"/>
          <w:sz w:val="24"/>
          <w:szCs w:val="24"/>
        </w:rPr>
        <w:t xml:space="preserve">Demonstrate systemic thinking — addressing not just the specific instance but the underlying cause</w:t>
      </w:r>
    </w:p>
    <w:p>
      <w:pPr>
        <w:pStyle w:val="ListParagraph"/>
        <w:numPr>
          <w:ilvl w:val="0"/>
          <w:numId w:val="2"/>
        </w:numPr>
        <w:spacing w:after="120"/>
      </w:pPr>
      <w:r>
        <w:rPr>
          <w:rFonts w:ascii="Arial" w:cs="Arial" w:eastAsia="Arial" w:hAnsi="Arial"/>
          <w:sz w:val="24"/>
          <w:szCs w:val="24"/>
        </w:rPr>
        <w:t xml:space="preserve">Be submitted within the timeframe specified by the regulatory authority (typically 30 days)</w:t>
      </w:r>
    </w:p>
    <w:p>
      <w:pPr>
        <w:spacing w:after="200"/>
      </w:pPr>
    </w:p>
    <w:p>
      <w:pPr>
        <w:pStyle w:val="Heading2"/>
      </w:pPr>
      <w:r>
        <w:rPr>
          <w:rFonts w:ascii="Arial" w:cs="Arial" w:eastAsia="Arial" w:hAnsi="Arial"/>
          <w:b/>
          <w:bCs/>
          <w:color w:val="2E4D7B"/>
          <w:sz w:val="28"/>
          <w:szCs w:val="28"/>
        </w:rPr>
        <w:t xml:space="preserve">Conclusion</w:t>
      </w:r>
    </w:p>
    <w:p>
      <w:pPr>
        <w:spacing w:after="200"/>
      </w:pPr>
      <w:r>
        <w:rPr>
          <w:rFonts w:ascii="Arial" w:cs="Arial" w:eastAsia="Arial" w:hAnsi="Arial"/>
          <w:sz w:val="24"/>
          <w:szCs w:val="24"/>
        </w:rPr>
        <w:t xml:space="preserve">A GMP inspection is not something to fear — it is the regulatory system working as it should, providing independent assurance that pharmaceutical manufacturers are meeting their obligations to patients. The organisations that approach inspections with confidence are those that have made compliance a genuine part of their culture, not a performance to be staged.</w:t>
      </w:r>
    </w:p>
    <w:p>
      <w:pPr>
        <w:spacing w:after="400"/>
      </w:pPr>
      <w:r>
        <w:rPr>
          <w:rFonts w:ascii="Arial" w:cs="Arial" w:eastAsia="Arial" w:hAnsi="Arial"/>
          <w:sz w:val="24"/>
          <w:szCs w:val="24"/>
        </w:rPr>
        <w:t xml:space="preserve">At Qualizenz, we believe that every pharmaceutical professional deserves access to the knowledge and tools they need to achieve and maintain excellent compliance standards. These articles represent just the beginning — explore our full Knowledge Hub for deeper dives, practical templates, and expert guidance on every aspect of pharmaceutical compliance.</w:t>
      </w:r>
    </w:p>
    <w:p>
      <w:pPr>
        <w:pBdr>
          <w:top w:val="single" w:color="4B2D8E" w:sz="4" w:space="1"/>
        </w:pBdr>
        <w:spacing w:after="120" w:before="240"/>
        <w:jc w:val="center"/>
      </w:pPr>
      <w:r>
        <w:rPr>
          <w:rFonts w:ascii="Arial" w:cs="Arial" w:eastAsia="Arial" w:hAnsi="Arial"/>
          <w:b/>
          <w:bCs/>
          <w:color w:val="4B2D8E"/>
          <w:sz w:val="18"/>
          <w:szCs w:val="18"/>
        </w:rPr>
        <w:t xml:space="preserve">Qualizenz | Expert Pharmaceutical Knowledge Made Simple</w:t>
      </w:r>
    </w:p>
    <w:p>
      <w:pPr>
        <w:jc w:val="center"/>
      </w:pPr>
      <w:r>
        <w:rPr>
          <w:rFonts w:ascii="Arial" w:cs="Arial" w:eastAsia="Arial" w:hAnsi="Arial"/>
          <w:color w:val="888888"/>
          <w:sz w:val="18"/>
          <w:szCs w:val="18"/>
        </w:rPr>
        <w:t xml:space="preserve">www.qualizenz.com  |  Knowledge  |  Templates  |  Tools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4B2D8E"/>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4D7B"/>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1A6B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2026-05-31T02:46:04.397Z</dcterms:created>
  <dcterms:modified xsi:type="dcterms:W3CDTF">2026-05-31T02:46:04.397Z</dcterms:modified>
</cp:coreProperties>
</file>

<file path=docProps/custom.xml><?xml version="1.0" encoding="utf-8"?>
<Properties xmlns="http://schemas.openxmlformats.org/officeDocument/2006/custom-properties" xmlns:vt="http://schemas.openxmlformats.org/officeDocument/2006/docPropsVTypes"/>
</file>