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4B2D8E"/>
          <w:sz w:val="20"/>
          <w:szCs w:val="20"/>
        </w:rPr>
        <w:t xml:space="preserve">QUALIZENZ</w:t>
      </w:r>
    </w:p>
    <w:p>
      <w:pPr>
        <w:pBdr>
          <w:bottom w:val="single" w:color="4B2D8E" w:sz="4" w:space="1"/>
        </w:pBdr>
        <w:spacing w:after="400"/>
        <w:jc w:val="center"/>
      </w:pPr>
      <w:r>
        <w:rPr>
          <w:rFonts w:ascii="Arial" w:cs="Arial" w:eastAsia="Arial" w:hAnsi="Arial"/>
          <w:i/>
          <w:iCs/>
          <w:color w:val="666666"/>
          <w:sz w:val="18"/>
          <w:szCs w:val="18"/>
        </w:rPr>
        <w:t xml:space="preserve">Expert Pharmaceutical Knowledge Made Simple</w:t>
      </w:r>
    </w:p>
    <w:p>
      <w:pPr>
        <w:spacing w:after="120"/>
        <w:jc w:val="center"/>
      </w:pPr>
      <w:r>
        <w:rPr>
          <w:rFonts w:ascii="Arial" w:cs="Arial" w:eastAsia="Arial" w:hAnsi="Arial"/>
          <w:b/>
          <w:bCs/>
          <w:color w:val="4B2D8E"/>
          <w:sz w:val="20"/>
          <w:szCs w:val="20"/>
        </w:rPr>
        <w:t xml:space="preserve">ARTICLE 6</w:t>
      </w:r>
    </w:p>
    <w:p>
      <w:pPr>
        <w:pStyle w:val="Heading1"/>
        <w:jc w:val="center"/>
      </w:pPr>
      <w:r>
        <w:rPr>
          <w:rFonts w:ascii="Arial" w:cs="Arial" w:eastAsia="Arial" w:hAnsi="Arial"/>
          <w:b/>
          <w:bCs/>
          <w:color w:val="4B2D8E"/>
          <w:sz w:val="38"/>
          <w:szCs w:val="38"/>
        </w:rPr>
        <w:t xml:space="preserve">Artificial Intelligence in the Pharmaceutical Industry</w:t>
      </w:r>
    </w:p>
    <w:p>
      <w:pPr>
        <w:spacing w:after="160"/>
        <w:jc w:val="center"/>
      </w:pPr>
      <w:r>
        <w:rPr>
          <w:rFonts w:ascii="Arial" w:cs="Arial" w:eastAsia="Arial" w:hAnsi="Arial"/>
          <w:i/>
          <w:iCs/>
          <w:color w:val="555555"/>
          <w:sz w:val="22"/>
          <w:szCs w:val="22"/>
        </w:rPr>
        <w:t xml:space="preserve">Transforming Drug Discovery, Manufacturing, Quality, and Compliance</w:t>
      </w:r>
    </w:p>
    <w:p>
      <w:pPr>
        <w:spacing w:after="480"/>
        <w:jc w:val="center"/>
      </w:pPr>
      <w:r>
        <w:rPr>
          <w:rFonts w:ascii="Arial" w:cs="Arial" w:eastAsia="Arial" w:hAnsi="Arial"/>
          <w:color w:val="888888"/>
          <w:sz w:val="18"/>
          <w:szCs w:val="18"/>
        </w:rPr>
        <w:t xml:space="preserve">Published: May 2026  |  Qualizenz Knowledge Hub</w:t>
      </w:r>
    </w:p>
    <w:p>
      <w:pPr>
        <w:pStyle w:val="Heading2"/>
      </w:pPr>
      <w:r>
        <w:rPr>
          <w:rFonts w:ascii="Arial" w:cs="Arial" w:eastAsia="Arial" w:hAnsi="Arial"/>
          <w:b/>
          <w:bCs/>
          <w:color w:val="2E4D7B"/>
          <w:sz w:val="28"/>
          <w:szCs w:val="28"/>
        </w:rPr>
        <w:t xml:space="preserve">Introduction</w:t>
      </w:r>
    </w:p>
    <w:p>
      <w:pPr>
        <w:spacing w:after="200"/>
      </w:pPr>
      <w:r>
        <w:rPr>
          <w:rFonts w:ascii="Arial" w:cs="Arial" w:eastAsia="Arial" w:hAnsi="Arial"/>
          <w:sz w:val="24"/>
          <w:szCs w:val="24"/>
        </w:rPr>
        <w:t xml:space="preserve">Artificial intelligence (AI) is no longer a distant ambition for the pharmaceutical industry — it is a present-day reality reshaping how medicines are discovered, developed, manufactured, and regulated. From machine learning algorithms that identify new drug candidates in days rather than decades, to AI-powered quality systems that detect manufacturing deviations before they cause harm, the pharmaceutical sector is experiencing one of the most profound technological transformations in its history.</w:t>
      </w:r>
    </w:p>
    <w:p>
      <w:pPr>
        <w:spacing w:after="200"/>
      </w:pPr>
      <w:r>
        <w:rPr>
          <w:rFonts w:ascii="Arial" w:cs="Arial" w:eastAsia="Arial" w:hAnsi="Arial"/>
          <w:sz w:val="24"/>
          <w:szCs w:val="24"/>
        </w:rPr>
        <w:t xml:space="preserve">The scale of investment reflects this shift. Pharmaceutical companies committed over $4 billion to AI in 2025 alone, with projections suggesting this will rise to $25.7 billion over the next four years. The global AI in pharma market, valued at approximately $3 billion in 2025, is expected to reach $16.5 billion by 2034. These are not speculative numbers — they represent real capital flowing into real applications that are already changing the way the industry operates.</w:t>
      </w:r>
    </w:p>
    <w:p>
      <w:pPr>
        <w:spacing w:after="320"/>
      </w:pPr>
      <w:r>
        <w:rPr>
          <w:rFonts w:ascii="Arial" w:cs="Arial" w:eastAsia="Arial" w:hAnsi="Arial"/>
          <w:sz w:val="24"/>
          <w:szCs w:val="24"/>
        </w:rPr>
        <w:t xml:space="preserve">Yet with opportunity comes complexity. For pharmaceutical professionals — particularly those working in quality assurance, regulatory affairs, and manufacturing — AI raises important questions about validation, data integrity, regulatory compliance, and human oversight. This article provides a comprehensive overview of AI's role in pharmaceuticals today, with particular focus on its implications for GMP compliance and quality systems.</w:t>
      </w:r>
    </w:p>
    <w:p>
      <w:pPr>
        <w:pStyle w:val="Heading2"/>
      </w:pPr>
      <w:r>
        <w:rPr>
          <w:rFonts w:ascii="Arial" w:cs="Arial" w:eastAsia="Arial" w:hAnsi="Arial"/>
          <w:b/>
          <w:bCs/>
          <w:color w:val="2E4D7B"/>
          <w:sz w:val="28"/>
          <w:szCs w:val="28"/>
        </w:rPr>
        <w:t xml:space="preserve">What Is AI in the Pharmaceutical Context?</w:t>
      </w:r>
    </w:p>
    <w:p>
      <w:pPr>
        <w:spacing w:after="200"/>
      </w:pPr>
      <w:r>
        <w:rPr>
          <w:rFonts w:ascii="Arial" w:cs="Arial" w:eastAsia="Arial" w:hAnsi="Arial"/>
          <w:sz w:val="24"/>
          <w:szCs w:val="24"/>
        </w:rPr>
        <w:t xml:space="preserve">In the pharmaceutical context, artificial intelligence refers to the use of advanced algorithms and computational models — including machine learning (ML), deep learning, natural language processing (NLP), and generative AI — to perform tasks that traditionally required human expertise. These tasks include analysing chemical structures, predicting clinical trial outcomes, detecting anomalies in manufacturing data, and automating regulatory document review.</w:t>
      </w:r>
    </w:p>
    <w:p>
      <w:pPr>
        <w:spacing w:after="200"/>
      </w:pPr>
      <w:r>
        <w:rPr>
          <w:rFonts w:ascii="Arial" w:cs="Arial" w:eastAsia="Arial" w:hAnsi="Arial"/>
          <w:sz w:val="24"/>
          <w:szCs w:val="24"/>
        </w:rPr>
        <w:t xml:space="preserve">The pharmaceutical industry has historically been what analysts describe as 'data-rich but insight-poor.' Vast quantities of research data, clinical trial results, manufacturing records, and adverse event reports are generated daily — yet much of this information has historically sat in silos, underutilised. AI transforms this scattered data into actionable intelligence, enabling faster, more informed decisions at every stage of the pharmaceutical value chain.</w:t>
      </w:r>
    </w:p>
    <w:p>
      <w:pPr>
        <w:spacing w:after="200"/>
      </w:pPr>
      <w:r>
        <w:rPr>
          <w:rFonts w:ascii="Arial" w:cs="Arial" w:eastAsia="Arial" w:hAnsi="Arial"/>
          <w:sz w:val="24"/>
          <w:szCs w:val="24"/>
        </w:rPr>
        <w:t xml:space="preserve">The key AI technologies applied in pharmaceuticals include:</w:t>
      </w:r>
    </w:p>
    <w:p>
      <w:pPr>
        <w:pStyle w:val="ListParagraph"/>
        <w:numPr>
          <w:ilvl w:val="0"/>
          <w:numId w:val="2"/>
        </w:numPr>
        <w:spacing w:after="160"/>
      </w:pPr>
      <w:r>
        <w:rPr>
          <w:rFonts w:ascii="Arial" w:cs="Arial" w:eastAsia="Arial" w:hAnsi="Arial"/>
          <w:b/>
          <w:bCs/>
          <w:sz w:val="24"/>
          <w:szCs w:val="24"/>
        </w:rPr>
        <w:t xml:space="preserve">Machine Learning (ML): </w:t>
      </w:r>
      <w:r>
        <w:rPr>
          <w:rFonts w:ascii="Arial" w:cs="Arial" w:eastAsia="Arial" w:hAnsi="Arial"/>
          <w:sz w:val="24"/>
          <w:szCs w:val="24"/>
        </w:rPr>
        <w:t xml:space="preserve">Algorithms that learn patterns from data and improve their performance over time without being explicitly reprogrammed. Used extensively in drug discovery, predictive quality analytics, and patient stratification.</w:t>
      </w:r>
    </w:p>
    <w:p>
      <w:pPr>
        <w:pStyle w:val="ListParagraph"/>
        <w:numPr>
          <w:ilvl w:val="0"/>
          <w:numId w:val="2"/>
        </w:numPr>
        <w:spacing w:after="160"/>
      </w:pPr>
      <w:r>
        <w:rPr>
          <w:rFonts w:ascii="Arial" w:cs="Arial" w:eastAsia="Arial" w:hAnsi="Arial"/>
          <w:b/>
          <w:bCs/>
          <w:sz w:val="24"/>
          <w:szCs w:val="24"/>
        </w:rPr>
        <w:t xml:space="preserve">Deep Learning: </w:t>
      </w:r>
      <w:r>
        <w:rPr>
          <w:rFonts w:ascii="Arial" w:cs="Arial" w:eastAsia="Arial" w:hAnsi="Arial"/>
          <w:sz w:val="24"/>
          <w:szCs w:val="24"/>
        </w:rPr>
        <w:t xml:space="preserve">A subset of ML using multi-layered neural networks capable of processing complex, unstructured data such as medical images, genomic sequences, and molecular structures.</w:t>
      </w:r>
    </w:p>
    <w:p>
      <w:pPr>
        <w:pStyle w:val="ListParagraph"/>
        <w:numPr>
          <w:ilvl w:val="0"/>
          <w:numId w:val="2"/>
        </w:numPr>
        <w:spacing w:after="160"/>
      </w:pPr>
      <w:r>
        <w:rPr>
          <w:rFonts w:ascii="Arial" w:cs="Arial" w:eastAsia="Arial" w:hAnsi="Arial"/>
          <w:b/>
          <w:bCs/>
          <w:sz w:val="24"/>
          <w:szCs w:val="24"/>
        </w:rPr>
        <w:t xml:space="preserve">Natural Language Processing (NLP): </w:t>
      </w:r>
      <w:r>
        <w:rPr>
          <w:rFonts w:ascii="Arial" w:cs="Arial" w:eastAsia="Arial" w:hAnsi="Arial"/>
          <w:sz w:val="24"/>
          <w:szCs w:val="24"/>
        </w:rPr>
        <w:t xml:space="preserve">AI that understands and generates human language. Applied in pharmacovigilance (automated adverse event detection), regulatory document review, and literature mining.</w:t>
      </w:r>
    </w:p>
    <w:p>
      <w:pPr>
        <w:pStyle w:val="ListParagraph"/>
        <w:numPr>
          <w:ilvl w:val="0"/>
          <w:numId w:val="2"/>
        </w:numPr>
        <w:spacing w:after="160"/>
      </w:pPr>
      <w:r>
        <w:rPr>
          <w:rFonts w:ascii="Arial" w:cs="Arial" w:eastAsia="Arial" w:hAnsi="Arial"/>
          <w:b/>
          <w:bCs/>
          <w:sz w:val="24"/>
          <w:szCs w:val="24"/>
        </w:rPr>
        <w:t xml:space="preserve">Generative AI: </w:t>
      </w:r>
      <w:r>
        <w:rPr>
          <w:rFonts w:ascii="Arial" w:cs="Arial" w:eastAsia="Arial" w:hAnsi="Arial"/>
          <w:sz w:val="24"/>
          <w:szCs w:val="24"/>
        </w:rPr>
        <w:t xml:space="preserve">AI that creates new content — including novel molecular structures, synthetic clinical trial data, and regulatory submission drafts. Generative AI carries particular promise in drug design but also raises unique GMP compliance challenges.</w:t>
      </w:r>
    </w:p>
    <w:p>
      <w:pPr>
        <w:pStyle w:val="ListParagraph"/>
        <w:numPr>
          <w:ilvl w:val="0"/>
          <w:numId w:val="2"/>
        </w:numPr>
        <w:spacing w:after="160"/>
      </w:pPr>
      <w:r>
        <w:rPr>
          <w:rFonts w:ascii="Arial" w:cs="Arial" w:eastAsia="Arial" w:hAnsi="Arial"/>
          <w:b/>
          <w:bCs/>
          <w:sz w:val="24"/>
          <w:szCs w:val="24"/>
        </w:rPr>
        <w:t xml:space="preserve">Computer Vision: </w:t>
      </w:r>
      <w:r>
        <w:rPr>
          <w:rFonts w:ascii="Arial" w:cs="Arial" w:eastAsia="Arial" w:hAnsi="Arial"/>
          <w:sz w:val="24"/>
          <w:szCs w:val="24"/>
        </w:rPr>
        <w:t xml:space="preserve">AI that interprets visual information. Used in tablet inspection, vial fill-level verification, and pathology image analysis.</w:t>
      </w:r>
    </w:p>
    <w:p>
      <w:pPr>
        <w:pStyle w:val="ListParagraph"/>
        <w:numPr>
          <w:ilvl w:val="0"/>
          <w:numId w:val="2"/>
        </w:numPr>
        <w:spacing w:after="160"/>
      </w:pPr>
      <w:r>
        <w:rPr>
          <w:rFonts w:ascii="Arial" w:cs="Arial" w:eastAsia="Arial" w:hAnsi="Arial"/>
          <w:b/>
          <w:bCs/>
          <w:sz w:val="24"/>
          <w:szCs w:val="24"/>
        </w:rPr>
        <w:t xml:space="preserve">Robotics Process Automation (RPA): </w:t>
      </w:r>
      <w:r>
        <w:rPr>
          <w:rFonts w:ascii="Arial" w:cs="Arial" w:eastAsia="Arial" w:hAnsi="Arial"/>
          <w:sz w:val="24"/>
          <w:szCs w:val="24"/>
        </w:rPr>
        <w:t xml:space="preserve">Automated execution of repetitive rule-based tasks, such as data entry, batch record compilation, and regulatory filing management.</w:t>
      </w:r>
    </w:p>
    <w:p>
      <w:pPr>
        <w:spacing w:after="200"/>
      </w:pPr>
    </w:p>
    <w:p>
      <w:pPr>
        <w:pStyle w:val="Heading2"/>
      </w:pPr>
      <w:r>
        <w:rPr>
          <w:rFonts w:ascii="Arial" w:cs="Arial" w:eastAsia="Arial" w:hAnsi="Arial"/>
          <w:b/>
          <w:bCs/>
          <w:color w:val="2E4D7B"/>
          <w:sz w:val="28"/>
          <w:szCs w:val="28"/>
        </w:rPr>
        <w:t xml:space="preserve">AI in Drug Discovery and Development</w:t>
      </w:r>
    </w:p>
    <w:p>
      <w:pPr>
        <w:spacing w:after="200"/>
      </w:pPr>
      <w:r>
        <w:rPr>
          <w:rFonts w:ascii="Arial" w:cs="Arial" w:eastAsia="Arial" w:hAnsi="Arial"/>
          <w:sz w:val="24"/>
          <w:szCs w:val="24"/>
        </w:rPr>
        <w:t xml:space="preserve">Drug discovery has historically been one of the most expensive and time-consuming endeavours in science. Bringing a new medicine from concept to patient typically takes 10 to 15 years and costs in excess of $2 billion — with a failure rate exceeding 90% at clinical trial stage. AI is beginning to change this equation fundamentally.</w:t>
      </w:r>
    </w:p>
    <w:p>
      <w:pPr>
        <w:pStyle w:val="Heading3"/>
      </w:pPr>
      <w:r>
        <w:rPr>
          <w:rFonts w:ascii="Arial" w:cs="Arial" w:eastAsia="Arial" w:hAnsi="Arial"/>
          <w:b/>
          <w:bCs/>
          <w:color w:val="1A6B3C"/>
          <w:sz w:val="24"/>
          <w:szCs w:val="24"/>
        </w:rPr>
        <w:t xml:space="preserve">Target Identification and Validation</w:t>
      </w:r>
    </w:p>
    <w:p>
      <w:pPr>
        <w:spacing w:after="200"/>
      </w:pPr>
      <w:r>
        <w:rPr>
          <w:rFonts w:ascii="Arial" w:cs="Arial" w:eastAsia="Arial" w:hAnsi="Arial"/>
          <w:sz w:val="24"/>
          <w:szCs w:val="24"/>
        </w:rPr>
        <w:t xml:space="preserve">AI algorithms analyse genomic, proteomic, and clinical databases to identify molecular targets implicated in disease — a process that previously required years of laboratory experimentation. Machine learning models can predict which biological targets are most likely to be druggable and which may produce adverse effects, dramatically narrowing the search space.</w:t>
      </w:r>
    </w:p>
    <w:p>
      <w:pPr>
        <w:pStyle w:val="Heading3"/>
      </w:pPr>
      <w:r>
        <w:rPr>
          <w:rFonts w:ascii="Arial" w:cs="Arial" w:eastAsia="Arial" w:hAnsi="Arial"/>
          <w:b/>
          <w:bCs/>
          <w:color w:val="1A6B3C"/>
          <w:sz w:val="24"/>
          <w:szCs w:val="24"/>
        </w:rPr>
        <w:t xml:space="preserve">Molecular Design and Compound Optimisation</w:t>
      </w:r>
    </w:p>
    <w:p>
      <w:pPr>
        <w:spacing w:after="200"/>
      </w:pPr>
      <w:r>
        <w:rPr>
          <w:rFonts w:ascii="Arial" w:cs="Arial" w:eastAsia="Arial" w:hAnsi="Arial"/>
          <w:sz w:val="24"/>
          <w:szCs w:val="24"/>
        </w:rPr>
        <w:t xml:space="preserve">Generative AI models — including variational autoencoders and generative adversarial networks (GANs) — can design entirely novel molecular structures with desired pharmacological properties. Insilico Medicine famously used a generative adversarial network approach called GENTRL to complete an AI drug discovery challenge within just 21 days — a task that would conventionally have taken years.</w:t>
      </w:r>
    </w:p>
    <w:p>
      <w:pPr>
        <w:spacing w:after="200"/>
      </w:pPr>
      <w:r>
        <w:rPr>
          <w:rFonts w:ascii="Arial" w:cs="Arial" w:eastAsia="Arial" w:hAnsi="Arial"/>
          <w:sz w:val="24"/>
          <w:szCs w:val="24"/>
        </w:rPr>
        <w:t xml:space="preserve">AI-driven in silico platforms also enhance early-stage predictability by forecasting toxicity, pharmacokinetics, and developability — reducing the rate of costly late-stage clinical failures caused by unexpected safety or efficacy issues.</w:t>
      </w:r>
    </w:p>
    <w:p>
      <w:pPr>
        <w:pStyle w:val="Heading3"/>
      </w:pPr>
      <w:r>
        <w:rPr>
          <w:rFonts w:ascii="Arial" w:cs="Arial" w:eastAsia="Arial" w:hAnsi="Arial"/>
          <w:b/>
          <w:bCs/>
          <w:color w:val="1A6B3C"/>
          <w:sz w:val="24"/>
          <w:szCs w:val="24"/>
        </w:rPr>
        <w:t xml:space="preserve">Virtual Screening</w:t>
      </w:r>
    </w:p>
    <w:p>
      <w:pPr>
        <w:spacing w:after="320"/>
      </w:pPr>
      <w:r>
        <w:rPr>
          <w:rFonts w:ascii="Arial" w:cs="Arial" w:eastAsia="Arial" w:hAnsi="Arial"/>
          <w:sz w:val="24"/>
          <w:szCs w:val="24"/>
        </w:rPr>
        <w:t xml:space="preserve">Traditional high-throughput screening physically tests thousands of compounds against a target. AI-powered virtual screening can computationally evaluate millions of compounds in days, identifying the most promising candidates for laboratory testing. This massively accelerates the hit identification phase and reduces the physical resources required.</w:t>
      </w:r>
    </w:p>
    <w:p>
      <w:pPr>
        <w:pStyle w:val="Heading2"/>
      </w:pPr>
      <w:r>
        <w:rPr>
          <w:rFonts w:ascii="Arial" w:cs="Arial" w:eastAsia="Arial" w:hAnsi="Arial"/>
          <w:b/>
          <w:bCs/>
          <w:color w:val="2E4D7B"/>
          <w:sz w:val="28"/>
          <w:szCs w:val="28"/>
        </w:rPr>
        <w:t xml:space="preserve">AI in Clinical Trials</w:t>
      </w:r>
    </w:p>
    <w:p>
      <w:pPr>
        <w:spacing w:after="200"/>
      </w:pPr>
      <w:r>
        <w:rPr>
          <w:rFonts w:ascii="Arial" w:cs="Arial" w:eastAsia="Arial" w:hAnsi="Arial"/>
          <w:sz w:val="24"/>
          <w:szCs w:val="24"/>
        </w:rPr>
        <w:t xml:space="preserve">Clinical trials are the most resource-intensive phase of drug development, accounting for the majority of R&amp;D costs. AI is being deployed across all aspects of clinical trial design and execution:</w:t>
      </w:r>
    </w:p>
    <w:p>
      <w:pPr>
        <w:pStyle w:val="ListParagraph"/>
        <w:numPr>
          <w:ilvl w:val="0"/>
          <w:numId w:val="2"/>
        </w:numPr>
        <w:spacing w:after="200"/>
      </w:pPr>
      <w:r>
        <w:rPr>
          <w:rFonts w:ascii="Arial" w:cs="Arial" w:eastAsia="Arial" w:hAnsi="Arial"/>
          <w:b/>
          <w:bCs/>
          <w:sz w:val="24"/>
          <w:szCs w:val="24"/>
        </w:rPr>
        <w:t xml:space="preserve">Patient Recruitment and Stratification: </w:t>
      </w:r>
      <w:r>
        <w:rPr>
          <w:rFonts w:ascii="Arial" w:cs="Arial" w:eastAsia="Arial" w:hAnsi="Arial"/>
          <w:sz w:val="24"/>
          <w:szCs w:val="24"/>
        </w:rPr>
        <w:t xml:space="preserve">One of the most persistent challenges in clinical trials is identifying and enrolling appropriate patients. AI models analyse electronic health records, genomic data, and imaging studies to identify eligible patients and predict which subpopulations are most likely to respond to a given therapy — enabling more targeted and efficient trials.</w:t>
      </w:r>
    </w:p>
    <w:p>
      <w:pPr>
        <w:pStyle w:val="ListParagraph"/>
        <w:numPr>
          <w:ilvl w:val="0"/>
          <w:numId w:val="2"/>
        </w:numPr>
        <w:spacing w:after="200"/>
      </w:pPr>
      <w:r>
        <w:rPr>
          <w:rFonts w:ascii="Arial" w:cs="Arial" w:eastAsia="Arial" w:hAnsi="Arial"/>
          <w:b/>
          <w:bCs/>
          <w:sz w:val="24"/>
          <w:szCs w:val="24"/>
        </w:rPr>
        <w:t xml:space="preserve">Trial Design Optimisation: </w:t>
      </w:r>
      <w:r>
        <w:rPr>
          <w:rFonts w:ascii="Arial" w:cs="Arial" w:eastAsia="Arial" w:hAnsi="Arial"/>
          <w:sz w:val="24"/>
          <w:szCs w:val="24"/>
        </w:rPr>
        <w:t xml:space="preserve">Machine learning tools simulate different trial designs — including adaptive designs that modify protocols based on interim results — to identify the most efficient pathway to a statistically robust outcome.</w:t>
      </w:r>
    </w:p>
    <w:p>
      <w:pPr>
        <w:pStyle w:val="ListParagraph"/>
        <w:numPr>
          <w:ilvl w:val="0"/>
          <w:numId w:val="2"/>
        </w:numPr>
        <w:spacing w:after="200"/>
      </w:pPr>
      <w:r>
        <w:rPr>
          <w:rFonts w:ascii="Arial" w:cs="Arial" w:eastAsia="Arial" w:hAnsi="Arial"/>
          <w:b/>
          <w:bCs/>
          <w:sz w:val="24"/>
          <w:szCs w:val="24"/>
        </w:rPr>
        <w:t xml:space="preserve">Real-Time Safety Monitoring: </w:t>
      </w:r>
      <w:r>
        <w:rPr>
          <w:rFonts w:ascii="Arial" w:cs="Arial" w:eastAsia="Arial" w:hAnsi="Arial"/>
          <w:sz w:val="24"/>
          <w:szCs w:val="24"/>
        </w:rPr>
        <w:t xml:space="preserve">AI systems continuously monitor patient safety data during trials, flagging anomalies and potential adverse events in real time. This enables faster intervention and reduces the risk of harm to trial participants.</w:t>
      </w:r>
    </w:p>
    <w:p>
      <w:pPr>
        <w:pStyle w:val="ListParagraph"/>
        <w:numPr>
          <w:ilvl w:val="0"/>
          <w:numId w:val="2"/>
        </w:numPr>
        <w:spacing w:after="200"/>
      </w:pPr>
      <w:r>
        <w:rPr>
          <w:rFonts w:ascii="Arial" w:cs="Arial" w:eastAsia="Arial" w:hAnsi="Arial"/>
          <w:b/>
          <w:bCs/>
          <w:sz w:val="24"/>
          <w:szCs w:val="24"/>
        </w:rPr>
        <w:t xml:space="preserve">Synthetic Control Arms: </w:t>
      </w:r>
      <w:r>
        <w:rPr>
          <w:rFonts w:ascii="Arial" w:cs="Arial" w:eastAsia="Arial" w:hAnsi="Arial"/>
          <w:sz w:val="24"/>
          <w:szCs w:val="24"/>
        </w:rPr>
        <w:t xml:space="preserve">AI can generate synthetic patient populations from existing data to serve as control arms in trials where placebo controls are impractical or unethical — accelerating approval without exposing patients to unnecessary risk.</w:t>
      </w:r>
    </w:p>
    <w:p>
      <w:pPr>
        <w:pStyle w:val="ListParagraph"/>
        <w:numPr>
          <w:ilvl w:val="0"/>
          <w:numId w:val="2"/>
        </w:numPr>
        <w:spacing w:after="200"/>
      </w:pPr>
      <w:r>
        <w:rPr>
          <w:rFonts w:ascii="Arial" w:cs="Arial" w:eastAsia="Arial" w:hAnsi="Arial"/>
          <w:b/>
          <w:bCs/>
          <w:sz w:val="24"/>
          <w:szCs w:val="24"/>
        </w:rPr>
        <w:t xml:space="preserve">Remote and Decentralised Trials: </w:t>
      </w:r>
      <w:r>
        <w:rPr>
          <w:rFonts w:ascii="Arial" w:cs="Arial" w:eastAsia="Arial" w:hAnsi="Arial"/>
          <w:sz w:val="24"/>
          <w:szCs w:val="24"/>
        </w:rPr>
        <w:t xml:space="preserve">AI, combined with wearable devices and digital health platforms, enables decentralised clinical trials where patients can participate without frequent site visits — improving recruitment, diversity, and retention.</w:t>
      </w:r>
    </w:p>
    <w:p>
      <w:pPr>
        <w:spacing w:after="200"/>
      </w:pPr>
    </w:p>
    <w:p>
      <w:pPr>
        <w:pStyle w:val="Heading2"/>
      </w:pPr>
      <w:r>
        <w:rPr>
          <w:rFonts w:ascii="Arial" w:cs="Arial" w:eastAsia="Arial" w:hAnsi="Arial"/>
          <w:b/>
          <w:bCs/>
          <w:color w:val="2E4D7B"/>
          <w:sz w:val="28"/>
          <w:szCs w:val="28"/>
        </w:rPr>
        <w:t xml:space="preserve">AI in Pharmaceutical Manufacturing: Pharma 4.0</w:t>
      </w:r>
    </w:p>
    <w:p>
      <w:pPr>
        <w:spacing w:after="200"/>
      </w:pPr>
      <w:r>
        <w:rPr>
          <w:rFonts w:ascii="Arial" w:cs="Arial" w:eastAsia="Arial" w:hAnsi="Arial"/>
          <w:sz w:val="24"/>
          <w:szCs w:val="24"/>
        </w:rPr>
        <w:t xml:space="preserve">The concept of Pharma 4.0 — the pharmaceutical industry's embrace of the Fourth Industrial Revolution's digital technologies — places AI at the heart of modern manufacturing. AI is transforming pharmaceutical manufacturing operations in the following key areas:</w:t>
      </w:r>
    </w:p>
    <w:p>
      <w:pPr>
        <w:pStyle w:val="Heading3"/>
      </w:pPr>
      <w:r>
        <w:rPr>
          <w:rFonts w:ascii="Arial" w:cs="Arial" w:eastAsia="Arial" w:hAnsi="Arial"/>
          <w:b/>
          <w:bCs/>
          <w:color w:val="1A6B3C"/>
          <w:sz w:val="24"/>
          <w:szCs w:val="24"/>
        </w:rPr>
        <w:t xml:space="preserve">Predictive Maintenance</w:t>
      </w:r>
    </w:p>
    <w:p>
      <w:pPr>
        <w:spacing w:after="200"/>
      </w:pPr>
      <w:r>
        <w:rPr>
          <w:rFonts w:ascii="Arial" w:cs="Arial" w:eastAsia="Arial" w:hAnsi="Arial"/>
          <w:sz w:val="24"/>
          <w:szCs w:val="24"/>
        </w:rPr>
        <w:t xml:space="preserve">Unexpected equipment failure in pharmaceutical manufacturing causes costly production downtime, batch failures, and — in the worst cases — product shortages. AI-powered predictive maintenance analyses sensor data from manufacturing equipment in real time, identifying patterns that precede failure and triggering preventive maintenance before breakdowns occur. This proactive approach maximises equipment uptime and reduces the risk of GMP deviations caused by equipment malfunction.</w:t>
      </w:r>
    </w:p>
    <w:p>
      <w:pPr>
        <w:pStyle w:val="Heading3"/>
      </w:pPr>
      <w:r>
        <w:rPr>
          <w:rFonts w:ascii="Arial" w:cs="Arial" w:eastAsia="Arial" w:hAnsi="Arial"/>
          <w:b/>
          <w:bCs/>
          <w:color w:val="1A6B3C"/>
          <w:sz w:val="24"/>
          <w:szCs w:val="24"/>
        </w:rPr>
        <w:t xml:space="preserve">Process Analytical Technology (PAT) and Real-Time Release Testing</w:t>
      </w:r>
    </w:p>
    <w:p>
      <w:pPr>
        <w:spacing w:after="200"/>
      </w:pPr>
      <w:r>
        <w:rPr>
          <w:rFonts w:ascii="Arial" w:cs="Arial" w:eastAsia="Arial" w:hAnsi="Arial"/>
          <w:sz w:val="24"/>
          <w:szCs w:val="24"/>
        </w:rPr>
        <w:t xml:space="preserve">Process Analytical Technology — the framework for designing, analysing, and controlling manufacturing processes through real-time measurement of critical quality attributes — is increasingly powered by AI. Machine learning models correlate process parameters with product quality in real time, enabling dynamic process adjustments and, ultimately, real-time release testing that reduces or eliminates the need for end-product testing.</w:t>
      </w:r>
    </w:p>
    <w:p>
      <w:pPr>
        <w:pStyle w:val="Heading3"/>
      </w:pPr>
      <w:r>
        <w:rPr>
          <w:rFonts w:ascii="Arial" w:cs="Arial" w:eastAsia="Arial" w:hAnsi="Arial"/>
          <w:b/>
          <w:bCs/>
          <w:color w:val="1A6B3C"/>
          <w:sz w:val="24"/>
          <w:szCs w:val="24"/>
        </w:rPr>
        <w:t xml:space="preserve">Quality Control and Automated Inspection</w:t>
      </w:r>
    </w:p>
    <w:p>
      <w:pPr>
        <w:spacing w:after="200"/>
      </w:pPr>
      <w:r>
        <w:rPr>
          <w:rFonts w:ascii="Arial" w:cs="Arial" w:eastAsia="Arial" w:hAnsi="Arial"/>
          <w:sz w:val="24"/>
          <w:szCs w:val="24"/>
        </w:rPr>
        <w:t xml:space="preserve">Computer vision systems powered by AI perform automated visual inspection of tablets, capsules, vials, and packaging at speeds and accuracy levels unachievable by human inspectors. These systems detect particulate contamination, cracks, colour inconsistencies, fill-level deviations, and label errors — with every inspection fully documented and traceable.</w:t>
      </w:r>
    </w:p>
    <w:p>
      <w:pPr>
        <w:pStyle w:val="Heading3"/>
      </w:pPr>
      <w:r>
        <w:rPr>
          <w:rFonts w:ascii="Arial" w:cs="Arial" w:eastAsia="Arial" w:hAnsi="Arial"/>
          <w:b/>
          <w:bCs/>
          <w:color w:val="1A6B3C"/>
          <w:sz w:val="24"/>
          <w:szCs w:val="24"/>
        </w:rPr>
        <w:t xml:space="preserve">Anomaly Detection and Quality Trending</w:t>
      </w:r>
    </w:p>
    <w:p>
      <w:pPr>
        <w:spacing w:after="200"/>
      </w:pPr>
      <w:r>
        <w:rPr>
          <w:rFonts w:ascii="Arial" w:cs="Arial" w:eastAsia="Arial" w:hAnsi="Arial"/>
          <w:sz w:val="24"/>
          <w:szCs w:val="24"/>
        </w:rPr>
        <w:t xml:space="preserve">AI systems monitor manufacturing and laboratory data streams continuously, detecting out-of-trend results and subtle anomalies that traditional statistical process control methods might miss. Early detection of adverse trends allows quality teams to intervene before deviations become critical failures — a significant advantage for GMP compliance.</w:t>
      </w:r>
    </w:p>
    <w:p>
      <w:pPr>
        <w:pStyle w:val="Heading3"/>
      </w:pPr>
      <w:r>
        <w:rPr>
          <w:rFonts w:ascii="Arial" w:cs="Arial" w:eastAsia="Arial" w:hAnsi="Arial"/>
          <w:b/>
          <w:bCs/>
          <w:color w:val="1A6B3C"/>
          <w:sz w:val="24"/>
          <w:szCs w:val="24"/>
        </w:rPr>
        <w:t xml:space="preserve">Supply Chain Optimisation</w:t>
      </w:r>
    </w:p>
    <w:p>
      <w:pPr>
        <w:spacing w:after="320"/>
      </w:pPr>
      <w:r>
        <w:rPr>
          <w:rFonts w:ascii="Arial" w:cs="Arial" w:eastAsia="Arial" w:hAnsi="Arial"/>
          <w:sz w:val="24"/>
          <w:szCs w:val="24"/>
        </w:rPr>
        <w:t xml:space="preserve">AI enhances pharmaceutical supply chain management through improved demand forecasting, inventory optimisation, and logistics planning. Predictive analytics help companies minimise waste, avoid stockouts, and ensure continuity of supply — a lesson sharply reinforced by the supply chain disruptions of the COVID-19 pandemic.</w:t>
      </w:r>
    </w:p>
    <w:p>
      <w:pPr>
        <w:pStyle w:val="Heading2"/>
      </w:pPr>
      <w:r>
        <w:rPr>
          <w:rFonts w:ascii="Arial" w:cs="Arial" w:eastAsia="Arial" w:hAnsi="Arial"/>
          <w:b/>
          <w:bCs/>
          <w:color w:val="2E4D7B"/>
          <w:sz w:val="28"/>
          <w:szCs w:val="28"/>
        </w:rPr>
        <w:t xml:space="preserve">AI in Quality Assurance and GMP Compliance</w:t>
      </w:r>
    </w:p>
    <w:p>
      <w:pPr>
        <w:spacing w:after="200"/>
      </w:pPr>
      <w:r>
        <w:rPr>
          <w:rFonts w:ascii="Arial" w:cs="Arial" w:eastAsia="Arial" w:hAnsi="Arial"/>
          <w:sz w:val="24"/>
          <w:szCs w:val="24"/>
        </w:rPr>
        <w:t xml:space="preserve">Perhaps the area of greatest relevance for Qualizenz readers is the application of AI within quality assurance and GMP compliance systems. AI is being deployed to make quality systems smarter, faster, and more proactive:</w:t>
      </w:r>
    </w:p>
    <w:p>
      <w:pPr>
        <w:pStyle w:val="ListParagraph"/>
        <w:numPr>
          <w:ilvl w:val="0"/>
          <w:numId w:val="2"/>
        </w:numPr>
        <w:spacing w:after="200"/>
      </w:pPr>
      <w:r>
        <w:rPr>
          <w:rFonts w:ascii="Arial" w:cs="Arial" w:eastAsia="Arial" w:hAnsi="Arial"/>
          <w:b/>
          <w:bCs/>
          <w:sz w:val="24"/>
          <w:szCs w:val="24"/>
        </w:rPr>
        <w:t xml:space="preserve">Intelligent Document Management: </w:t>
      </w:r>
      <w:r>
        <w:rPr>
          <w:rFonts w:ascii="Arial" w:cs="Arial" w:eastAsia="Arial" w:hAnsi="Arial"/>
          <w:sz w:val="24"/>
          <w:szCs w:val="24"/>
        </w:rPr>
        <w:t xml:space="preserve">AI-powered document management systems can automatically classify documents, identify outdated SOPs, flag inconsistencies between related procedures, and track review schedules. NLP tools can search across thousands of quality documents to retrieve relevant information in seconds.</w:t>
      </w:r>
    </w:p>
    <w:p>
      <w:pPr>
        <w:pStyle w:val="ListParagraph"/>
        <w:numPr>
          <w:ilvl w:val="0"/>
          <w:numId w:val="2"/>
        </w:numPr>
        <w:spacing w:after="200"/>
      </w:pPr>
      <w:r>
        <w:rPr>
          <w:rFonts w:ascii="Arial" w:cs="Arial" w:eastAsia="Arial" w:hAnsi="Arial"/>
          <w:b/>
          <w:bCs/>
          <w:sz w:val="24"/>
          <w:szCs w:val="24"/>
        </w:rPr>
        <w:t xml:space="preserve">CAPA Intelligence: </w:t>
      </w:r>
      <w:r>
        <w:rPr>
          <w:rFonts w:ascii="Arial" w:cs="Arial" w:eastAsia="Arial" w:hAnsi="Arial"/>
          <w:sz w:val="24"/>
          <w:szCs w:val="24"/>
        </w:rPr>
        <w:t xml:space="preserve">Machine learning tools analyse deviation records, audit findings, and complaint data to identify root cause patterns that might not be visible through manual review. AI can predict which CAPAs are at risk of recurrence based on historical effectiveness data.</w:t>
      </w:r>
    </w:p>
    <w:p>
      <w:pPr>
        <w:pStyle w:val="ListParagraph"/>
        <w:numPr>
          <w:ilvl w:val="0"/>
          <w:numId w:val="2"/>
        </w:numPr>
        <w:spacing w:after="200"/>
      </w:pPr>
      <w:r>
        <w:rPr>
          <w:rFonts w:ascii="Arial" w:cs="Arial" w:eastAsia="Arial" w:hAnsi="Arial"/>
          <w:b/>
          <w:bCs/>
          <w:sz w:val="24"/>
          <w:szCs w:val="24"/>
        </w:rPr>
        <w:t xml:space="preserve">Audit and Inspection Preparation: </w:t>
      </w:r>
      <w:r>
        <w:rPr>
          <w:rFonts w:ascii="Arial" w:cs="Arial" w:eastAsia="Arial" w:hAnsi="Arial"/>
          <w:sz w:val="24"/>
          <w:szCs w:val="24"/>
        </w:rPr>
        <w:t xml:space="preserve">AI tools can scan quality data, batch records, and system logs to identify potential inspection findings before a regulatory authority arrives — effectively performing a continuous, automated self-inspection.</w:t>
      </w:r>
    </w:p>
    <w:p>
      <w:pPr>
        <w:pStyle w:val="ListParagraph"/>
        <w:numPr>
          <w:ilvl w:val="0"/>
          <w:numId w:val="2"/>
        </w:numPr>
        <w:spacing w:after="200"/>
      </w:pPr>
      <w:r>
        <w:rPr>
          <w:rFonts w:ascii="Arial" w:cs="Arial" w:eastAsia="Arial" w:hAnsi="Arial"/>
          <w:b/>
          <w:bCs/>
          <w:sz w:val="24"/>
          <w:szCs w:val="24"/>
        </w:rPr>
        <w:t xml:space="preserve">Pharmacovigilance and Signal Detection: </w:t>
      </w:r>
      <w:r>
        <w:rPr>
          <w:rFonts w:ascii="Arial" w:cs="Arial" w:eastAsia="Arial" w:hAnsi="Arial"/>
          <w:sz w:val="24"/>
          <w:szCs w:val="24"/>
        </w:rPr>
        <w:t xml:space="preserve">NLP systems process vast volumes of adverse event reports, social media, and scientific literature in real time, identifying safety signals that require investigation far earlier than traditional manual pharmacovigilance methods.</w:t>
      </w:r>
    </w:p>
    <w:p>
      <w:pPr>
        <w:pStyle w:val="ListParagraph"/>
        <w:numPr>
          <w:ilvl w:val="0"/>
          <w:numId w:val="2"/>
        </w:numPr>
        <w:spacing w:after="200"/>
      </w:pPr>
      <w:r>
        <w:rPr>
          <w:rFonts w:ascii="Arial" w:cs="Arial" w:eastAsia="Arial" w:hAnsi="Arial"/>
          <w:b/>
          <w:bCs/>
          <w:sz w:val="24"/>
          <w:szCs w:val="24"/>
        </w:rPr>
        <w:t xml:space="preserve">Regulatory Submission Assistance: </w:t>
      </w:r>
      <w:r>
        <w:rPr>
          <w:rFonts w:ascii="Arial" w:cs="Arial" w:eastAsia="Arial" w:hAnsi="Arial"/>
          <w:sz w:val="24"/>
          <w:szCs w:val="24"/>
        </w:rPr>
        <w:t xml:space="preserve">Generative AI tools assist regulatory teams in drafting and reviewing submission documents, checking for consistency with regulatory guidelines, and identifying gaps — significantly accelerating the preparation of complex regulatory dossiers.</w:t>
      </w:r>
    </w:p>
    <w:p>
      <w:pPr>
        <w:spacing w:after="200"/>
      </w:pPr>
    </w:p>
    <w:p>
      <w:pPr>
        <w:pStyle w:val="Heading2"/>
      </w:pPr>
      <w:r>
        <w:rPr>
          <w:rFonts w:ascii="Arial" w:cs="Arial" w:eastAsia="Arial" w:hAnsi="Arial"/>
          <w:b/>
          <w:bCs/>
          <w:color w:val="2E4D7B"/>
          <w:sz w:val="28"/>
          <w:szCs w:val="28"/>
        </w:rPr>
        <w:t xml:space="preserve">The Regulatory Landscape for AI in Pharmaceuticals</w:t>
      </w:r>
    </w:p>
    <w:p>
      <w:pPr>
        <w:spacing w:after="200"/>
      </w:pPr>
      <w:r>
        <w:rPr>
          <w:rFonts w:ascii="Arial" w:cs="Arial" w:eastAsia="Arial" w:hAnsi="Arial"/>
          <w:sz w:val="24"/>
          <w:szCs w:val="24"/>
        </w:rPr>
        <w:t xml:space="preserve">As AI becomes deeply embedded in pharmaceutical operations, regulatory authorities have moved decisively to provide guidance. 2025 and 2026 have been landmark years for AI regulation in the pharmaceutical sector:</w:t>
      </w:r>
    </w:p>
    <w:p>
      <w:pPr>
        <w:pStyle w:val="Heading3"/>
      </w:pPr>
      <w:r>
        <w:rPr>
          <w:rFonts w:ascii="Arial" w:cs="Arial" w:eastAsia="Arial" w:hAnsi="Arial"/>
          <w:b/>
          <w:bCs/>
          <w:color w:val="1A6B3C"/>
          <w:sz w:val="24"/>
          <w:szCs w:val="24"/>
        </w:rPr>
        <w:t xml:space="preserve">FDA Draft Guidance on AI in Drug Development (January 2025)</w:t>
      </w:r>
    </w:p>
    <w:p>
      <w:pPr>
        <w:spacing w:after="200"/>
      </w:pPr>
      <w:r>
        <w:rPr>
          <w:rFonts w:ascii="Arial" w:cs="Arial" w:eastAsia="Arial" w:hAnsi="Arial"/>
          <w:sz w:val="24"/>
          <w:szCs w:val="24"/>
        </w:rPr>
        <w:t xml:space="preserve">The US FDA released its first formal draft guidance on AI in drug and biological product development in January 2025, outlining a risk-based credibility assessment framework for AI models used in regulatory applications. The guidance emphasises that existing cGMP and data integrity requirements apply fully to AI systems, while adding AI-specific elements such as pre-specified performance metrics and transparency requirements.</w:t>
      </w:r>
    </w:p>
    <w:p>
      <w:pPr>
        <w:pStyle w:val="Heading3"/>
      </w:pPr>
      <w:r>
        <w:rPr>
          <w:rFonts w:ascii="Arial" w:cs="Arial" w:eastAsia="Arial" w:hAnsi="Arial"/>
          <w:b/>
          <w:bCs/>
          <w:color w:val="1A6B3C"/>
          <w:sz w:val="24"/>
          <w:szCs w:val="24"/>
        </w:rPr>
        <w:t xml:space="preserve">EMA AI Work Plan and Reflection Paper (2024-2026)</w:t>
      </w:r>
    </w:p>
    <w:p>
      <w:pPr>
        <w:spacing w:after="200"/>
      </w:pPr>
      <w:r>
        <w:rPr>
          <w:rFonts w:ascii="Arial" w:cs="Arial" w:eastAsia="Arial" w:hAnsi="Arial"/>
          <w:sz w:val="24"/>
          <w:szCs w:val="24"/>
        </w:rPr>
        <w:t xml:space="preserve">The European Medicines Agency, in collaboration with the Heads of Medicines Agencies, published a forward-looking AI Work Plan extending through 2028. Unlike the FDA's approach, the EMA framework explicitly addresses AI applications throughout the product lifecycle — including discovery and early development — and establishes requirements for algorithm explainability based on application risk level. In September 2024, the EMA published a public reflection paper on AI in medicines regulation.</w:t>
      </w:r>
    </w:p>
    <w:p>
      <w:pPr>
        <w:pStyle w:val="Heading3"/>
      </w:pPr>
      <w:r>
        <w:rPr>
          <w:rFonts w:ascii="Arial" w:cs="Arial" w:eastAsia="Arial" w:hAnsi="Arial"/>
          <w:b/>
          <w:bCs/>
          <w:color w:val="1A6B3C"/>
          <w:sz w:val="24"/>
          <w:szCs w:val="24"/>
        </w:rPr>
        <w:t xml:space="preserve">FDA-EMA Joint Principles of Good AI Practice (January 2026)</w:t>
      </w:r>
    </w:p>
    <w:p>
      <w:pPr>
        <w:spacing w:after="200"/>
      </w:pPr>
      <w:r>
        <w:rPr>
          <w:rFonts w:ascii="Arial" w:cs="Arial" w:eastAsia="Arial" w:hAnsi="Arial"/>
          <w:sz w:val="24"/>
          <w:szCs w:val="24"/>
        </w:rPr>
        <w:t xml:space="preserve">In a landmark joint publication in January 2026, the FDA and EMA jointly released ten Guiding Principles of Good AI Practice in Drug Development. These principles — intentionally high-level and non-prescriptive — establish a shared international framework for ethical, reliable AI integration in medicine development, centred on patient welfare, risk management, scientific rigour, and transparency.</w:t>
      </w:r>
    </w:p>
    <w:p>
      <w:pPr>
        <w:pStyle w:val="Heading3"/>
      </w:pPr>
      <w:r>
        <w:rPr>
          <w:rFonts w:ascii="Arial" w:cs="Arial" w:eastAsia="Arial" w:hAnsi="Arial"/>
          <w:b/>
          <w:bCs/>
          <w:color w:val="1A6B3C"/>
          <w:sz w:val="24"/>
          <w:szCs w:val="24"/>
        </w:rPr>
        <w:t xml:space="preserve">EU GMP Draft Annex 22 (Mid-2025)</w:t>
      </w:r>
    </w:p>
    <w:p>
      <w:pPr>
        <w:spacing w:after="200"/>
      </w:pPr>
      <w:r>
        <w:rPr>
          <w:rFonts w:ascii="Arial" w:cs="Arial" w:eastAsia="Arial" w:hAnsi="Arial"/>
          <w:sz w:val="24"/>
          <w:szCs w:val="24"/>
        </w:rPr>
        <w:t xml:space="preserve">The European Commission published Draft Annex 22 to the EU GMP Guidelines in mid-2025, supplementing existing GMP rules for computerised systems and documentation with specific requirements for AI systems in manufacturing. EU regulators expect manufacturers to clearly define the AI model's intended use, scope, and limitations — and to apply validation using independent test data, documented acceptance criteria, and human-in-the-loop controls.</w:t>
      </w:r>
    </w:p>
    <w:p>
      <w:pPr>
        <w:pStyle w:val="Heading3"/>
      </w:pPr>
      <w:r>
        <w:rPr>
          <w:rFonts w:ascii="Arial" w:cs="Arial" w:eastAsia="Arial" w:hAnsi="Arial"/>
          <w:b/>
          <w:bCs/>
          <w:color w:val="1A6B3C"/>
          <w:sz w:val="24"/>
          <w:szCs w:val="24"/>
        </w:rPr>
        <w:t xml:space="preserve">EU AI Act: High-Risk Classification</w:t>
      </w:r>
    </w:p>
    <w:p>
      <w:pPr>
        <w:spacing w:after="320"/>
      </w:pPr>
      <w:r>
        <w:rPr>
          <w:rFonts w:ascii="Arial" w:cs="Arial" w:eastAsia="Arial" w:hAnsi="Arial"/>
          <w:sz w:val="24"/>
          <w:szCs w:val="24"/>
        </w:rPr>
        <w:t xml:space="preserve">Following the implementation of the EU AI Act in 2024, the EMA has been working to clarify the implications for pharmaceutical manufacturing. AI systems used in quality control or process control within pharmaceutical manufacturing are generally classified as 'high-risk' under the Act, requiring robust risk assessments, human oversight, and transparency measures — obligations that now exist alongside and complement existing GMP requirements.</w:t>
      </w:r>
    </w:p>
    <w:p>
      <w:pPr>
        <w:pStyle w:val="Heading2"/>
      </w:pPr>
      <w:r>
        <w:rPr>
          <w:rFonts w:ascii="Arial" w:cs="Arial" w:eastAsia="Arial" w:hAnsi="Arial"/>
          <w:b/>
          <w:bCs/>
          <w:color w:val="2E4D7B"/>
          <w:sz w:val="28"/>
          <w:szCs w:val="28"/>
        </w:rPr>
        <w:t xml:space="preserve">Validating AI Systems in GMP Environments</w:t>
      </w:r>
    </w:p>
    <w:p>
      <w:pPr>
        <w:spacing w:after="200"/>
      </w:pPr>
      <w:r>
        <w:rPr>
          <w:rFonts w:ascii="Arial" w:cs="Arial" w:eastAsia="Arial" w:hAnsi="Arial"/>
          <w:sz w:val="24"/>
          <w:szCs w:val="24"/>
        </w:rPr>
        <w:t xml:space="preserve">One of the most critical compliance challenges presented by AI is validation. Traditional Computer System Validation (CSV) frameworks — designed for deterministic software with fixed, predictable outputs — are not fully adequate for adaptive machine learning systems whose outputs may change as the model learns from new data.</w:t>
      </w:r>
    </w:p>
    <w:p>
      <w:pPr>
        <w:spacing w:after="200"/>
      </w:pPr>
      <w:r>
        <w:rPr>
          <w:rFonts w:ascii="Arial" w:cs="Arial" w:eastAsia="Arial" w:hAnsi="Arial"/>
          <w:sz w:val="24"/>
          <w:szCs w:val="24"/>
        </w:rPr>
        <w:t xml:space="preserve">Key validation considerations for AI systems in GMP environments include:</w:t>
      </w:r>
    </w:p>
    <w:p>
      <w:pPr>
        <w:pStyle w:val="ListParagraph"/>
        <w:numPr>
          <w:ilvl w:val="0"/>
          <w:numId w:val="2"/>
        </w:numPr>
        <w:spacing w:after="200"/>
      </w:pPr>
      <w:r>
        <w:rPr>
          <w:rFonts w:ascii="Arial" w:cs="Arial" w:eastAsia="Arial" w:hAnsi="Arial"/>
          <w:b/>
          <w:bCs/>
          <w:sz w:val="24"/>
          <w:szCs w:val="24"/>
        </w:rPr>
        <w:t xml:space="preserve">Intended Use Definition: </w:t>
      </w:r>
      <w:r>
        <w:rPr>
          <w:rFonts w:ascii="Arial" w:cs="Arial" w:eastAsia="Arial" w:hAnsi="Arial"/>
          <w:sz w:val="24"/>
          <w:szCs w:val="24"/>
        </w:rPr>
        <w:t xml:space="preserve">Before validation can begin, the Context of Use (COU) for the AI model must be precisely defined — including the specific decision or prediction it will support, the input data it will receive, and the regulatory decisions it will influence.</w:t>
      </w:r>
    </w:p>
    <w:p>
      <w:pPr>
        <w:pStyle w:val="ListParagraph"/>
        <w:numPr>
          <w:ilvl w:val="0"/>
          <w:numId w:val="2"/>
        </w:numPr>
        <w:spacing w:after="200"/>
      </w:pPr>
      <w:r>
        <w:rPr>
          <w:rFonts w:ascii="Arial" w:cs="Arial" w:eastAsia="Arial" w:hAnsi="Arial"/>
          <w:b/>
          <w:bCs/>
          <w:sz w:val="24"/>
          <w:szCs w:val="24"/>
        </w:rPr>
        <w:t xml:space="preserve">Risk-Based Approach: </w:t>
      </w:r>
      <w:r>
        <w:rPr>
          <w:rFonts w:ascii="Arial" w:cs="Arial" w:eastAsia="Arial" w:hAnsi="Arial"/>
          <w:sz w:val="24"/>
          <w:szCs w:val="24"/>
        </w:rPr>
        <w:t xml:space="preserve">AI validation must be proportionate to the risk the system poses to product quality and patient safety. A model used to flag potential deviations for human review carries different validation requirements than one that autonomously controls a manufacturing process.</w:t>
      </w:r>
    </w:p>
    <w:p>
      <w:pPr>
        <w:pStyle w:val="ListParagraph"/>
        <w:numPr>
          <w:ilvl w:val="0"/>
          <w:numId w:val="2"/>
        </w:numPr>
        <w:spacing w:after="200"/>
      </w:pPr>
      <w:r>
        <w:rPr>
          <w:rFonts w:ascii="Arial" w:cs="Arial" w:eastAsia="Arial" w:hAnsi="Arial"/>
          <w:b/>
          <w:bCs/>
          <w:sz w:val="24"/>
          <w:szCs w:val="24"/>
        </w:rPr>
        <w:t xml:space="preserve">Model Performance Metrics: </w:t>
      </w:r>
      <w:r>
        <w:rPr>
          <w:rFonts w:ascii="Arial" w:cs="Arial" w:eastAsia="Arial" w:hAnsi="Arial"/>
          <w:sz w:val="24"/>
          <w:szCs w:val="24"/>
        </w:rPr>
        <w:t xml:space="preserve">Validation must establish clear, pre-specified performance metrics — such as sensitivity, specificity, precision, and recall — against which the model's outputs will be evaluated. These metrics must be appropriate for the application and defined before testing begins.</w:t>
      </w:r>
    </w:p>
    <w:p>
      <w:pPr>
        <w:pStyle w:val="ListParagraph"/>
        <w:numPr>
          <w:ilvl w:val="0"/>
          <w:numId w:val="2"/>
        </w:numPr>
        <w:spacing w:after="200"/>
      </w:pPr>
      <w:r>
        <w:rPr>
          <w:rFonts w:ascii="Arial" w:cs="Arial" w:eastAsia="Arial" w:hAnsi="Arial"/>
          <w:b/>
          <w:bCs/>
          <w:sz w:val="24"/>
          <w:szCs w:val="24"/>
        </w:rPr>
        <w:t xml:space="preserve">Training and Test Data Quality: </w:t>
      </w:r>
      <w:r>
        <w:rPr>
          <w:rFonts w:ascii="Arial" w:cs="Arial" w:eastAsia="Arial" w:hAnsi="Arial"/>
          <w:sz w:val="24"/>
          <w:szCs w:val="24"/>
        </w:rPr>
        <w:t xml:space="preserve">The quality of an AI model is fundamentally determined by the quality of the data used to train it. Data provenance, representativeness, completeness, and potential biases must be documented and assessed.</w:t>
      </w:r>
    </w:p>
    <w:p>
      <w:pPr>
        <w:pStyle w:val="ListParagraph"/>
        <w:numPr>
          <w:ilvl w:val="0"/>
          <w:numId w:val="2"/>
        </w:numPr>
        <w:spacing w:after="200"/>
      </w:pPr>
      <w:r>
        <w:rPr>
          <w:rFonts w:ascii="Arial" w:cs="Arial" w:eastAsia="Arial" w:hAnsi="Arial"/>
          <w:b/>
          <w:bCs/>
          <w:sz w:val="24"/>
          <w:szCs w:val="24"/>
        </w:rPr>
        <w:t xml:space="preserve">Ongoing Performance Monitoring: </w:t>
      </w:r>
      <w:r>
        <w:rPr>
          <w:rFonts w:ascii="Arial" w:cs="Arial" w:eastAsia="Arial" w:hAnsi="Arial"/>
          <w:sz w:val="24"/>
          <w:szCs w:val="24"/>
        </w:rPr>
        <w:t xml:space="preserve">Unlike traditional software, AI models may degrade in performance as the data environment changes (a phenomenon known as 'model drift'). Validated monitoring systems must be in place to detect performance degradation and trigger revalidation when necessary.</w:t>
      </w:r>
    </w:p>
    <w:p>
      <w:pPr>
        <w:pStyle w:val="ListParagraph"/>
        <w:numPr>
          <w:ilvl w:val="0"/>
          <w:numId w:val="2"/>
        </w:numPr>
        <w:spacing w:after="200"/>
      </w:pPr>
      <w:r>
        <w:rPr>
          <w:rFonts w:ascii="Arial" w:cs="Arial" w:eastAsia="Arial" w:hAnsi="Arial"/>
          <w:b/>
          <w:bCs/>
          <w:sz w:val="24"/>
          <w:szCs w:val="24"/>
        </w:rPr>
        <w:t xml:space="preserve">Third-Party AI Vendors: </w:t>
      </w:r>
      <w:r>
        <w:rPr>
          <w:rFonts w:ascii="Arial" w:cs="Arial" w:eastAsia="Arial" w:hAnsi="Arial"/>
          <w:sz w:val="24"/>
          <w:szCs w:val="24"/>
        </w:rPr>
        <w:t xml:space="preserve">If using commercially developed AI tools, the vendor becomes a GMP supplier. Quality agreements must address software validation support, and vendors may need to provide documentation of their own validation activities — akin to a certificate of analysis for a raw material.</w:t>
      </w:r>
    </w:p>
    <w:p>
      <w:pPr>
        <w:spacing w:after="200"/>
      </w:pPr>
    </w:p>
    <w:p>
      <w:pPr>
        <w:pStyle w:val="Heading2"/>
      </w:pPr>
      <w:r>
        <w:rPr>
          <w:rFonts w:ascii="Arial" w:cs="Arial" w:eastAsia="Arial" w:hAnsi="Arial"/>
          <w:b/>
          <w:bCs/>
          <w:color w:val="2E4D7B"/>
          <w:sz w:val="28"/>
          <w:szCs w:val="28"/>
        </w:rPr>
        <w:t xml:space="preserve">Key Challenges and Ethical Considerations</w:t>
      </w:r>
    </w:p>
    <w:p>
      <w:pPr>
        <w:spacing w:after="200"/>
      </w:pPr>
      <w:r>
        <w:rPr>
          <w:rFonts w:ascii="Arial" w:cs="Arial" w:eastAsia="Arial" w:hAnsi="Arial"/>
          <w:sz w:val="24"/>
          <w:szCs w:val="24"/>
        </w:rPr>
        <w:t xml:space="preserve">Despite its enormous promise, AI in pharmaceuticals faces significant challenges that must be addressed honestly:</w:t>
      </w:r>
    </w:p>
    <w:p>
      <w:pPr>
        <w:pStyle w:val="ListParagraph"/>
        <w:numPr>
          <w:ilvl w:val="0"/>
          <w:numId w:val="2"/>
        </w:numPr>
        <w:spacing w:after="200"/>
      </w:pPr>
      <w:r>
        <w:rPr>
          <w:rFonts w:ascii="Arial" w:cs="Arial" w:eastAsia="Arial" w:hAnsi="Arial"/>
          <w:b/>
          <w:bCs/>
          <w:sz w:val="24"/>
          <w:szCs w:val="24"/>
        </w:rPr>
        <w:t xml:space="preserve">Algorithmic Transparency and Explainability: </w:t>
      </w:r>
      <w:r>
        <w:rPr>
          <w:rFonts w:ascii="Arial" w:cs="Arial" w:eastAsia="Arial" w:hAnsi="Arial"/>
          <w:sz w:val="24"/>
          <w:szCs w:val="24"/>
        </w:rPr>
        <w:t xml:space="preserve">Many advanced AI models — particularly deep learning systems — function as 'black boxes,' producing outputs without a clearly interpretable reasoning process. In GMP environments where decisions must be justified and documented, this lack of explainability is a significant compliance challenge. Regulators are increasingly demanding that AI systems used in regulated applications be explainable at an appropriate level of detail.</w:t>
      </w:r>
    </w:p>
    <w:p>
      <w:pPr>
        <w:pStyle w:val="ListParagraph"/>
        <w:numPr>
          <w:ilvl w:val="0"/>
          <w:numId w:val="2"/>
        </w:numPr>
        <w:spacing w:after="200"/>
      </w:pPr>
      <w:r>
        <w:rPr>
          <w:rFonts w:ascii="Arial" w:cs="Arial" w:eastAsia="Arial" w:hAnsi="Arial"/>
          <w:b/>
          <w:bCs/>
          <w:sz w:val="24"/>
          <w:szCs w:val="24"/>
        </w:rPr>
        <w:t xml:space="preserve">Data Quality and Interoperability: </w:t>
      </w:r>
      <w:r>
        <w:rPr>
          <w:rFonts w:ascii="Arial" w:cs="Arial" w:eastAsia="Arial" w:hAnsi="Arial"/>
          <w:sz w:val="24"/>
          <w:szCs w:val="24"/>
        </w:rPr>
        <w:t xml:space="preserve">AI models are only as good as the data that trains them. In pharmaceuticals, data is often fragmented across incompatible systems, inconsistently labelled, or subject to historical biases that the model will perpetuate. Data governance — ensuring the quality, provenance, and integrity of training data — is a foundational requirement.</w:t>
      </w:r>
    </w:p>
    <w:p>
      <w:pPr>
        <w:pStyle w:val="ListParagraph"/>
        <w:numPr>
          <w:ilvl w:val="0"/>
          <w:numId w:val="2"/>
        </w:numPr>
        <w:spacing w:after="200"/>
      </w:pPr>
      <w:r>
        <w:rPr>
          <w:rFonts w:ascii="Arial" w:cs="Arial" w:eastAsia="Arial" w:hAnsi="Arial"/>
          <w:b/>
          <w:bCs/>
          <w:sz w:val="24"/>
          <w:szCs w:val="24"/>
        </w:rPr>
        <w:t xml:space="preserve">Data Integrity in AI Systems: </w:t>
      </w:r>
      <w:r>
        <w:rPr>
          <w:rFonts w:ascii="Arial" w:cs="Arial" w:eastAsia="Arial" w:hAnsi="Arial"/>
          <w:sz w:val="24"/>
          <w:szCs w:val="24"/>
        </w:rPr>
        <w:t xml:space="preserve">The ALCOA+ principles of data integrity apply fully to AI systems. AI-generated data used for GMP decision-making must be traceable, attributable, and protected against unauthorised modification. AI audit trails must meet the same standards as those required for any other GMP computerised system.</w:t>
      </w:r>
    </w:p>
    <w:p>
      <w:pPr>
        <w:pStyle w:val="ListParagraph"/>
        <w:numPr>
          <w:ilvl w:val="0"/>
          <w:numId w:val="2"/>
        </w:numPr>
        <w:spacing w:after="200"/>
      </w:pPr>
      <w:r>
        <w:rPr>
          <w:rFonts w:ascii="Arial" w:cs="Arial" w:eastAsia="Arial" w:hAnsi="Arial"/>
          <w:b/>
          <w:bCs/>
          <w:sz w:val="24"/>
          <w:szCs w:val="24"/>
        </w:rPr>
        <w:t xml:space="preserve">Generative AI Risks: </w:t>
      </w:r>
      <w:r>
        <w:rPr>
          <w:rFonts w:ascii="Arial" w:cs="Arial" w:eastAsia="Arial" w:hAnsi="Arial"/>
          <w:sz w:val="24"/>
          <w:szCs w:val="24"/>
        </w:rPr>
        <w:t xml:space="preserve">Dynamic AI models and generative AI carry particular risks in GMP environments because their outputs can vary unpredictably — a fundamental tension with GMP's requirement for reproducibility and control. The use of generative AI in regulated manufacturing contexts requires especially rigorous risk assessment and human oversight.</w:t>
      </w:r>
    </w:p>
    <w:p>
      <w:pPr>
        <w:pStyle w:val="ListParagraph"/>
        <w:numPr>
          <w:ilvl w:val="0"/>
          <w:numId w:val="2"/>
        </w:numPr>
        <w:spacing w:after="200"/>
      </w:pPr>
      <w:r>
        <w:rPr>
          <w:rFonts w:ascii="Arial" w:cs="Arial" w:eastAsia="Arial" w:hAnsi="Arial"/>
          <w:b/>
          <w:bCs/>
          <w:sz w:val="24"/>
          <w:szCs w:val="24"/>
        </w:rPr>
        <w:t xml:space="preserve">Human Oversight: </w:t>
      </w:r>
      <w:r>
        <w:rPr>
          <w:rFonts w:ascii="Arial" w:cs="Arial" w:eastAsia="Arial" w:hAnsi="Arial"/>
          <w:sz w:val="24"/>
          <w:szCs w:val="24"/>
        </w:rPr>
        <w:t xml:space="preserve">Across all regulatory frameworks — EU AI Act, FDA guidance, EMA work plan — one principle is universal: human oversight must be maintained. AI may augment human decision-making, but it may not replace it where safety-critical decisions are concerned. This is not merely a regulatory requirement — it is an ethical imperative.</w:t>
      </w:r>
    </w:p>
    <w:p>
      <w:pPr>
        <w:pStyle w:val="ListParagraph"/>
        <w:numPr>
          <w:ilvl w:val="0"/>
          <w:numId w:val="2"/>
        </w:numPr>
        <w:spacing w:after="200"/>
      </w:pPr>
      <w:r>
        <w:rPr>
          <w:rFonts w:ascii="Arial" w:cs="Arial" w:eastAsia="Arial" w:hAnsi="Arial"/>
          <w:b/>
          <w:bCs/>
          <w:sz w:val="24"/>
          <w:szCs w:val="24"/>
        </w:rPr>
        <w:t xml:space="preserve">Change Management and Cultural Resistance: </w:t>
      </w:r>
      <w:r>
        <w:rPr>
          <w:rFonts w:ascii="Arial" w:cs="Arial" w:eastAsia="Arial" w:hAnsi="Arial"/>
          <w:sz w:val="24"/>
          <w:szCs w:val="24"/>
        </w:rPr>
        <w:t xml:space="preserve">Implementing AI in a pharmaceutical organisation requires significant change management. Staff accustomed to traditional quality systems may resist AI tools, particularly if they fear job displacement. Effective communication — emphasising that AI augments rather than replaces human expertise — is essential for successful adoption.</w:t>
      </w:r>
    </w:p>
    <w:p>
      <w:pPr>
        <w:spacing w:after="200"/>
      </w:pPr>
    </w:p>
    <w:p>
      <w:pPr>
        <w:pStyle w:val="Heading2"/>
      </w:pPr>
      <w:r>
        <w:rPr>
          <w:rFonts w:ascii="Arial" w:cs="Arial" w:eastAsia="Arial" w:hAnsi="Arial"/>
          <w:b/>
          <w:bCs/>
          <w:color w:val="2E4D7B"/>
          <w:sz w:val="28"/>
          <w:szCs w:val="28"/>
        </w:rPr>
        <w:t xml:space="preserve">Practical Principles for Implementing AI in Pharmaceutical Organisations</w:t>
      </w:r>
    </w:p>
    <w:p>
      <w:pPr>
        <w:spacing w:after="200"/>
      </w:pPr>
      <w:r>
        <w:rPr>
          <w:rFonts w:ascii="Arial" w:cs="Arial" w:eastAsia="Arial" w:hAnsi="Arial"/>
          <w:sz w:val="24"/>
          <w:szCs w:val="24"/>
        </w:rPr>
        <w:t xml:space="preserve">For pharmaceutical organisations beginning their AI journey, the following principles — drawn from the experience of early adopters and the emerging regulatory framework — provide a sound foundation:</w:t>
      </w:r>
    </w:p>
    <w:p>
      <w:pPr>
        <w:pStyle w:val="ListParagraph"/>
        <w:numPr>
          <w:ilvl w:val="0"/>
          <w:numId w:val="2"/>
        </w:numPr>
        <w:spacing w:after="160"/>
      </w:pPr>
      <w:r>
        <w:rPr>
          <w:rFonts w:ascii="Arial" w:cs="Arial" w:eastAsia="Arial" w:hAnsi="Arial"/>
          <w:sz w:val="24"/>
          <w:szCs w:val="24"/>
        </w:rPr>
        <w:t xml:space="preserve">Start with clear business objectives: Define the problem you are solving before selecting an AI tool. AI solutions that are deployed in search of a problem rarely succeed.</w:t>
      </w:r>
    </w:p>
    <w:p>
      <w:pPr>
        <w:pStyle w:val="ListParagraph"/>
        <w:numPr>
          <w:ilvl w:val="0"/>
          <w:numId w:val="2"/>
        </w:numPr>
        <w:spacing w:after="160"/>
      </w:pPr>
      <w:r>
        <w:rPr>
          <w:rFonts w:ascii="Arial" w:cs="Arial" w:eastAsia="Arial" w:hAnsi="Arial"/>
          <w:sz w:val="24"/>
          <w:szCs w:val="24"/>
        </w:rPr>
        <w:t xml:space="preserve">Invest in data quality first: No AI system can overcome poor-quality input data. Before implementing AI, audit and improve the quality of the data it will depend upon.</w:t>
      </w:r>
    </w:p>
    <w:p>
      <w:pPr>
        <w:pStyle w:val="ListParagraph"/>
        <w:numPr>
          <w:ilvl w:val="0"/>
          <w:numId w:val="2"/>
        </w:numPr>
        <w:spacing w:after="160"/>
      </w:pPr>
      <w:r>
        <w:rPr>
          <w:rFonts w:ascii="Arial" w:cs="Arial" w:eastAsia="Arial" w:hAnsi="Arial"/>
          <w:sz w:val="24"/>
          <w:szCs w:val="24"/>
        </w:rPr>
        <w:t xml:space="preserve">Build regulatory compliance in from the start: Do not treat compliance as an afterthought. Engage your quality and regulatory teams at the earliest stage of any AI project.</w:t>
      </w:r>
    </w:p>
    <w:p>
      <w:pPr>
        <w:pStyle w:val="ListParagraph"/>
        <w:numPr>
          <w:ilvl w:val="0"/>
          <w:numId w:val="2"/>
        </w:numPr>
        <w:spacing w:after="160"/>
      </w:pPr>
      <w:r>
        <w:rPr>
          <w:rFonts w:ascii="Arial" w:cs="Arial" w:eastAsia="Arial" w:hAnsi="Arial"/>
          <w:sz w:val="24"/>
          <w:szCs w:val="24"/>
        </w:rPr>
        <w:t xml:space="preserve">Pilot before scaling: Begin with a focused pilot in a lower-risk application. Validate the system thoroughly, gather operational experience, and build internal capability before expanding.</w:t>
      </w:r>
    </w:p>
    <w:p>
      <w:pPr>
        <w:pStyle w:val="ListParagraph"/>
        <w:numPr>
          <w:ilvl w:val="0"/>
          <w:numId w:val="2"/>
        </w:numPr>
        <w:spacing w:after="160"/>
      </w:pPr>
      <w:r>
        <w:rPr>
          <w:rFonts w:ascii="Arial" w:cs="Arial" w:eastAsia="Arial" w:hAnsi="Arial"/>
          <w:sz w:val="24"/>
          <w:szCs w:val="24"/>
        </w:rPr>
        <w:t xml:space="preserve">Engage with regulators early: For applications that will generate data for regulatory submissions, early engagement — including pre-IND meetings (FDA) or scientific advice (EMA) — is strongly encouraged and increasingly expected.</w:t>
      </w:r>
    </w:p>
    <w:p>
      <w:pPr>
        <w:pStyle w:val="ListParagraph"/>
        <w:numPr>
          <w:ilvl w:val="0"/>
          <w:numId w:val="2"/>
        </w:numPr>
        <w:spacing w:after="160"/>
      </w:pPr>
      <w:r>
        <w:rPr>
          <w:rFonts w:ascii="Arial" w:cs="Arial" w:eastAsia="Arial" w:hAnsi="Arial"/>
          <w:sz w:val="24"/>
          <w:szCs w:val="24"/>
        </w:rPr>
        <w:t xml:space="preserve">Invest in people: Train staff on AI literacy, data governance, and the regulatory framework. Address cultural resistance proactively and involve operational teams in the design and implementation of AI tools.</w:t>
      </w:r>
    </w:p>
    <w:p>
      <w:pPr>
        <w:pStyle w:val="ListParagraph"/>
        <w:numPr>
          <w:ilvl w:val="0"/>
          <w:numId w:val="2"/>
        </w:numPr>
        <w:spacing w:after="160"/>
      </w:pPr>
      <w:r>
        <w:rPr>
          <w:rFonts w:ascii="Arial" w:cs="Arial" w:eastAsia="Arial" w:hAnsi="Arial"/>
          <w:sz w:val="24"/>
          <w:szCs w:val="24"/>
        </w:rPr>
        <w:t xml:space="preserve">Monitor continuously: AI implementation is not a one-time project. Establish ongoing performance monitoring, periodic revalidation, and a clear change control process for AI system updates.</w:t>
      </w:r>
    </w:p>
    <w:p>
      <w:pPr>
        <w:spacing w:after="200"/>
      </w:pPr>
    </w:p>
    <w:p>
      <w:pPr>
        <w:pStyle w:val="Heading2"/>
      </w:pPr>
      <w:r>
        <w:rPr>
          <w:rFonts w:ascii="Arial" w:cs="Arial" w:eastAsia="Arial" w:hAnsi="Arial"/>
          <w:b/>
          <w:bCs/>
          <w:color w:val="2E4D7B"/>
          <w:sz w:val="28"/>
          <w:szCs w:val="28"/>
        </w:rPr>
        <w:t xml:space="preserve">The Future of AI in Pharmaceuticals</w:t>
      </w:r>
    </w:p>
    <w:p>
      <w:pPr>
        <w:spacing w:after="200"/>
      </w:pPr>
      <w:r>
        <w:rPr>
          <w:rFonts w:ascii="Arial" w:cs="Arial" w:eastAsia="Arial" w:hAnsi="Arial"/>
          <w:sz w:val="24"/>
          <w:szCs w:val="24"/>
        </w:rPr>
        <w:t xml:space="preserve">The pace of AI development in pharmaceuticals shows no sign of slowing. Industry experts and regulatory authorities agree that 2026 marks a pivotal shift — from incremental technological pilots to profound, system-level change. Several developments on the near horizon will further reshape the industry:</w:t>
      </w:r>
    </w:p>
    <w:p>
      <w:pPr>
        <w:pStyle w:val="ListParagraph"/>
        <w:numPr>
          <w:ilvl w:val="0"/>
          <w:numId w:val="2"/>
        </w:numPr>
        <w:spacing w:after="200"/>
      </w:pPr>
      <w:r>
        <w:rPr>
          <w:rFonts w:ascii="Arial" w:cs="Arial" w:eastAsia="Arial" w:hAnsi="Arial"/>
          <w:b/>
          <w:bCs/>
          <w:sz w:val="24"/>
          <w:szCs w:val="24"/>
        </w:rPr>
        <w:t xml:space="preserve">Agentic AI: </w:t>
      </w:r>
      <w:r>
        <w:rPr>
          <w:rFonts w:ascii="Arial" w:cs="Arial" w:eastAsia="Arial" w:hAnsi="Arial"/>
          <w:sz w:val="24"/>
          <w:szCs w:val="24"/>
        </w:rPr>
        <w:t xml:space="preserve">2026 is seeing a shift to 'agentic AI' — autonomous AI systems capable of executing multi-step tasks, making decisions, and adapting to changing circumstances with minimal human instruction. In pharmaceuticals, agentic AI could autonomously monitor quality systems, initiate deviation investigations, and draft regulatory responses. The governance and validation challenges this presents are considerable.</w:t>
      </w:r>
    </w:p>
    <w:p>
      <w:pPr>
        <w:pStyle w:val="ListParagraph"/>
        <w:numPr>
          <w:ilvl w:val="0"/>
          <w:numId w:val="2"/>
        </w:numPr>
        <w:spacing w:after="200"/>
      </w:pPr>
      <w:r>
        <w:rPr>
          <w:rFonts w:ascii="Arial" w:cs="Arial" w:eastAsia="Arial" w:hAnsi="Arial"/>
          <w:b/>
          <w:bCs/>
          <w:sz w:val="24"/>
          <w:szCs w:val="24"/>
        </w:rPr>
        <w:t xml:space="preserve">AI-Designed Drugs Reaching Approval: </w:t>
      </w:r>
      <w:r>
        <w:rPr>
          <w:rFonts w:ascii="Arial" w:cs="Arial" w:eastAsia="Arial" w:hAnsi="Arial"/>
          <w:sz w:val="24"/>
          <w:szCs w:val="24"/>
        </w:rPr>
        <w:t xml:space="preserve">While no fully AI-designed drug has yet received regulatory approval as of 2026, the pipeline is advancing rapidly. Regulatory authorities are actively preparing frameworks for the evaluation of AI-developed molecules, and the first approvals are anticipated within the next few years.</w:t>
      </w:r>
    </w:p>
    <w:p>
      <w:pPr>
        <w:pStyle w:val="ListParagraph"/>
        <w:numPr>
          <w:ilvl w:val="0"/>
          <w:numId w:val="2"/>
        </w:numPr>
        <w:spacing w:after="200"/>
      </w:pPr>
      <w:r>
        <w:rPr>
          <w:rFonts w:ascii="Arial" w:cs="Arial" w:eastAsia="Arial" w:hAnsi="Arial"/>
          <w:b/>
          <w:bCs/>
          <w:sz w:val="24"/>
          <w:szCs w:val="24"/>
        </w:rPr>
        <w:t xml:space="preserve">Personalised Medicine at Scale: </w:t>
      </w:r>
      <w:r>
        <w:rPr>
          <w:rFonts w:ascii="Arial" w:cs="Arial" w:eastAsia="Arial" w:hAnsi="Arial"/>
          <w:sz w:val="24"/>
          <w:szCs w:val="24"/>
        </w:rPr>
        <w:t xml:space="preserve">AI will increasingly enable truly personalised medicine — where treatment decisions are driven by an individual's genomic profile, biomarker data, and real-time physiological monitoring. This will require pharmaceutical companies to develop entirely new manufacturing, regulatory, and quality paradigms.</w:t>
      </w:r>
    </w:p>
    <w:p>
      <w:pPr>
        <w:pStyle w:val="ListParagraph"/>
        <w:numPr>
          <w:ilvl w:val="0"/>
          <w:numId w:val="2"/>
        </w:numPr>
        <w:spacing w:after="200"/>
      </w:pPr>
      <w:r>
        <w:rPr>
          <w:rFonts w:ascii="Arial" w:cs="Arial" w:eastAsia="Arial" w:hAnsi="Arial"/>
          <w:b/>
          <w:bCs/>
          <w:sz w:val="24"/>
          <w:szCs w:val="24"/>
        </w:rPr>
        <w:t xml:space="preserve">Continuous Manufacturing with AI Control: </w:t>
      </w:r>
      <w:r>
        <w:rPr>
          <w:rFonts w:ascii="Arial" w:cs="Arial" w:eastAsia="Arial" w:hAnsi="Arial"/>
          <w:sz w:val="24"/>
          <w:szCs w:val="24"/>
        </w:rPr>
        <w:t xml:space="preserve">AI-controlled continuous manufacturing — where a product flows through an integrated production process without batch interruptions — is being actively developed. Combined with PAT and real-time release testing, this represents the future of pharmaceutical manufacturing.</w:t>
      </w:r>
    </w:p>
    <w:p>
      <w:pPr>
        <w:pStyle w:val="ListParagraph"/>
        <w:numPr>
          <w:ilvl w:val="0"/>
          <w:numId w:val="2"/>
        </w:numPr>
        <w:spacing w:after="200"/>
      </w:pPr>
      <w:r>
        <w:rPr>
          <w:rFonts w:ascii="Arial" w:cs="Arial" w:eastAsia="Arial" w:hAnsi="Arial"/>
          <w:b/>
          <w:bCs/>
          <w:sz w:val="24"/>
          <w:szCs w:val="24"/>
        </w:rPr>
        <w:t xml:space="preserve">Harmonised International AI Regulation: </w:t>
      </w:r>
      <w:r>
        <w:rPr>
          <w:rFonts w:ascii="Arial" w:cs="Arial" w:eastAsia="Arial" w:hAnsi="Arial"/>
          <w:sz w:val="24"/>
          <w:szCs w:val="24"/>
        </w:rPr>
        <w:t xml:space="preserve">Regulators globally are working toward harmonisation of AI requirements. The FDA-EMA joint principles of January 2026 are an early step in this direction, with ICH involvement anticipated to produce globally harmonised guidance within the next several years.</w:t>
      </w:r>
    </w:p>
    <w:p>
      <w:pPr>
        <w:spacing w:after="200"/>
      </w:pPr>
    </w:p>
    <w:p>
      <w:pPr>
        <w:pStyle w:val="Heading2"/>
      </w:pPr>
      <w:r>
        <w:rPr>
          <w:rFonts w:ascii="Arial" w:cs="Arial" w:eastAsia="Arial" w:hAnsi="Arial"/>
          <w:b/>
          <w:bCs/>
          <w:color w:val="2E4D7B"/>
          <w:sz w:val="28"/>
          <w:szCs w:val="28"/>
        </w:rPr>
        <w:t xml:space="preserve">Conclusion</w:t>
      </w:r>
    </w:p>
    <w:p>
      <w:pPr>
        <w:spacing w:after="200"/>
      </w:pPr>
      <w:r>
        <w:rPr>
          <w:rFonts w:ascii="Arial" w:cs="Arial" w:eastAsia="Arial" w:hAnsi="Arial"/>
          <w:sz w:val="24"/>
          <w:szCs w:val="24"/>
        </w:rPr>
        <w:t xml:space="preserve">Artificial intelligence is not a trend that pharmaceutical professionals can afford to watch from the sidelines. It is already embedded in the industry's most critical operations — from the earliest stages of drug discovery to the final release of a product to the market. For quality, regulatory, and manufacturing professionals, understanding AI is no longer optional; it is a core professional competency.</w:t>
      </w:r>
    </w:p>
    <w:p>
      <w:pPr>
        <w:spacing w:after="200"/>
      </w:pPr>
      <w:r>
        <w:rPr>
          <w:rFonts w:ascii="Arial" w:cs="Arial" w:eastAsia="Arial" w:hAnsi="Arial"/>
          <w:sz w:val="24"/>
          <w:szCs w:val="24"/>
        </w:rPr>
        <w:t xml:space="preserve">At the same time, AI does not diminish the importance of the core GMP principles covered throughout this article series. Data integrity, validation, human oversight, and quality culture are as fundamental in an AI-powered pharmaceutical environment as they have always been — arguably more so, because the consequences of AI failures can be faster, broader, and harder to detect than traditional process failures.</w:t>
      </w:r>
    </w:p>
    <w:p>
      <w:pPr>
        <w:spacing w:after="400"/>
      </w:pPr>
      <w:r>
        <w:rPr>
          <w:rFonts w:ascii="Arial" w:cs="Arial" w:eastAsia="Arial" w:hAnsi="Arial"/>
          <w:sz w:val="24"/>
          <w:szCs w:val="24"/>
        </w:rPr>
        <w:t xml:space="preserve">The pharmaceutical professionals who will thrive in this new era are those who combine deep GMP expertise with an informed understanding of AI's capabilities, limitations, and regulatory requirements. At Qualizenz, we are committed to equipping you with exactly that knowledge — one article at a time.</w:t>
      </w:r>
    </w:p>
    <w:p>
      <w:pPr>
        <w:pBdr>
          <w:top w:val="single" w:color="4B2D8E" w:sz="4" w:space="1"/>
        </w:pBdr>
        <w:spacing w:after="120"/>
      </w:pPr>
      <w:r>
        <w:rPr>
          <w:rFonts w:ascii="Arial" w:cs="Arial" w:eastAsia="Arial" w:hAnsi="Arial"/>
          <w:b/>
          <w:bCs/>
          <w:color w:val="4B2D8E"/>
          <w:sz w:val="24"/>
          <w:szCs w:val="24"/>
        </w:rPr>
        <w:t xml:space="preserve">Key Takeaways</w:t>
      </w:r>
    </w:p>
    <w:p>
      <w:pPr>
        <w:pStyle w:val="ListParagraph"/>
        <w:numPr>
          <w:ilvl w:val="0"/>
          <w:numId w:val="2"/>
        </w:numPr>
        <w:spacing w:after="120"/>
      </w:pPr>
      <w:r>
        <w:rPr>
          <w:rFonts w:ascii="Arial" w:cs="Arial" w:eastAsia="Arial" w:hAnsi="Arial"/>
          <w:sz w:val="24"/>
          <w:szCs w:val="24"/>
        </w:rPr>
        <w:t xml:space="preserve">AI is projected to generate $350B-$410B annually for the pharmaceutical sector, with investments exceeding $4B in 2025 alone.</w:t>
      </w:r>
    </w:p>
    <w:p>
      <w:pPr>
        <w:pStyle w:val="ListParagraph"/>
        <w:numPr>
          <w:ilvl w:val="0"/>
          <w:numId w:val="2"/>
        </w:numPr>
        <w:spacing w:after="120"/>
      </w:pPr>
      <w:r>
        <w:rPr>
          <w:rFonts w:ascii="Arial" w:cs="Arial" w:eastAsia="Arial" w:hAnsi="Arial"/>
          <w:sz w:val="24"/>
          <w:szCs w:val="24"/>
        </w:rPr>
        <w:t xml:space="preserve">Key applications span drug discovery, clinical trials, manufacturing quality, pharmacovigilance, and regulatory submissions.</w:t>
      </w:r>
    </w:p>
    <w:p>
      <w:pPr>
        <w:pStyle w:val="ListParagraph"/>
        <w:numPr>
          <w:ilvl w:val="0"/>
          <w:numId w:val="2"/>
        </w:numPr>
        <w:spacing w:after="120"/>
      </w:pPr>
      <w:r>
        <w:rPr>
          <w:rFonts w:ascii="Arial" w:cs="Arial" w:eastAsia="Arial" w:hAnsi="Arial"/>
          <w:sz w:val="24"/>
          <w:szCs w:val="24"/>
        </w:rPr>
        <w:t xml:space="preserve">In January 2026, the FDA and EMA jointly issued ten Guiding Principles of Good AI Practice — the most significant international AI regulatory milestone to date.</w:t>
      </w:r>
    </w:p>
    <w:p>
      <w:pPr>
        <w:pStyle w:val="ListParagraph"/>
        <w:numPr>
          <w:ilvl w:val="0"/>
          <w:numId w:val="2"/>
        </w:numPr>
        <w:spacing w:after="120"/>
      </w:pPr>
      <w:r>
        <w:rPr>
          <w:rFonts w:ascii="Arial" w:cs="Arial" w:eastAsia="Arial" w:hAnsi="Arial"/>
          <w:sz w:val="24"/>
          <w:szCs w:val="24"/>
        </w:rPr>
        <w:t xml:space="preserve">AI systems in GMP environments must be validated, with human oversight maintained for all safety-critical decisions.</w:t>
      </w:r>
    </w:p>
    <w:p>
      <w:pPr>
        <w:pStyle w:val="ListParagraph"/>
        <w:numPr>
          <w:ilvl w:val="0"/>
          <w:numId w:val="2"/>
        </w:numPr>
        <w:spacing w:after="120"/>
      </w:pPr>
      <w:r>
        <w:rPr>
          <w:rFonts w:ascii="Arial" w:cs="Arial" w:eastAsia="Arial" w:hAnsi="Arial"/>
          <w:sz w:val="24"/>
          <w:szCs w:val="24"/>
        </w:rPr>
        <w:t xml:space="preserve">Data integrity principles (ALCOA+) apply fully to AI-generated data used in GMP decision-making.</w:t>
      </w:r>
    </w:p>
    <w:p>
      <w:pPr>
        <w:pStyle w:val="ListParagraph"/>
        <w:numPr>
          <w:ilvl w:val="0"/>
          <w:numId w:val="2"/>
        </w:numPr>
        <w:spacing w:after="120"/>
      </w:pPr>
      <w:r>
        <w:rPr>
          <w:rFonts w:ascii="Arial" w:cs="Arial" w:eastAsia="Arial" w:hAnsi="Arial"/>
          <w:sz w:val="24"/>
          <w:szCs w:val="24"/>
        </w:rPr>
        <w:t xml:space="preserve">The biggest implementation risks are data quality, algorithmic transparency, and change management — not the technology itself.</w:t>
      </w:r>
    </w:p>
    <w:p>
      <w:pPr>
        <w:spacing w:after="200"/>
      </w:pPr>
    </w:p>
    <w:p>
      <w:pPr>
        <w:pBdr>
          <w:top w:val="single" w:color="4B2D8E" w:sz="4" w:space="1"/>
        </w:pBdr>
        <w:spacing w:after="120" w:before="240"/>
        <w:jc w:val="center"/>
      </w:pPr>
      <w:r>
        <w:rPr>
          <w:rFonts w:ascii="Arial" w:cs="Arial" w:eastAsia="Arial" w:hAnsi="Arial"/>
          <w:b/>
          <w:bCs/>
          <w:color w:val="4B2D8E"/>
          <w:sz w:val="18"/>
          <w:szCs w:val="18"/>
        </w:rPr>
        <w:t xml:space="preserve">Qualizenz | Expert Pharmaceutical Knowledge Made Simple</w:t>
      </w:r>
    </w:p>
    <w:p>
      <w:pPr>
        <w:jc w:val="center"/>
      </w:pPr>
      <w:r>
        <w:rPr>
          <w:rFonts w:ascii="Arial" w:cs="Arial" w:eastAsia="Arial" w:hAnsi="Arial"/>
          <w:color w:val="888888"/>
          <w:sz w:val="18"/>
          <w:szCs w:val="18"/>
        </w:rPr>
        <w:t xml:space="preserve">www.qualizenz.com  |  Knowledge  |  Templates  |  Tools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4B2D8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D7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6B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2026-05-31T03:01:05.699Z</dcterms:created>
  <dcterms:modified xsi:type="dcterms:W3CDTF">2026-05-31T03:01:05.718Z</dcterms:modified>
</cp:coreProperties>
</file>

<file path=docProps/custom.xml><?xml version="1.0" encoding="utf-8"?>
<Properties xmlns="http://schemas.openxmlformats.org/officeDocument/2006/custom-properties" xmlns:vt="http://schemas.openxmlformats.org/officeDocument/2006/docPropsVTypes"/>
</file>