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2C8F"/>
          <w:sz w:val="34"/>
          <w:szCs w:val="34"/>
        </w:rPr>
        <w:t xml:space="preserve">UKG Pro entry sheet — 2026 Goal Planning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Amit Prasad · matches the Add/Change Goals form field by field · v0.2, October 9, 2026</w:t>
      </w:r>
    </w:p>
    <w:p>
      <w:pPr>
        <w:pBdr>
          <w:bottom w:val="single" w:color="5B2C8F" w:sz="6" w:space="4"/>
        </w:pBdr>
        <w:spacing w:after="16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How to use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Myself → Career &amp; Education → Goal Planning → 2026 Goal Planning → Add → New Goal.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Copy each row into the matching field. For Description, select the whole Description cell (paragraph, bullets and Measures) and paste; if the bullets arrive as plain lines, select them and click the bullet-list button.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Save after each goal — it lands as Private Draft, visible only to you. Do not use Change Status or Submit until after the meeting with Surya.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After all four are saved: Add/Change Goal Weighting (right-hand panel) → 40 / 25 / 20 / 15 = 100.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1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 the ARIA data hub, Phase 1 — design agreed, CIS contract defined, end-to-end slice running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(if the Title box cuts it off: "Deliver ARIA data hub Phase 1 — design, CIS contract, end-to-end slice")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Own the data-engineering layer (data hub) of ARIA on the agentic hub: ingress from CIS → bronze → silver (CCDM) → clinical truth graph (CTG) → symbolic auditor → gold determinations → egress back to CIS.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Present the data-hub design to Reva and Surya and record the decisions: platform and lakehouse location, CTG storage, ingress mechanism, PHI environment.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Define the CIS ingress/egress contract with the CIS team: event schema for the NLP output, how charts are referenced, delivery mechanism (Kafka or the agreed alternative), and the recommendation/feedback message back to CIS.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Extend the slice-1 pipeline already running in ai-engineering-dev (bronze + silver CCDM v0.1 with quarantine, deployed as a Databricks Asset Bundle) through CTG and gold on sample data, wiring in the hosted auditor when the POC component is available.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review held with Reva and Surya; decision log published in Confluence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Ingress/egress contract document agreed with the CIS owner by 12/31/2026 (or the blocker and its owner named in writing).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Slice 2 running on sample data by 12/31/2026: CTG node/edge tables and a gold determination table populated from silver for at least 3 sample charts, every gold row carrying rule_set, CTG, model and CCDM version keys.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of the extended slice to Reva and Surya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hosted auditor integration, replay from bronze reproducing the same determinations, shadow-mode evaluation against coder decisions.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 — not on this form; enter under "Add/Change Goal Weighting" after all four goals are saved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2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Establish the Common Clinical Data Model (CCDM) v1.0 as the shared schema across ARIA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(if the Title box cuts it off: "Establish CCDM v1.0 as ARIA's shared schema")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Turn the CCDM from the current v0.1 (constants in code) into governed reference data and the contract every component reads and writes.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Finalize the model with Reva: vocabulary, source_map and code_reference as Delta reference tables seeded from CMS data, plus encounter, provider, condition_mention and evidence_span.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Silver enforces the model: translation via source_map, HCC from code_reference, validation against the vocabulary, failures to quarantine with reasons.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Abstractor and auditor consume CCDM names — directly, or through thin adapters until the POC components are changed. Apply the versioning rule (minor vs major bump, rule sets record the version).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Reference tables (vocabulary, source_map, code_reference) live as Delta tables and silver joining to them (hcc populated from code_reference)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CCDM v1.0 table definitions and vocabulary reviewed with Reva and published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100% of silver rows carry ccdm_version; quarantine rate and reasons reported per run.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first agentic-hub component (abstractor or auditor) reading the CCDM tables directly.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 — not on this form; enter under "Add/Change Goal Weighting" after all four goals are saved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3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Make the ARIA pipeline production-grade — source control, CI/CD and data governance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(if the Title box cuts it off: "Make the ARIA pipeline production-grade — CI/CD and governance")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Move the ARIA Databricks Asset Bundle from a personal dev deployment to the team's standard engineering path, and align where ARIA's data lives with the platform owners.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 in Bitbucket with the dev → mvp → prod branch model; Jenkins pipeline running databricks bundle validate/deploy on merge, following the Confluence CI/CD standard.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Unity Catalog catalog and schemas for ARIA with PHI-appropriate access; pytest suite running in CI; README and runbook.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alignment: confirm with Surya, Nikhil and Yesh whether ARIA layers co-locate in the existing lakehouse and reuse its Kafka/JSON ingestion pattern.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ARIA repo in Bitbucket with branch model and Jenkinsfile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merge to dev deploys to the dev workspace through Jenkins; tests run on every merge —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UC catalog/schema permissions documented; no PHI in personal schemas.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and lakehouse-location decision recorded with Surya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mvp and prod promotion path through Jenkins.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 — not on this form; enter under "Add/Change Goal Weighting" after all four goals are saved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4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healthcare risk-adjustment domain knowledge and Databricks platform depth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(if the Title box cuts it off: "Build risk-adjustment domain and Databricks platform depth")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 the two gaps I brought in: new to the medical/risk-adjustment domain, and new to the Databricks platform beyond the SQL editor.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Domain: CMS-HCC model (V28), ICD-10 → HCC mapping, MEAT criteria, RADV audits, the CMS submission flow, and Cotiviti's risk-adjustment and payment-integrity LOBs.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Platform: Structured Streaming, Lakeflow/DLT, Unity Catalog governance, serverless, Asset Bundles — enough to make platform choices for ARIA with confidence.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two-page 'ARIA coding flow explained' (chart → mention → MEAT → HCC → RAF) reviewed by Reva by 12/31/2026; able to present it to a new joiner without notes.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Academy Data Engineer learning path (or Cotiviti's Databricks path) completed by 12/31/2026; Data Engineer Associate exam scheduled for Q1 2027.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Shadowed at least one coder/CIS working session or risk-adjustment walkthrough by 12/31/2026.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Developmental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15% — not on this form; enter under "Add/Change Goal Weighting" after all four goals are saved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2026-10-09T17:45:26.301Z</dcterms:created>
  <dcterms:modified xsi:type="dcterms:W3CDTF">2026-10-09T17:45:26.310Z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