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C8F"/>
          <w:sz w:val="34"/>
          <w:szCs w:val="34"/>
        </w:rPr>
        <w:t xml:space="preserve">UKG Pro entry sheet — 2026 Goal Planning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Amit Prasad · matches the Add/Change Goals form field by field · v0.2, October 9, 2026</w:t>
      </w:r>
    </w:p>
    <w:p>
      <w:pPr>
        <w:pBdr>
          <w:bottom w:val="single" w:color="5B2C8F" w:sz="6" w:space="4"/>
        </w:pBdr>
        <w:spacing w:after="16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How to use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Myself → Career &amp; Education → Goal Planning → 2026 Goal Planning → Add → New Goal.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Copy each row into the matching field. For Description, select the whole Description cell (paragraph, bullets and Measures) and paste; if the bullets arrive as plain lines, select them and click the bullet-list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Save after each goal — it lands as Private Draft, visible only to you. Do not use Change Status or Submit until after the meeting with Surya.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After all four are saved: Add/Change Goal Weighting (right-hand panel) → 40 / 25 / 20 / 15 = 100.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1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 ARIA data hub — Phase 1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 the data-engineering layer (data hub) of ARIA on the agentic hub: ingress from CIS → bronze → silver (CCDM) → clinical truth graph (CTG) → symbolic auditor → gold determinations → egress back to CIS.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Present the data-hub design to Reva and Surya and record the decisions: platform and lakehouse location, CTG storage, ingress mechanism, PHI environment.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Agree the CIS handoff with the CIS owner: what CIS produces today and how it is delivered (CIS owns producing it; the data hub owns consuming it), plus the determination/feedback message back to CIS. Build the data-hub reader for that format; use the sample-event generator until a real feed exists.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Extend the slice-1 pipeline already running in ai-engineering-dev (bronze + silver CCDM v0.1 with quarantine, deployed as a Databricks Asset Bundle) through CTG and gold on sample data, wiring in the hosted auditor when the POC component is available.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review held with Reva and Surya; decision log published in Confluence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Ingress/egress contract document agreed with the CIS owner by 12/31/2026 (or the blocker and its owner named in writing).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Slice 2 running on sample data by 12/31/2026: CTG node/edge tables and a gold determination table populated from silver for at least 3 sample charts, every gold row carrying rule_set, CTG, model and CCDM version keys.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of the extended slice to Reva and Surya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hosted auditor integration, replay from bronze reproducing the same determinations, shadow-mode evaluation against coder decisions.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2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Establish CCDM v1.0 as ARIA's data model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Turn the CCDM from the current v0.1 (constants in code) into governed reference data and the contract every component reads and writes.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Finalize the model with Reva: vocabulary, source_map and code_reference as governed reference tables seeded from CMS data, plus encounter, provider, condition_mention and evidence_span.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Silver enforces the model: translation via source_map, HCC from code_reference, validation against the vocabulary, failures to quarantine with reasons.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Abstractor and auditor consume CCDM names — directly, or through thin adapters until the POC components are changed. Apply the versioning rule (minor vs major bump, rule sets record the version).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Reference tables (vocabulary, source_map, code_reference) live and silver joining to them (hcc populated from code_reference) by 11/30/2026.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CCDM v1.0 table definitions and vocabulary reviewed with Reva and published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100% of silver rows carry ccdm_version; quarantine rate and reasons reported per run.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first agentic-hub component (abstractor or auditor) reading the CCDM tables directly.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3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Make ARIA pipeline production-grade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 the ARIA pipeline from a personal dev deployment to the team's standard engineering path, on whichever platform is chosen (Databricks today; AWS/GCP if the decision changes).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Source control: repo in Bitbucket with the dev → mvp → prod branch model, README and runbook.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Jenkins runs the test suite on every merge and deploys to the dev environment of the chosen platform (Databricks Asset Bundle today; equivalent packaging if ARIA moves), following the Confluence CI/CD standard.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Governance: ARIA data in a team-owned, access-controlled location (Unity Catalog today) with PHI-appropriate permissions documented; nothing left in personal schemas.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alignment: work with Surya, Nikhil and Yesh to record the platform and lakehouse-location decision for ARIA, including whether it reuses the existing lakehouse ingestion pattern.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ARIA repo in Bitbucket with branch model and Jenkinsfile within 4 weeks of Bitbucket access (target 11/30/2026).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Jenkins job running the test suite on every merge by 12/31/2026; automated deploy to the dev environment by 12/31/2026 if platform access is in place, otherwise carried into the 2027 plan.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location and permissions documented; no PHI in personal schemas — by 12/31/2026.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 and lakehouse-location decision recorded with Surya by 12/31/2026. If ARIA moves off Databricks, the repo, tests and CI practice carry over and only the deploy target changes.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Carries into the 2027 plan: mvp and prod promotion path through Jenkins.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 — not on this form; enter under "Add/Change Goal Weighting" after all four goals are saved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5B2C8F"/>
          <w:sz w:val="26"/>
          <w:szCs w:val="26"/>
        </w:rPr>
        <w:t xml:space="preserve">Goal 4 of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risk-adjustment and Databricks skills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 the two gaps I brought in: new to the medical/risk-adjustment domain, and new to the Databricks platform beyond the SQL editor.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Domain: CMS-HCC model (V28), ICD-10 → HCC mapping, MEAT criteria, RADV audits, the CMS submission flow, and Cotiviti's risk-adjustment and payment-integrity LOBs.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Platform: Structured Streaming, Lakeflow/DLT, Unity Catalog governance, serverless, Asset Bundles — enough to make platform choices for ARIA with confidence.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Measures: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two-page 'ARIA coding flow explained' (chart → mention → MEAT → HCC → RAF) reviewed by Reva by 12/31/2026; able to present it to a new joiner without notes.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Databricks Academy Data Engineer learning path (or Cotiviti's Databricks path) completed by 12/31/2026; Data Engineer Associate exam scheduled for Q1 2027.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Shadowed at least one coder/CIS working session or risk-adjustment walkthrough by 12/31/2026.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Developmental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Start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12/31/2026</w:t>
            </w:r>
          </w:p>
        </w:tc>
      </w:tr>
      <w:tr>
        <w:tc>
          <w:tcPr>
            <w:tcW w:type="dxa" w:w="1700"/>
            <w:shd w:fill="EFE9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7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 — not on this form; enter under "Add/Change Goal Weighting" after all four goals are saved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2026-10-09T19:37:36.126Z</dcterms:created>
  <dcterms:modified xsi:type="dcterms:W3CDTF">2026-10-09T19:37:36.126Z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