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2C8F"/>
          <w:sz w:val="34"/>
          <w:szCs w:val="34"/>
        </w:rPr>
        <w:t xml:space="preserve">UKG Pro entry sheet — 2026 Goal Planning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Amit Prasad · matches the Add/Change Goals form field by field · v0.2, October 9, 2026</w:t>
      </w:r>
    </w:p>
    <w:p>
      <w:pPr>
        <w:pBdr>
          <w:bottom w:val="single" w:color="5B2C8F" w:sz="6" w:space="4"/>
        </w:pBd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Myself → Career &amp; Education → Goal Planning → 2026 Goal Planning → Add → New Goal.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Copy each row into the matching field. For Description, select the whole Description cell (paragraph, bullets and Measures) and paste; if the bullets arrive as plain lines, select them and click the bullet-list button.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Save after each goal — it lands as Private Draft, visible only to you. Do not use Change Status or Submit until after the meeting with Surya.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After all four are saved: Add/Change Goal Weighting (right-hand panel) → 40 / 25 / 20 / 15 = 100.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Goal 1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 ARIA data hub — Phase 1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 the data-engineering layer (data hub) of ARIA on the agentic hub: ingress from CIS → bronze → silver (CCDM) → clinical truth graph (CTG) → symbolic auditor → gold determinations → egress back to CIS.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the data-hub design to Reva and Surya and record the decisions: platform and lakehouse location, CTG storage, ingress mechanism, PHI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Agree the CIS handoff with the CIS owner: what CIS produces today and how it is delivered (CIS owns producing it; the data hub owns consuming it), plus the determination/feedback message back to CIS. Build the data-hub reader for that format; use the sample-event generator until a real feed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the slice-1 pipeline already running in ai-engineering-dev (bronze + silver CCDM v0.1 with quarantine, deployed as a Databricks Asset Bundle) through CTG and gold on sample data, wiring in the hosted auditor when the POC component is available.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review held with Reva and Surya; decision log published in Confluence by 11/30/2026.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Ingress/egress contract document agreed with the CIS owner by 12/31/2026 (or the blocker and its owner named in writing).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Slice 2 running on sample data by 12/31/2026: CTG node/edge tables and a gold determination table populated from silver for at least 3 sample charts, every gold row carrying rule_set, CTG, model and CCDM version keys.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of the extended slice to Reva and Surya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into the 2027 plan: hosted auditor integration, replay from bronze reproducing the same determinations, shadow-mode evaluation against coder decisions.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 — not on this form; enter under "Add/Change Goal Weighting" after all four goals are saved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Goal 2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 CCDM v1.0 as ARIA's data model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the CCDM from the current v0.1 (constants in code) into governed reference data and the contract every component reads and writes.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the model with Reva: vocabulary, source_map and code_reference as Delta reference tables seeded from CMS data, plus encounter, provider, condition_mention and evidence_span.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Silver enforces the model: translation via source_map, HCC from code_reference, validation against the vocabulary, failures to quarantine with reasons.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Abstractor and auditor consume CCDM names — directly, or through thin adapters until the POC components are changed. Apply the versioning rule (minor vs major bump, rule sets record the version).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tables (vocabulary, source_map, code_reference) live as Delta tables and silver joining to them (hcc populated from code_reference) by 11/30/2026.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CCDM v1.0 table definitions and vocabulary reviewed with Reva and published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of silver rows carry ccdm_version; quarantine rate and reasons reported per 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into the 2027 plan: first agentic-hub component (abstractor or auditor) reading the CCDM tables directly.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 — not on this form; enter under "Add/Change Goal Weighting" after all four goals are saved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Goal 3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ARIA pipeline production-grade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the ARIA Databricks Asset Bundle from a personal dev deployment to the team's standard engineering path, and align where ARIA's data lives with the platform owners.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in Bitbucket with the dev → mvp → prod branch model; Jenkins pipeline running databricks bundle validate/deploy on merge, following the Confluence CI/CD standard.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Unity Catalog catalog and schemas for ARIA with PHI-appropriate access; pytest suite running in CI; README and runbook.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alignment: confirm with Surya, Nikhil and Yesh whether ARIA layers co-locate in the existing lakehouse and reuse its Kafka/JSON ingestion pattern.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ARIA repo in Bitbucket with branch model and Jenkinsfile by 11/30/2026.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merge to dev deploys to the dev workspace through Jenkins; tests run on every merge —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 catalog/schema permissions documented; no PHI in personal schemas.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and lakehouse-location decision recorded with Surya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into the 2027 plan: mvp and prod promotion path through Jenkins.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 — not on this form; enter under "Add/Change Goal Weighting" after all four goals are saved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Goal 4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risk-adjustment and Databricks skills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two gaps I brought in: new to the medical/risk-adjustment domain, and new to the Databricks platform beyond the SQL editor.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Domain: CMS-HCC model (V28), ICD-10 → HCC mapping, MEAT criteria, RADV audits, the CMS submission flow, and Cotiviti's risk-adjustment and payment-integrity LOBs.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Platform: Structured Streaming, Lakeflow/DLT, Unity Catalog governance, serverless, Asset Bundles — enough to make platform choices for ARIA with confidence.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two-page 'ARIA coding flow explained' (chart → mention → MEAT → HCC → RAF) reviewed by Reva by 12/31/2026; able to present it to a new joiner without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 Academy Data Engineer learning path (or Cotiviti's Databricks path) completed by 12/31/2026; Data Engineer Associate exam scheduled for Q1 2027.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Shadowed at least one coder/CIS working session or risk-adjustment walkthrough by 12/31/2026.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Developmental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</w:t>
            </w:r>
          </w:p>
        </w:tc>
      </w:tr>
      <w:tr>
        <w:tc>
          <w:tcPr>
            <w:tcW w:type="dxa" w:w="17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 — not on this form; enter under "Add/Change Goal Weighting" after all four goals are saved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2026-10-09T17:58:16.444Z</dcterms:created>
  <dcterms:modified xsi:type="dcterms:W3CDTF">2026-10-09T17:58:16.445Z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