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C8F"/>
          <w:sz w:val="34"/>
          <w:szCs w:val="34"/>
        </w:rPr>
        <w:t xml:space="preserve">UKG Pro entry sheet — 2026 Goal Planning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Amit Prasad · matches the Add/Change Goals form field by field · v0.2, October 9, 2026</w:t>
      </w:r>
    </w:p>
    <w:p>
      <w:pPr>
        <w:pBdr>
          <w:bottom w:val="single" w:color="5B2C8F" w:sz="6" w:space="4"/>
        </w:pBdr>
        <w:spacing w:after="16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How to use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Myself → Career &amp; Education → Goal Planning → 2026 Goal Planning → Add → New Goal.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Copy each row into the matching field. For Description, select the whole Description cell (paragraph, bullets and Measures) and paste; if the bullets arrive as plain lines, select them and click the bullet-list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Save after each goal — it lands as Private Draft, visible only to you. Do not use Change Status or Submit until after the meeting with Surya.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After all four are saved: Add/Change Goal Weighting (right-hand panel) → 40 / 25 / 20 / 15 = 100.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1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 ARIA data hub — Phase 1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 the data-engineering layer (data hub) of ARIA on the agentic hub: ingress from CIS → bronze → silver (CCDM) → clinical truth graph (CTG) → symbolic auditor → gold determinations → egress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data-hub design to Reva and Surya and record the decisions: platform and lakehouse location, CTG storage, ingress mechanism, PHI environment.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Agree the CIS handoff with the CIS owner: what CIS produces today and how it is delivered (CIS owns producing it; the data hub owns consuming it), plus the determination/feedback message back to CIS. Build the data-hub reader for that format; use the sample-event generator until a real feed exists.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Extend the slice-1 pipeline already running in ai-engineering-dev (bronze + silver CCDM v0.1 with quarantine, deployed as a Databricks Asset Bundle) through CTG and gold on sample data, wiring in the hosted auditor when the POC component is available.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review held with Reva and Surya; decision log published in Confluence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Ingress/egress contract document agreed with the CIS owner by 12/31/2026 (or the blocker and its owner named in writing).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2 running on sample data by 12/31/2026: CTG node/edge tables and a gold determination table populated from silver for at least 3 sample charts, every gold row carrying rule_set, CTG, model and CCDM version keys.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of the extended slice to Reva and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hosted auditor integration, replay from bronze reproducing the same determinations, shadow-mode evaluation against coder decisions.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2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Establish CCDM v1.0 as ARIA's data model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Turn the CCDM from the current v0.1 (constants in code) into governed reference data and the contract every component reads and writes.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Finalize the model with Reva: vocabulary, source_map and code_reference as governed reference tables seeded from CMS data, plus encounter, provider, condition_mention and evidence_span.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Silver enforces the model: translation via source_map, HCC from code_reference, validation against the vocabulary, failures to quarantine with reasons.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Abstractor and auditor consume CCDM names — directly, or through thin adapters until the POC components are changed. Apply the versioning rule (minor vs major bump, rule sets record the version).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tables (vocabulary, source_map, code_reference) live and silver joining to them (hcc populated from code_reference)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CCDM v1.0 table definitions and vocabulary reviewed with Reva and published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silver rows carry ccdm_version; quarantine rate and reasons reported per run.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first agentic-hub component (abstractor or auditor) reading the CCDM tables directly.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3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Make ARIA pipeline production-grade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 the ARIA pipeline from a personal dev deployment to the team's standard engineering path, on whichever platform is chosen (Databricks today; AWS/GCP if the decision changes).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control: repo in Bitbucket with the dev → mvp → prod branch model, README and runbook.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Jenkins runs the test suite on every merge and deploys to the dev environment of the chosen platform (Databricks Asset Bundle today; equivalent packaging if ARIA moves), following the Confluence CI/CD standard.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Governance: ARIA data in a team-owned, access-controlled location (Unity Catalog today) with PHI-appropriate permissions documented; nothing left in personal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alignment: work with Surya, Nikhil and Yesh to record the platform and lakehouse-location decision for ARIA, including whether it reuses the existing lakehouse ingestion pattern.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ARIA repo in Bitbucket with branch model and Jenkinsfile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merge to dev runs the tests and deploys to the dev environment through Jenkins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location and permissions documented; no PHI in personal schemas —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and lakehouse-location decision recorded with Surya by 12/31/2026. If ARIA moves off Databricks, the repo, tests and CI practice carry over and only the deploy target changes.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mvp and prod promotion path through Jenkins.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4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risk-adjustment and Databricks skills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the two gaps I brought in: new to the medical/risk-adjustment domain, and new to the Databricks platform beyond the SQL editor.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Domain: CMS-HCC model (V28), ICD-10 → HCC mapping, MEAT criteria, RADV audits, the CMS submission flow, and Cotiviti's risk-adjustment and payment-integrity LOBs.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Platform: Structured Streaming, Lakeflow/DLT, Unity Catalog governance, serverless, Asset Bundles — enough to make platform choices for ARIA with confidence.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two-page 'ARIA coding flow explained' (chart → mention → MEAT → HCC → RAF) reviewed by Reva by 12/31/2026; able to present it to a new joiner without notes.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Academy Data Engineer learning path (or Cotiviti's Databricks path) completed by 12/31/2026; Data Engineer Associate exam scheduled for Q1 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Shadowed at least one coder/CIS working session or risk-adjustment walkthrough by 12/31/2026.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Developmental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 — not on this form; enter under "Add/Change Goal Weighting" after all four goals are saved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2026-10-09T19:17:39.697Z</dcterms:created>
  <dcterms:modified xsi:type="dcterms:W3CDTF">2026-10-09T19:17:39.698Z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