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6BCB40" w14:textId="77777777" w:rsidR="00883E16" w:rsidRDefault="00062B78">
      <w:pPr>
        <w:pStyle w:val="Title"/>
      </w:pPr>
      <w:bookmarkStart w:id="0" w:name="_odxv54niwmp2" w:colFirst="0" w:colLast="0"/>
      <w:bookmarkEnd w:id="0"/>
      <w:r>
        <w:t>Contoso Unified Customer Intelligence &amp; Automation Platform Enterprise Design</w:t>
      </w:r>
    </w:p>
    <w:p w14:paraId="2E612CCB" w14:textId="77777777" w:rsidR="00883E16" w:rsidRDefault="00062B78">
      <w:pPr>
        <w:pStyle w:val="Heading1"/>
      </w:pPr>
      <w:bookmarkStart w:id="1" w:name="_5zid6oy1wv2x" w:colFirst="0" w:colLast="0"/>
      <w:bookmarkEnd w:id="1"/>
      <w:r>
        <w:t>1. Problem Framing &amp; Objectives</w:t>
      </w:r>
    </w:p>
    <w:p w14:paraId="610039B7" w14:textId="77777777" w:rsidR="00883E16" w:rsidRDefault="00062B78">
      <w:pPr>
        <w:pStyle w:val="Heading2"/>
      </w:pPr>
      <w:bookmarkStart w:id="2" w:name="_mhjfub3km9cs" w:colFirst="0" w:colLast="0"/>
      <w:bookmarkEnd w:id="2"/>
      <w:r>
        <w:t>Business Context</w:t>
      </w:r>
    </w:p>
    <w:p w14:paraId="60B316BE" w14:textId="77777777" w:rsidR="00883E16" w:rsidRDefault="00062B78">
      <w:r>
        <w:t>Contoso currently operates a multi-region Dynamics 365 Customer Service platform. However, the existing setup faces several challenges that hinder operational efficiency and data-driven decision-making.</w:t>
      </w:r>
    </w:p>
    <w:p w14:paraId="517C5B20" w14:textId="77777777" w:rsidR="00883E16" w:rsidRDefault="00883E1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C0CE3E" w14:textId="77777777" w:rsidR="00883E16" w:rsidRDefault="00062B78">
      <w:r>
        <w:rPr>
          <w:b/>
          <w:bCs/>
        </w:rPr>
        <w:t>Current Challenges:</w:t>
      </w:r>
    </w:p>
    <w:p w14:paraId="41B4DE6A" w14:textId="77777777" w:rsidR="00883E16" w:rsidRDefault="00883E1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C563B2" w14:textId="77777777" w:rsidR="00883E16" w:rsidRDefault="00062B78">
      <w:pPr>
        <w:numPr>
          <w:ilvl w:val="0"/>
          <w:numId w:val="11"/>
        </w:numPr>
      </w:pPr>
      <w:r>
        <w:t>Fragmented reporting across reg</w:t>
      </w:r>
      <w:r>
        <w:t>ions and systems.</w:t>
      </w:r>
    </w:p>
    <w:p w14:paraId="798E7FAC" w14:textId="77777777" w:rsidR="00883E16" w:rsidRDefault="00062B78">
      <w:pPr>
        <w:numPr>
          <w:ilvl w:val="0"/>
          <w:numId w:val="11"/>
        </w:numPr>
      </w:pPr>
      <w:r>
        <w:t>Inconsistent Key Performance Indicators (KPIs) and definitions.</w:t>
      </w:r>
    </w:p>
    <w:p w14:paraId="6AC4EBC8" w14:textId="77777777" w:rsidR="00883E16" w:rsidRDefault="00062B78">
      <w:pPr>
        <w:numPr>
          <w:ilvl w:val="0"/>
          <w:numId w:val="11"/>
        </w:numPr>
      </w:pPr>
      <w:r>
        <w:t>Manual Service Level Agreement (SLA) escalations.</w:t>
      </w:r>
    </w:p>
    <w:p w14:paraId="1F965311" w14:textId="77777777" w:rsidR="00883E16" w:rsidRDefault="00062B78">
      <w:pPr>
        <w:numPr>
          <w:ilvl w:val="0"/>
          <w:numId w:val="11"/>
        </w:numPr>
      </w:pPr>
      <w:r>
        <w:t>Misuse of expensive CRM storage for attachments.</w:t>
      </w:r>
    </w:p>
    <w:p w14:paraId="64FD6CF2" w14:textId="77777777" w:rsidR="00883E16" w:rsidRDefault="00062B78">
      <w:pPr>
        <w:numPr>
          <w:ilvl w:val="0"/>
          <w:numId w:val="11"/>
        </w:numPr>
      </w:pPr>
      <w:r>
        <w:t>Weak observability and monitoring of workflows.</w:t>
      </w:r>
    </w:p>
    <w:p w14:paraId="69495B79" w14:textId="77777777" w:rsidR="00883E16" w:rsidRDefault="00062B78">
      <w:pPr>
        <w:numPr>
          <w:ilvl w:val="0"/>
          <w:numId w:val="11"/>
        </w:numPr>
      </w:pPr>
      <w:r>
        <w:t>Security gaps in external i</w:t>
      </w:r>
      <w:r>
        <w:t>ntegrations.</w:t>
      </w:r>
    </w:p>
    <w:p w14:paraId="3E472FD0" w14:textId="77777777" w:rsidR="00883E16" w:rsidRDefault="00062B78">
      <w:pPr>
        <w:pStyle w:val="Heading2"/>
      </w:pPr>
      <w:bookmarkStart w:id="3" w:name="_jvrh5hgb9lik" w:colFirst="0" w:colLast="0"/>
      <w:bookmarkEnd w:id="3"/>
      <w:r>
        <w:t>Constraints</w:t>
      </w:r>
    </w:p>
    <w:p w14:paraId="4C0205E5" w14:textId="77777777" w:rsidR="00883E16" w:rsidRDefault="00062B78">
      <w:pPr>
        <w:numPr>
          <w:ilvl w:val="0"/>
          <w:numId w:val="11"/>
        </w:numPr>
      </w:pPr>
      <w:r>
        <w:t>CRM production performance must not degrade.</w:t>
      </w:r>
    </w:p>
    <w:p w14:paraId="04A8F90A" w14:textId="77777777" w:rsidR="00883E16" w:rsidRDefault="00062B78">
      <w:pPr>
        <w:numPr>
          <w:ilvl w:val="0"/>
          <w:numId w:val="11"/>
        </w:numPr>
      </w:pPr>
      <w:r>
        <w:t>Multi-region scalability is required for all components.</w:t>
      </w:r>
    </w:p>
    <w:p w14:paraId="616695C0" w14:textId="77777777" w:rsidR="00883E16" w:rsidRDefault="00062B78">
      <w:pPr>
        <w:numPr>
          <w:ilvl w:val="0"/>
          <w:numId w:val="11"/>
        </w:numPr>
      </w:pPr>
      <w:r>
        <w:t>Cost-sensitive licensing models must be respected.</w:t>
      </w:r>
    </w:p>
    <w:p w14:paraId="378BCB88" w14:textId="77777777" w:rsidR="00883E16" w:rsidRDefault="00062B78">
      <w:pPr>
        <w:numPr>
          <w:ilvl w:val="0"/>
          <w:numId w:val="11"/>
        </w:numPr>
      </w:pPr>
      <w:r>
        <w:t>Secure partner access to limited data/functionality is needed.</w:t>
      </w:r>
    </w:p>
    <w:p w14:paraId="090BDFA6" w14:textId="77777777" w:rsidR="00883E16" w:rsidRDefault="00062B78">
      <w:pPr>
        <w:pStyle w:val="Heading2"/>
      </w:pPr>
      <w:bookmarkStart w:id="4" w:name="_wewd8idw2gp" w:colFirst="0" w:colLast="0"/>
      <w:bookmarkEnd w:id="4"/>
      <w:r>
        <w:t>Objectives</w:t>
      </w:r>
    </w:p>
    <w:p w14:paraId="278FA279" w14:textId="77777777" w:rsidR="00883E16" w:rsidRDefault="00062B78">
      <w:r>
        <w:t xml:space="preserve">The </w:t>
      </w:r>
      <w:r>
        <w:t>platform design aims to achieve the following:</w:t>
      </w:r>
    </w:p>
    <w:p w14:paraId="4C58B427" w14:textId="77777777" w:rsidR="00883E16" w:rsidRDefault="00883E1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041EDA" w14:textId="77777777" w:rsidR="00883E16" w:rsidRDefault="00062B78">
      <w:pPr>
        <w:numPr>
          <w:ilvl w:val="0"/>
          <w:numId w:val="3"/>
        </w:numPr>
      </w:pPr>
      <w:r>
        <w:t>Establish a Governed Reporting Architecture.</w:t>
      </w:r>
    </w:p>
    <w:p w14:paraId="73204D23" w14:textId="77777777" w:rsidR="00883E16" w:rsidRDefault="00062B78">
      <w:pPr>
        <w:numPr>
          <w:ilvl w:val="0"/>
          <w:numId w:val="3"/>
        </w:numPr>
      </w:pPr>
      <w:r>
        <w:t>Define a Standardized KPI Framework.</w:t>
      </w:r>
    </w:p>
    <w:p w14:paraId="393C1D8C" w14:textId="77777777" w:rsidR="00883E16" w:rsidRDefault="00062B78">
      <w:pPr>
        <w:numPr>
          <w:ilvl w:val="0"/>
          <w:numId w:val="3"/>
        </w:numPr>
      </w:pPr>
      <w:r>
        <w:t>Implement Automated SLA Escalation.</w:t>
      </w:r>
    </w:p>
    <w:p w14:paraId="52464891" w14:textId="77777777" w:rsidR="00883E16" w:rsidRDefault="00062B78">
      <w:pPr>
        <w:numPr>
          <w:ilvl w:val="0"/>
          <w:numId w:val="3"/>
        </w:numPr>
      </w:pPr>
      <w:r>
        <w:t>Design a Secure Identity Model for internal and external users.</w:t>
      </w:r>
    </w:p>
    <w:p w14:paraId="6D5AD22B" w14:textId="77777777" w:rsidR="00883E16" w:rsidRDefault="00062B78">
      <w:pPr>
        <w:numPr>
          <w:ilvl w:val="0"/>
          <w:numId w:val="3"/>
        </w:numPr>
      </w:pPr>
      <w:r>
        <w:t>Implement Centralized Storage and Monitoring.</w:t>
      </w:r>
    </w:p>
    <w:p w14:paraId="503DA040" w14:textId="77777777" w:rsidR="00883E16" w:rsidRDefault="00062B78">
      <w:pPr>
        <w:numPr>
          <w:ilvl w:val="0"/>
          <w:numId w:val="3"/>
        </w:numPr>
      </w:pPr>
      <w:r>
        <w:lastRenderedPageBreak/>
        <w:t>Enable Data-Driven Service Optimization.</w:t>
      </w:r>
    </w:p>
    <w:p w14:paraId="67398EFD" w14:textId="77777777" w:rsidR="00883E16" w:rsidRDefault="00062B78">
      <w:pPr>
        <w:pStyle w:val="Heading1"/>
      </w:pPr>
      <w:bookmarkStart w:id="5" w:name="_b6guddjum8mq" w:colFirst="0" w:colLast="0"/>
      <w:bookmarkEnd w:id="5"/>
      <w:r>
        <w:t>2. Enterprise Reporting Architecture – SSRS</w:t>
      </w:r>
    </w:p>
    <w:p w14:paraId="262F74A6" w14:textId="77777777" w:rsidR="00883E16" w:rsidRDefault="00062B78">
      <w:r>
        <w:t>Operational reporting for daily decision-making will be handl</w:t>
      </w:r>
      <w:r>
        <w:t>ed by SQL Server Reporting Services (SSRS) to ensure minimal impact on the production CRM environment.</w:t>
      </w:r>
    </w:p>
    <w:p w14:paraId="059ADDFF" w14:textId="77777777" w:rsidR="00883E16" w:rsidRDefault="00062B78">
      <w:pPr>
        <w:pStyle w:val="Heading2"/>
      </w:pPr>
      <w:bookmarkStart w:id="6" w:name="_3h2v2da3y4of" w:colFirst="0" w:colLast="0"/>
      <w:bookmarkEnd w:id="6"/>
      <w:r>
        <w:t>Architecture</w:t>
      </w:r>
    </w:p>
    <w:p w14:paraId="21434360" w14:textId="77777777" w:rsidR="00883E16" w:rsidRDefault="00062B78">
      <w:r>
        <w:t>The architecture for operational reporting is as follows:</w:t>
      </w:r>
    </w:p>
    <w:p w14:paraId="2C7C7525" w14:textId="77777777" w:rsidR="00883E16" w:rsidRDefault="00883E1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A6D9EB" w14:textId="77777777" w:rsidR="00883E16" w:rsidRDefault="00062B78">
      <w:r>
        <w:t>Dynamics 365 Production Database $\</w:t>
      </w:r>
      <w:proofErr w:type="spellStart"/>
      <w:r>
        <w:t>rightarrow</w:t>
      </w:r>
      <w:proofErr w:type="spellEnd"/>
      <w:r>
        <w:t>$ Azure SQL Read Replica $\</w:t>
      </w:r>
      <w:proofErr w:type="spellStart"/>
      <w:r>
        <w:t>rightarro</w:t>
      </w:r>
      <w:r>
        <w:t>w</w:t>
      </w:r>
      <w:proofErr w:type="spellEnd"/>
      <w:r>
        <w:t>$ SSRS</w:t>
      </w:r>
    </w:p>
    <w:p w14:paraId="4502DF2B" w14:textId="77777777" w:rsidR="00883E16" w:rsidRDefault="00883E1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384373" w14:textId="77777777" w:rsidR="00883E16" w:rsidRDefault="00062B78">
      <w:r>
        <w:t>Operational reports will query the dedicated Azure SQL Read Replica to avoid contention and degradation of the Dynamics 365 production instance performance.</w:t>
      </w:r>
    </w:p>
    <w:p w14:paraId="7B80498C" w14:textId="77777777" w:rsidR="00883E16" w:rsidRDefault="00062B78">
      <w:pPr>
        <w:pStyle w:val="Heading2"/>
      </w:pPr>
      <w:bookmarkStart w:id="7" w:name="_3aieu22jlrxi" w:colFirst="0" w:colLast="0"/>
      <w:bookmarkEnd w:id="7"/>
      <w:r>
        <w:t>Report Design</w:t>
      </w:r>
    </w:p>
    <w:tbl>
      <w:tblPr>
        <w:tblStyle w:val="a"/>
        <w:tblW w:w="10000" w:type="dxa"/>
        <w:tblInd w:w="0" w:type="dxa"/>
        <w:tblBorders>
          <w:top w:val="single" w:sz="8" w:space="0" w:color="747775"/>
          <w:left w:val="nil"/>
          <w:bottom w:val="single" w:sz="8" w:space="0" w:color="747775"/>
          <w:right w:val="nil"/>
          <w:insideH w:val="single" w:sz="8" w:space="0" w:color="747775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5000"/>
        <w:gridCol w:w="5000"/>
      </w:tblGrid>
      <w:tr w:rsidR="00883E16" w14:paraId="7B47EB88" w14:textId="77777777" w:rsidTr="00883E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8"/>
          <w:tblHeader/>
        </w:trPr>
        <w:tc>
          <w:tcPr>
            <w:tcW w:w="5000" w:type="dxa"/>
          </w:tcPr>
          <w:p w14:paraId="03927799" w14:textId="77777777" w:rsidR="00883E16" w:rsidRDefault="00062B78">
            <w:r>
              <w:t>Report Detail</w:t>
            </w:r>
          </w:p>
        </w:tc>
        <w:tc>
          <w:tcPr>
            <w:tcW w:w="5000" w:type="dxa"/>
          </w:tcPr>
          <w:p w14:paraId="2502E640" w14:textId="77777777" w:rsidR="00883E16" w:rsidRDefault="00062B78">
            <w:r>
              <w:t>Value</w:t>
            </w:r>
          </w:p>
        </w:tc>
      </w:tr>
      <w:tr w:rsidR="00883E16" w14:paraId="750949FF" w14:textId="77777777" w:rsidTr="00883E16">
        <w:trPr>
          <w:trHeight w:val="564"/>
        </w:trPr>
        <w:tc>
          <w:tcPr>
            <w:tcW w:w="5000" w:type="dxa"/>
          </w:tcPr>
          <w:p w14:paraId="1123A8C9" w14:textId="77777777" w:rsidR="00883E16" w:rsidRDefault="00062B78">
            <w:r>
              <w:t>Report Title</w:t>
            </w:r>
          </w:p>
        </w:tc>
        <w:tc>
          <w:tcPr>
            <w:tcW w:w="5000" w:type="dxa"/>
          </w:tcPr>
          <w:p w14:paraId="200EDB8C" w14:textId="77777777" w:rsidR="00883E16" w:rsidRDefault="00062B78">
            <w:r>
              <w:t>Regional SLA Performance</w:t>
            </w:r>
          </w:p>
        </w:tc>
      </w:tr>
      <w:tr w:rsidR="00883E16" w14:paraId="1A8C706C" w14:textId="77777777" w:rsidTr="00883E16">
        <w:trPr>
          <w:trHeight w:val="564"/>
        </w:trPr>
        <w:tc>
          <w:tcPr>
            <w:tcW w:w="5000" w:type="dxa"/>
          </w:tcPr>
          <w:p w14:paraId="0068A810" w14:textId="77777777" w:rsidR="00883E16" w:rsidRDefault="00062B78">
            <w:r>
              <w:t>Parameters</w:t>
            </w:r>
          </w:p>
        </w:tc>
        <w:tc>
          <w:tcPr>
            <w:tcW w:w="5000" w:type="dxa"/>
          </w:tcPr>
          <w:p w14:paraId="4A041AFE" w14:textId="77777777" w:rsidR="00883E16" w:rsidRDefault="00062B78">
            <w:r>
              <w:t>Region, Priority, SLA Status, Date Range</w:t>
            </w:r>
          </w:p>
        </w:tc>
      </w:tr>
      <w:tr w:rsidR="00883E16" w14:paraId="7D61021F" w14:textId="77777777" w:rsidTr="00883E16">
        <w:trPr>
          <w:trHeight w:val="564"/>
        </w:trPr>
        <w:tc>
          <w:tcPr>
            <w:tcW w:w="5000" w:type="dxa"/>
          </w:tcPr>
          <w:p w14:paraId="18C1A18C" w14:textId="77777777" w:rsidR="00883E16" w:rsidRDefault="00062B78">
            <w:r>
              <w:t>Key Features</w:t>
            </w:r>
          </w:p>
        </w:tc>
        <w:tc>
          <w:tcPr>
            <w:tcW w:w="5000" w:type="dxa"/>
          </w:tcPr>
          <w:p w14:paraId="575F482E" w14:textId="77777777" w:rsidR="00883E16" w:rsidRDefault="00062B78">
            <w:r>
              <w:t>Drill-through to case details, reusable datasets for consistency</w:t>
            </w:r>
          </w:p>
        </w:tc>
      </w:tr>
    </w:tbl>
    <w:p w14:paraId="0D9B514E" w14:textId="77777777" w:rsidR="00883E16" w:rsidRDefault="00062B78">
      <w:pPr>
        <w:pStyle w:val="Heading2"/>
      </w:pPr>
      <w:bookmarkStart w:id="8" w:name="_3szxjfz4lyz1" w:colFirst="0" w:colLast="0"/>
      <w:bookmarkEnd w:id="8"/>
      <w:r>
        <w:t>Performance Strategy</w:t>
      </w:r>
    </w:p>
    <w:p w14:paraId="1A8AE27F" w14:textId="77777777" w:rsidR="00883E16" w:rsidRDefault="00062B78">
      <w:r>
        <w:t>To ensure reports load quickly and efficiently:</w:t>
      </w:r>
    </w:p>
    <w:p w14:paraId="5D1FEEB6" w14:textId="77777777" w:rsidR="00883E16" w:rsidRDefault="00883E1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15AE62" w14:textId="77777777" w:rsidR="00883E16" w:rsidRDefault="00062B78">
      <w:pPr>
        <w:numPr>
          <w:ilvl w:val="0"/>
          <w:numId w:val="10"/>
        </w:numPr>
      </w:pPr>
      <w:r>
        <w:t>Use Stored Procedures for optimized query execution.</w:t>
      </w:r>
    </w:p>
    <w:p w14:paraId="33CFBF84" w14:textId="77777777" w:rsidR="00883E16" w:rsidRDefault="00062B78">
      <w:pPr>
        <w:numPr>
          <w:ilvl w:val="0"/>
          <w:numId w:val="10"/>
        </w:numPr>
      </w:pPr>
      <w:r>
        <w:t xml:space="preserve">Index critical columns: </w:t>
      </w:r>
      <w:proofErr w:type="spellStart"/>
      <w:r>
        <w:rPr>
          <w:rFonts w:ascii="Roboto Mono" w:eastAsia="Roboto Mono" w:hAnsi="Roboto Mono" w:cs="Roboto Mono"/>
          <w:color w:val="188038"/>
        </w:rPr>
        <w:t>RegionId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CreatedOn</w:t>
      </w:r>
      <w:proofErr w:type="spellEnd"/>
      <w:r>
        <w:t xml:space="preserve">, </w:t>
      </w:r>
      <w:r>
        <w:rPr>
          <w:rFonts w:ascii="Roboto Mono" w:eastAsia="Roboto Mono" w:hAnsi="Roboto Mono" w:cs="Roboto Mono"/>
          <w:color w:val="188038"/>
        </w:rPr>
        <w:t>Priority</w:t>
      </w:r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SLAStatus</w:t>
      </w:r>
      <w:proofErr w:type="spellEnd"/>
      <w:r>
        <w:t>.</w:t>
      </w:r>
    </w:p>
    <w:p w14:paraId="43F30398" w14:textId="77777777" w:rsidR="00883E16" w:rsidRDefault="00062B78">
      <w:pPr>
        <w:numPr>
          <w:ilvl w:val="0"/>
          <w:numId w:val="10"/>
        </w:numPr>
      </w:pPr>
      <w:r>
        <w:t xml:space="preserve">Apply Filtered </w:t>
      </w:r>
      <w:r>
        <w:rPr>
          <w:rFonts w:ascii="Roboto Mono" w:eastAsia="Roboto Mono" w:hAnsi="Roboto Mono" w:cs="Roboto Mono"/>
          <w:color w:val="188038"/>
        </w:rPr>
        <w:t>WHERE</w:t>
      </w:r>
      <w:r>
        <w:t xml:space="preserve"> clauses before large joins.</w:t>
      </w:r>
    </w:p>
    <w:p w14:paraId="5CDDB37C" w14:textId="77777777" w:rsidR="00883E16" w:rsidRDefault="00062B78">
      <w:pPr>
        <w:numPr>
          <w:ilvl w:val="0"/>
          <w:numId w:val="10"/>
        </w:numPr>
      </w:pPr>
      <w:r>
        <w:t xml:space="preserve">Avoid using </w:t>
      </w:r>
      <w:r>
        <w:rPr>
          <w:rFonts w:ascii="Roboto Mono" w:eastAsia="Roboto Mono" w:hAnsi="Roboto Mono" w:cs="Roboto Mono"/>
          <w:color w:val="188038"/>
        </w:rPr>
        <w:t>SELECT *</w:t>
      </w:r>
      <w:r>
        <w:t>.</w:t>
      </w:r>
    </w:p>
    <w:p w14:paraId="403B9103" w14:textId="69638D84" w:rsidR="00883E16" w:rsidRDefault="00062B78">
      <w:pPr>
        <w:numPr>
          <w:ilvl w:val="0"/>
          <w:numId w:val="10"/>
        </w:numPr>
      </w:pPr>
      <w:r>
        <w:t>Implement Parameter Dependency (e.g., Region filter will automatically limit the available Agents list).</w:t>
      </w:r>
    </w:p>
    <w:p w14:paraId="2B38EF79" w14:textId="4247CBB9" w:rsidR="00AE3B72" w:rsidRDefault="00AE3B72" w:rsidP="00AE3B72"/>
    <w:p w14:paraId="575F5F15" w14:textId="3DD73246" w:rsidR="00AE3B72" w:rsidRDefault="00AE3B72" w:rsidP="00AE3B72">
      <w:r>
        <w:rPr>
          <w:noProof/>
        </w:rPr>
        <w:drawing>
          <wp:inline distT="0" distB="0" distL="0" distR="0" wp14:anchorId="37FB8C2A" wp14:editId="19ABC793">
            <wp:extent cx="5943600" cy="31108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6E852" w14:textId="77777777" w:rsidR="00883E16" w:rsidRDefault="00062B78">
      <w:pPr>
        <w:pStyle w:val="Heading2"/>
      </w:pPr>
      <w:bookmarkStart w:id="9" w:name="_6t7gqrywq2gt" w:colFirst="0" w:colLast="0"/>
      <w:bookmarkEnd w:id="9"/>
      <w:r>
        <w:t>Why SSRS Over Power BI for Operational Reports</w:t>
      </w:r>
    </w:p>
    <w:tbl>
      <w:tblPr>
        <w:tblStyle w:val="a0"/>
        <w:tblW w:w="9297" w:type="dxa"/>
        <w:tblInd w:w="0" w:type="dxa"/>
        <w:tblBorders>
          <w:top w:val="single" w:sz="8" w:space="0" w:color="747775"/>
          <w:left w:val="nil"/>
          <w:bottom w:val="single" w:sz="8" w:space="0" w:color="747775"/>
          <w:right w:val="nil"/>
          <w:insideH w:val="single" w:sz="8" w:space="0" w:color="747775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3099"/>
        <w:gridCol w:w="3099"/>
        <w:gridCol w:w="3099"/>
      </w:tblGrid>
      <w:tr w:rsidR="00883E16" w14:paraId="22E52808" w14:textId="77777777" w:rsidTr="00AE3B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77"/>
          <w:tblHeader/>
        </w:trPr>
        <w:tc>
          <w:tcPr>
            <w:tcW w:w="3099" w:type="dxa"/>
          </w:tcPr>
          <w:p w14:paraId="7D7B6F85" w14:textId="77777777" w:rsidR="00883E16" w:rsidRDefault="00062B78">
            <w:r>
              <w:t>Criterion</w:t>
            </w:r>
          </w:p>
        </w:tc>
        <w:tc>
          <w:tcPr>
            <w:tcW w:w="3099" w:type="dxa"/>
          </w:tcPr>
          <w:p w14:paraId="03724A70" w14:textId="77777777" w:rsidR="00883E16" w:rsidRDefault="00062B78">
            <w:r>
              <w:t>SSRS</w:t>
            </w:r>
          </w:p>
        </w:tc>
        <w:tc>
          <w:tcPr>
            <w:tcW w:w="3099" w:type="dxa"/>
          </w:tcPr>
          <w:p w14:paraId="529E6DBF" w14:textId="77777777" w:rsidR="00883E16" w:rsidRDefault="00062B78">
            <w:r>
              <w:t>Power BI</w:t>
            </w:r>
          </w:p>
        </w:tc>
      </w:tr>
      <w:tr w:rsidR="00883E16" w14:paraId="24C25681" w14:textId="77777777" w:rsidTr="00AE3B72">
        <w:trPr>
          <w:trHeight w:val="539"/>
        </w:trPr>
        <w:tc>
          <w:tcPr>
            <w:tcW w:w="3099" w:type="dxa"/>
          </w:tcPr>
          <w:p w14:paraId="4C3D871C" w14:textId="77777777" w:rsidR="00883E16" w:rsidRDefault="00062B78">
            <w:r>
              <w:t>Formatting</w:t>
            </w:r>
          </w:p>
        </w:tc>
        <w:tc>
          <w:tcPr>
            <w:tcW w:w="3099" w:type="dxa"/>
          </w:tcPr>
          <w:p w14:paraId="6F750C98" w14:textId="77777777" w:rsidR="00883E16" w:rsidRDefault="00062B78">
            <w:r>
              <w:t>Pixel-perfect, fixed layout</w:t>
            </w:r>
          </w:p>
        </w:tc>
        <w:tc>
          <w:tcPr>
            <w:tcW w:w="3099" w:type="dxa"/>
          </w:tcPr>
          <w:p w14:paraId="787111BC" w14:textId="77777777" w:rsidR="00883E16" w:rsidRDefault="00062B78">
            <w:r>
              <w:t>Flexible, dynamic</w:t>
            </w:r>
          </w:p>
        </w:tc>
      </w:tr>
      <w:tr w:rsidR="00883E16" w14:paraId="3F2C89A4" w14:textId="77777777" w:rsidTr="00AE3B72">
        <w:trPr>
          <w:trHeight w:val="539"/>
        </w:trPr>
        <w:tc>
          <w:tcPr>
            <w:tcW w:w="3099" w:type="dxa"/>
          </w:tcPr>
          <w:p w14:paraId="4E7D5A6B" w14:textId="77777777" w:rsidR="00883E16" w:rsidRDefault="00062B78">
            <w:r>
              <w:t>Parameterization</w:t>
            </w:r>
          </w:p>
        </w:tc>
        <w:tc>
          <w:tcPr>
            <w:tcW w:w="3099" w:type="dxa"/>
          </w:tcPr>
          <w:p w14:paraId="3A02A69E" w14:textId="77777777" w:rsidR="00883E16" w:rsidRDefault="00062B78">
            <w:r>
              <w:t>Heavy and complex parametrization support</w:t>
            </w:r>
          </w:p>
        </w:tc>
        <w:tc>
          <w:tcPr>
            <w:tcW w:w="3099" w:type="dxa"/>
          </w:tcPr>
          <w:p w14:paraId="12BEDCE2" w14:textId="77777777" w:rsidR="00883E16" w:rsidRDefault="00062B78">
            <w:r>
              <w:t>Good, but more focused on slicing</w:t>
            </w:r>
          </w:p>
        </w:tc>
      </w:tr>
      <w:tr w:rsidR="00883E16" w14:paraId="21D4D2F0" w14:textId="77777777" w:rsidTr="00AE3B72">
        <w:trPr>
          <w:trHeight w:val="539"/>
        </w:trPr>
        <w:tc>
          <w:tcPr>
            <w:tcW w:w="3099" w:type="dxa"/>
          </w:tcPr>
          <w:p w14:paraId="2AA9339E" w14:textId="77777777" w:rsidR="00883E16" w:rsidRDefault="00062B78">
            <w:r>
              <w:t>Export</w:t>
            </w:r>
          </w:p>
        </w:tc>
        <w:tc>
          <w:tcPr>
            <w:tcW w:w="3099" w:type="dxa"/>
          </w:tcPr>
          <w:p w14:paraId="382E0279" w14:textId="77777777" w:rsidR="00883E16" w:rsidRDefault="00062B78">
            <w:r>
              <w:t>Print-ready exports (e.g., PDF)</w:t>
            </w:r>
          </w:p>
        </w:tc>
        <w:tc>
          <w:tcPr>
            <w:tcW w:w="3099" w:type="dxa"/>
          </w:tcPr>
          <w:p w14:paraId="5821C023" w14:textId="77777777" w:rsidR="00883E16" w:rsidRDefault="00062B78">
            <w:r>
              <w:t>Best for interactive web/mobile viewing</w:t>
            </w:r>
          </w:p>
        </w:tc>
      </w:tr>
      <w:tr w:rsidR="00883E16" w14:paraId="19E0E3B2" w14:textId="77777777" w:rsidTr="00AE3B72">
        <w:trPr>
          <w:trHeight w:val="539"/>
        </w:trPr>
        <w:tc>
          <w:tcPr>
            <w:tcW w:w="3099" w:type="dxa"/>
          </w:tcPr>
          <w:p w14:paraId="7CACFAF4" w14:textId="77777777" w:rsidR="00883E16" w:rsidRDefault="00062B78">
            <w:r>
              <w:t>Cost</w:t>
            </w:r>
          </w:p>
        </w:tc>
        <w:tc>
          <w:tcPr>
            <w:tcW w:w="3099" w:type="dxa"/>
          </w:tcPr>
          <w:p w14:paraId="13246492" w14:textId="77777777" w:rsidR="00883E16" w:rsidRDefault="00062B78">
            <w:r>
              <w:t>Lower cost for large numbers of operational users</w:t>
            </w:r>
          </w:p>
        </w:tc>
        <w:tc>
          <w:tcPr>
            <w:tcW w:w="3099" w:type="dxa"/>
          </w:tcPr>
          <w:p w14:paraId="7632E750" w14:textId="77777777" w:rsidR="00883E16" w:rsidRDefault="00062B78">
            <w:r>
              <w:t xml:space="preserve">Pro license often required </w:t>
            </w:r>
            <w:r>
              <w:t>for sharing</w:t>
            </w:r>
          </w:p>
        </w:tc>
      </w:tr>
      <w:tr w:rsidR="00883E16" w14:paraId="3B2A991C" w14:textId="77777777" w:rsidTr="00AE3B72">
        <w:trPr>
          <w:trHeight w:val="539"/>
        </w:trPr>
        <w:tc>
          <w:tcPr>
            <w:tcW w:w="3099" w:type="dxa"/>
          </w:tcPr>
          <w:p w14:paraId="638BF269" w14:textId="77777777" w:rsidR="00883E16" w:rsidRDefault="00062B78">
            <w:r>
              <w:t>Delivery</w:t>
            </w:r>
          </w:p>
        </w:tc>
        <w:tc>
          <w:tcPr>
            <w:tcW w:w="3099" w:type="dxa"/>
          </w:tcPr>
          <w:p w14:paraId="0ADFA2AE" w14:textId="77777777" w:rsidR="00883E16" w:rsidRDefault="00062B78">
            <w:r>
              <w:t>Subscription scheduling (email reports)</w:t>
            </w:r>
          </w:p>
        </w:tc>
        <w:tc>
          <w:tcPr>
            <w:tcW w:w="3099" w:type="dxa"/>
          </w:tcPr>
          <w:p w14:paraId="40709C57" w14:textId="77777777" w:rsidR="00883E16" w:rsidRDefault="00062B78">
            <w:r>
              <w:t>Primarily on-demand access</w:t>
            </w:r>
          </w:p>
        </w:tc>
      </w:tr>
      <w:tr w:rsidR="00AE3B72" w14:paraId="6B02BC06" w14:textId="77777777" w:rsidTr="00AE3B72">
        <w:trPr>
          <w:trHeight w:val="539"/>
        </w:trPr>
        <w:tc>
          <w:tcPr>
            <w:tcW w:w="3099" w:type="dxa"/>
          </w:tcPr>
          <w:p w14:paraId="0930C477" w14:textId="77777777" w:rsidR="00AE3B72" w:rsidRDefault="00AE3B72"/>
        </w:tc>
        <w:tc>
          <w:tcPr>
            <w:tcW w:w="3099" w:type="dxa"/>
          </w:tcPr>
          <w:p w14:paraId="2EEDC7A6" w14:textId="77777777" w:rsidR="00AE3B72" w:rsidRDefault="00AE3B72"/>
        </w:tc>
        <w:tc>
          <w:tcPr>
            <w:tcW w:w="3099" w:type="dxa"/>
          </w:tcPr>
          <w:p w14:paraId="7310EA8B" w14:textId="77777777" w:rsidR="00AE3B72" w:rsidRDefault="00AE3B72"/>
        </w:tc>
      </w:tr>
    </w:tbl>
    <w:p w14:paraId="2F71A794" w14:textId="3636A4F8" w:rsidR="00AE3B72" w:rsidRPr="00AE3B72" w:rsidRDefault="00062B78" w:rsidP="00AE3B72">
      <w:pPr>
        <w:pStyle w:val="Heading1"/>
      </w:pPr>
      <w:bookmarkStart w:id="10" w:name="_nfz67imswp1z" w:colFirst="0" w:colLast="0"/>
      <w:bookmarkEnd w:id="10"/>
      <w:r>
        <w:t>3. Executive Analytics &amp; KPI Governance – Power BI</w:t>
      </w:r>
    </w:p>
    <w:p w14:paraId="07AFB348" w14:textId="77777777" w:rsidR="00883E16" w:rsidRDefault="00062B78">
      <w:r>
        <w:t>P</w:t>
      </w:r>
      <w:r>
        <w:t>ower BI will be the platform for executive dashboards, advanced analytics, and centralized KPI governance.</w:t>
      </w:r>
    </w:p>
    <w:p w14:paraId="7A7D8321" w14:textId="77777777" w:rsidR="00883E16" w:rsidRDefault="00062B78">
      <w:pPr>
        <w:pStyle w:val="Heading2"/>
      </w:pPr>
      <w:bookmarkStart w:id="11" w:name="_7kxdhbxpfgt" w:colFirst="0" w:colLast="0"/>
      <w:bookmarkEnd w:id="11"/>
      <w:r>
        <w:t>KPI Gov</w:t>
      </w:r>
      <w:r>
        <w:t>ernance</w:t>
      </w:r>
    </w:p>
    <w:p w14:paraId="3C1C8F1C" w14:textId="77777777" w:rsidR="00883E16" w:rsidRDefault="00062B78">
      <w:r>
        <w:t>A centralized KPI definition sheet will be maintained, documenting:</w:t>
      </w:r>
    </w:p>
    <w:p w14:paraId="2EAB0468" w14:textId="77777777" w:rsidR="00883E16" w:rsidRDefault="00883E1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D4DE73" w14:textId="77777777" w:rsidR="00883E16" w:rsidRDefault="00062B78">
      <w:pPr>
        <w:numPr>
          <w:ilvl w:val="0"/>
          <w:numId w:val="5"/>
        </w:numPr>
      </w:pPr>
      <w:r>
        <w:t>KPI Logic/Formula</w:t>
      </w:r>
    </w:p>
    <w:p w14:paraId="0E66C55C" w14:textId="77777777" w:rsidR="00883E16" w:rsidRDefault="00062B78">
      <w:pPr>
        <w:numPr>
          <w:ilvl w:val="0"/>
          <w:numId w:val="5"/>
        </w:numPr>
      </w:pPr>
      <w:r>
        <w:t>Data Owner</w:t>
      </w:r>
    </w:p>
    <w:p w14:paraId="17AE1D56" w14:textId="77777777" w:rsidR="00883E16" w:rsidRDefault="00062B78">
      <w:pPr>
        <w:numPr>
          <w:ilvl w:val="0"/>
          <w:numId w:val="5"/>
        </w:numPr>
      </w:pPr>
      <w:r>
        <w:t>Source System</w:t>
      </w:r>
    </w:p>
    <w:p w14:paraId="0DA82797" w14:textId="77777777" w:rsidR="00883E16" w:rsidRDefault="00062B78">
      <w:pPr>
        <w:numPr>
          <w:ilvl w:val="0"/>
          <w:numId w:val="5"/>
        </w:numPr>
      </w:pPr>
      <w:r>
        <w:t>Refresh Frequency</w:t>
      </w:r>
    </w:p>
    <w:p w14:paraId="070379F1" w14:textId="77777777" w:rsidR="00883E16" w:rsidRDefault="00883E1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69BADD" w14:textId="77777777" w:rsidR="00883E16" w:rsidRDefault="00062B78">
      <w:r>
        <w:rPr>
          <w:b/>
          <w:bCs/>
        </w:rPr>
        <w:t>Example KPI:</w:t>
      </w:r>
    </w:p>
    <w:p w14:paraId="12327F7D" w14:textId="77777777" w:rsidR="00883E16" w:rsidRDefault="00883E1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5191A9" w14:textId="77777777" w:rsidR="00883E16" w:rsidRDefault="00062B78">
      <w:r>
        <w:t>SLA Breach % = (Resolved cases exceeding SLA) / (Total resolved cases)</w:t>
      </w:r>
    </w:p>
    <w:p w14:paraId="724DE386" w14:textId="77777777" w:rsidR="00883E16" w:rsidRDefault="00062B78">
      <w:pPr>
        <w:pStyle w:val="Heading2"/>
      </w:pPr>
      <w:bookmarkStart w:id="12" w:name="_anfp3zwg4duo" w:colFirst="0" w:colLast="0"/>
      <w:bookmarkEnd w:id="12"/>
      <w:r>
        <w:t>Dashboard Components</w:t>
      </w:r>
    </w:p>
    <w:tbl>
      <w:tblPr>
        <w:tblStyle w:val="a1"/>
        <w:tblW w:w="10000" w:type="dxa"/>
        <w:tblInd w:w="0" w:type="dxa"/>
        <w:tblBorders>
          <w:top w:val="single" w:sz="8" w:space="0" w:color="747775"/>
          <w:left w:val="nil"/>
          <w:bottom w:val="single" w:sz="8" w:space="0" w:color="747775"/>
          <w:right w:val="nil"/>
          <w:insideH w:val="single" w:sz="8" w:space="0" w:color="747775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5000"/>
        <w:gridCol w:w="5000"/>
      </w:tblGrid>
      <w:tr w:rsidR="00883E16" w14:paraId="2CA1F7A8" w14:textId="77777777" w:rsidTr="00883E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8"/>
          <w:tblHeader/>
        </w:trPr>
        <w:tc>
          <w:tcPr>
            <w:tcW w:w="5000" w:type="dxa"/>
          </w:tcPr>
          <w:p w14:paraId="311E716F" w14:textId="77777777" w:rsidR="00883E16" w:rsidRDefault="00062B78">
            <w:r>
              <w:t>Component</w:t>
            </w:r>
          </w:p>
        </w:tc>
        <w:tc>
          <w:tcPr>
            <w:tcW w:w="5000" w:type="dxa"/>
          </w:tcPr>
          <w:p w14:paraId="77F27C92" w14:textId="77777777" w:rsidR="00883E16" w:rsidRDefault="00062B78">
            <w:r>
              <w:t>Description</w:t>
            </w:r>
          </w:p>
        </w:tc>
      </w:tr>
      <w:tr w:rsidR="00883E16" w14:paraId="4FC5ADC7" w14:textId="77777777" w:rsidTr="00883E16">
        <w:trPr>
          <w:trHeight w:val="564"/>
        </w:trPr>
        <w:tc>
          <w:tcPr>
            <w:tcW w:w="5000" w:type="dxa"/>
          </w:tcPr>
          <w:p w14:paraId="5CA6C35E" w14:textId="77777777" w:rsidR="00883E16" w:rsidRDefault="00062B78">
            <w:r>
              <w:t>Case Volume Trend</w:t>
            </w:r>
          </w:p>
        </w:tc>
        <w:tc>
          <w:tcPr>
            <w:tcW w:w="5000" w:type="dxa"/>
          </w:tcPr>
          <w:p w14:paraId="04A1D71A" w14:textId="77777777" w:rsidR="00883E16" w:rsidRDefault="00062B78">
            <w:r>
              <w:t>Weekly/Monthly volume of incoming cases</w:t>
            </w:r>
          </w:p>
        </w:tc>
      </w:tr>
      <w:tr w:rsidR="00883E16" w14:paraId="26AC6EA9" w14:textId="77777777" w:rsidTr="00883E16">
        <w:trPr>
          <w:trHeight w:val="564"/>
        </w:trPr>
        <w:tc>
          <w:tcPr>
            <w:tcW w:w="5000" w:type="dxa"/>
          </w:tcPr>
          <w:p w14:paraId="6DA88102" w14:textId="77777777" w:rsidR="00883E16" w:rsidRDefault="00062B78">
            <w:r>
              <w:t>SLA Breach Trend</w:t>
            </w:r>
          </w:p>
        </w:tc>
        <w:tc>
          <w:tcPr>
            <w:tcW w:w="5000" w:type="dxa"/>
          </w:tcPr>
          <w:p w14:paraId="746A2222" w14:textId="77777777" w:rsidR="00883E16" w:rsidRDefault="00062B78">
            <w:r>
              <w:t>Tracking the percentage of breaches over time</w:t>
            </w:r>
          </w:p>
        </w:tc>
      </w:tr>
      <w:tr w:rsidR="00883E16" w14:paraId="26DA87B9" w14:textId="77777777" w:rsidTr="00883E16">
        <w:trPr>
          <w:trHeight w:val="564"/>
        </w:trPr>
        <w:tc>
          <w:tcPr>
            <w:tcW w:w="5000" w:type="dxa"/>
          </w:tcPr>
          <w:p w14:paraId="401E0A0F" w14:textId="77777777" w:rsidR="00883E16" w:rsidRDefault="00062B78">
            <w:r>
              <w:t>Average Resolution Time</w:t>
            </w:r>
          </w:p>
        </w:tc>
        <w:tc>
          <w:tcPr>
            <w:tcW w:w="5000" w:type="dxa"/>
          </w:tcPr>
          <w:p w14:paraId="5B74B1EC" w14:textId="77777777" w:rsidR="00883E16" w:rsidRDefault="00062B78">
            <w:r>
              <w:t>Mean time from case creation to resolution</w:t>
            </w:r>
          </w:p>
        </w:tc>
      </w:tr>
      <w:tr w:rsidR="00883E16" w14:paraId="03B2D2FE" w14:textId="77777777" w:rsidTr="00883E16">
        <w:trPr>
          <w:trHeight w:val="564"/>
        </w:trPr>
        <w:tc>
          <w:tcPr>
            <w:tcW w:w="5000" w:type="dxa"/>
          </w:tcPr>
          <w:p w14:paraId="289587A5" w14:textId="77777777" w:rsidR="00883E16" w:rsidRDefault="00062B78">
            <w:r>
              <w:t>Region Comparison</w:t>
            </w:r>
          </w:p>
        </w:tc>
        <w:tc>
          <w:tcPr>
            <w:tcW w:w="5000" w:type="dxa"/>
          </w:tcPr>
          <w:p w14:paraId="0B818AB4" w14:textId="77777777" w:rsidR="00883E16" w:rsidRDefault="00062B78">
            <w:r>
              <w:t>Visual comparison of key metrics across regions</w:t>
            </w:r>
          </w:p>
        </w:tc>
      </w:tr>
      <w:tr w:rsidR="00883E16" w14:paraId="38A7F117" w14:textId="77777777" w:rsidTr="00883E16">
        <w:trPr>
          <w:trHeight w:val="564"/>
        </w:trPr>
        <w:tc>
          <w:tcPr>
            <w:tcW w:w="5000" w:type="dxa"/>
          </w:tcPr>
          <w:p w14:paraId="7E550534" w14:textId="77777777" w:rsidR="00883E16" w:rsidRDefault="00062B78">
            <w:r>
              <w:t>Priority vs Breach correlation</w:t>
            </w:r>
          </w:p>
        </w:tc>
        <w:tc>
          <w:tcPr>
            <w:tcW w:w="5000" w:type="dxa"/>
          </w:tcPr>
          <w:p w14:paraId="1EB59F2B" w14:textId="77777777" w:rsidR="00883E16" w:rsidRDefault="00062B78">
            <w:r>
              <w:t>Identifying high-risk case types</w:t>
            </w:r>
          </w:p>
        </w:tc>
      </w:tr>
    </w:tbl>
    <w:p w14:paraId="1DD8C93D" w14:textId="77777777" w:rsidR="00883E16" w:rsidRDefault="00062B78">
      <w:pPr>
        <w:pStyle w:val="Heading2"/>
      </w:pPr>
      <w:bookmarkStart w:id="13" w:name="_bfpxi5jltedn" w:colFirst="0" w:colLast="0"/>
      <w:bookmarkEnd w:id="13"/>
      <w:r>
        <w:t>Data Model</w:t>
      </w:r>
    </w:p>
    <w:p w14:paraId="20ACE062" w14:textId="77777777" w:rsidR="00883E16" w:rsidRDefault="00062B78">
      <w:r>
        <w:t>A Star Schema will be implemented:</w:t>
      </w:r>
    </w:p>
    <w:p w14:paraId="2328E46C" w14:textId="77777777" w:rsidR="00883E16" w:rsidRDefault="00883E1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CFCE62" w14:textId="77777777" w:rsidR="00883E16" w:rsidRDefault="00062B78">
      <w:r>
        <w:t xml:space="preserve">Fact Table: </w:t>
      </w:r>
      <w:proofErr w:type="spellStart"/>
      <w:r>
        <w:rPr>
          <w:rFonts w:ascii="Roboto Mono" w:eastAsia="Roboto Mono" w:hAnsi="Roboto Mono" w:cs="Roboto Mono"/>
          <w:color w:val="188038"/>
        </w:rPr>
        <w:t>FactCases</w:t>
      </w:r>
      <w:proofErr w:type="spellEnd"/>
      <w:r>
        <w:t xml:space="preserve"> (metrics like resolution time, breach status)</w:t>
      </w:r>
      <w:r>
        <w:br/>
        <w:t xml:space="preserve">Dimension Tables: </w:t>
      </w:r>
      <w:proofErr w:type="spellStart"/>
      <w:r>
        <w:rPr>
          <w:rFonts w:ascii="Roboto Mono" w:eastAsia="Roboto Mono" w:hAnsi="Roboto Mono" w:cs="Roboto Mono"/>
          <w:color w:val="188038"/>
        </w:rPr>
        <w:t>DimRegion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DimAgent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DimSLA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DimDate</w:t>
      </w:r>
      <w:proofErr w:type="spellEnd"/>
    </w:p>
    <w:p w14:paraId="292D8CEC" w14:textId="77777777" w:rsidR="00883E16" w:rsidRDefault="00883E1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84155F" w14:textId="77777777" w:rsidR="00883E16" w:rsidRDefault="00062B78">
      <w:r>
        <w:t>DAX calculated measures will enforce consistent KPI definitions across all reports.</w:t>
      </w:r>
    </w:p>
    <w:p w14:paraId="0D34BCF9" w14:textId="77777777" w:rsidR="00883E16" w:rsidRDefault="00062B78">
      <w:pPr>
        <w:pStyle w:val="Heading2"/>
      </w:pPr>
      <w:bookmarkStart w:id="14" w:name="_wjanmgsfqsy" w:colFirst="0" w:colLast="0"/>
      <w:bookmarkEnd w:id="14"/>
      <w:r>
        <w:t>Governance</w:t>
      </w:r>
    </w:p>
    <w:p w14:paraId="3B425FAB" w14:textId="77777777" w:rsidR="00883E16" w:rsidRDefault="00062B78">
      <w:pPr>
        <w:numPr>
          <w:ilvl w:val="0"/>
          <w:numId w:val="4"/>
        </w:numPr>
      </w:pPr>
      <w:r>
        <w:t>Certified Dataset: A single, trusted dataset will be certified and used by all executive dashboards.</w:t>
      </w:r>
    </w:p>
    <w:p w14:paraId="7C5CFA56" w14:textId="77777777" w:rsidR="00883E16" w:rsidRDefault="00062B78">
      <w:pPr>
        <w:numPr>
          <w:ilvl w:val="0"/>
          <w:numId w:val="4"/>
        </w:numPr>
      </w:pPr>
      <w:r>
        <w:t>Role-Level Security (RLS): Implemented to restrict agents/ma</w:t>
      </w:r>
      <w:r>
        <w:t>nagers to data relevant to their region/team.</w:t>
      </w:r>
    </w:p>
    <w:p w14:paraId="15FC9F91" w14:textId="77777777" w:rsidR="00883E16" w:rsidRDefault="00062B78">
      <w:pPr>
        <w:numPr>
          <w:ilvl w:val="0"/>
          <w:numId w:val="4"/>
        </w:numPr>
      </w:pPr>
      <w:r>
        <w:t>Controlled workspace publishing managed by Person.</w:t>
      </w:r>
    </w:p>
    <w:p w14:paraId="17824DED" w14:textId="77777777" w:rsidR="00883E16" w:rsidRDefault="00062B78">
      <w:pPr>
        <w:pStyle w:val="Heading2"/>
      </w:pPr>
      <w:bookmarkStart w:id="15" w:name="_2vq7nd8f2ipi" w:colFirst="0" w:colLast="0"/>
      <w:bookmarkEnd w:id="15"/>
      <w:r>
        <w:t>Refresh &amp; Licensing</w:t>
      </w:r>
    </w:p>
    <w:p w14:paraId="7CF4452D" w14:textId="77777777" w:rsidR="00883E16" w:rsidRDefault="00062B78">
      <w:pPr>
        <w:numPr>
          <w:ilvl w:val="0"/>
          <w:numId w:val="4"/>
        </w:numPr>
      </w:pPr>
      <w:r>
        <w:t>Data ingestion mode: Import mode will be used for optimal dashboard performance.</w:t>
      </w:r>
    </w:p>
    <w:p w14:paraId="420EC583" w14:textId="77777777" w:rsidR="00883E16" w:rsidRDefault="00062B78">
      <w:pPr>
        <w:numPr>
          <w:ilvl w:val="0"/>
          <w:numId w:val="4"/>
        </w:numPr>
      </w:pPr>
      <w:r>
        <w:t>Pro Licensing: Limited to 8 refresh cycles per day.</w:t>
      </w:r>
    </w:p>
    <w:p w14:paraId="4BBBF74C" w14:textId="77777777" w:rsidR="00883E16" w:rsidRDefault="00062B78">
      <w:pPr>
        <w:numPr>
          <w:ilvl w:val="0"/>
          <w:numId w:val="4"/>
        </w:numPr>
      </w:pPr>
      <w:r>
        <w:t>Premiu</w:t>
      </w:r>
      <w:r>
        <w:t>m Licensing: Required for near real-time analytics or higher refresh frequency.</w:t>
      </w:r>
    </w:p>
    <w:p w14:paraId="050B0E1B" w14:textId="77777777" w:rsidR="00883E16" w:rsidRDefault="00062B78">
      <w:pPr>
        <w:pStyle w:val="Heading2"/>
      </w:pPr>
      <w:bookmarkStart w:id="16" w:name="_j74tpwvucht8" w:colFirst="0" w:colLast="0"/>
      <w:bookmarkEnd w:id="16"/>
      <w:r>
        <w:t>Insight Example</w:t>
      </w:r>
    </w:p>
    <w:p w14:paraId="1428E014" w14:textId="77777777" w:rsidR="00883E16" w:rsidRDefault="00062B78">
      <w:r>
        <w:t>Analysis of the Executive Analytics dashboard revealed that APAC shows elevated SLA breaches, which is correlated with a high concentration of high-priority bac</w:t>
      </w:r>
      <w:r>
        <w:t>klog cases in that region.</w:t>
      </w:r>
      <w:r>
        <w:br/>
      </w:r>
      <w:r>
        <w:br/>
      </w:r>
      <w:r>
        <w:rPr>
          <w:noProof/>
        </w:rPr>
        <w:drawing>
          <wp:inline distT="114300" distB="114300" distL="114300" distR="114300" wp14:anchorId="62A14813" wp14:editId="1080B421">
            <wp:extent cx="6057900" cy="3190875"/>
            <wp:effectExtent l="0" t="0" r="0" b="9525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8365" cy="3191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</w:p>
    <w:p w14:paraId="7F291091" w14:textId="77777777" w:rsidR="00883E16" w:rsidRDefault="00062B78">
      <w:pPr>
        <w:pStyle w:val="Heading1"/>
      </w:pPr>
      <w:bookmarkStart w:id="17" w:name="_45n8r2j3ltho" w:colFirst="0" w:colLast="0"/>
      <w:bookmarkEnd w:id="17"/>
      <w:r>
        <w:t>4. Secure Identity &amp; External Access</w:t>
      </w:r>
    </w:p>
    <w:p w14:paraId="656D7872" w14:textId="77777777" w:rsidR="00883E16" w:rsidRDefault="00062B78">
      <w:r>
        <w:t>A robust identity model is critical for securing both internal data and external partner access.</w:t>
      </w:r>
    </w:p>
    <w:p w14:paraId="33B28B4D" w14:textId="77777777" w:rsidR="00883E16" w:rsidRDefault="00062B78">
      <w:pPr>
        <w:pStyle w:val="Heading2"/>
      </w:pPr>
      <w:bookmarkStart w:id="18" w:name="_5oz5kmcgb1rn" w:colFirst="0" w:colLast="0"/>
      <w:bookmarkEnd w:id="18"/>
      <w:r>
        <w:t>Identity Model</w:t>
      </w:r>
    </w:p>
    <w:p w14:paraId="6396D34D" w14:textId="77777777" w:rsidR="00883E16" w:rsidRDefault="00062B78">
      <w:pPr>
        <w:numPr>
          <w:ilvl w:val="0"/>
          <w:numId w:val="12"/>
        </w:numPr>
      </w:pPr>
      <w:r>
        <w:rPr>
          <w:b/>
          <w:bCs/>
        </w:rPr>
        <w:t>Internal Users:</w:t>
      </w:r>
      <w:r>
        <w:t xml:space="preserve"> Azure Active Directory (Azure AD) integrated with Role-Based</w:t>
      </w:r>
      <w:r>
        <w:t xml:space="preserve"> Access Control (RBAC).</w:t>
      </w:r>
    </w:p>
    <w:p w14:paraId="2C351202" w14:textId="77777777" w:rsidR="00883E16" w:rsidRDefault="00062B78">
      <w:pPr>
        <w:numPr>
          <w:ilvl w:val="0"/>
          <w:numId w:val="12"/>
        </w:numPr>
      </w:pPr>
      <w:r>
        <w:rPr>
          <w:b/>
          <w:bCs/>
        </w:rPr>
        <w:t>External Partners:</w:t>
      </w:r>
      <w:r>
        <w:t xml:space="preserve"> Azure AD B2C will be used to manage partner and vendor identities securely separate from the internal directory.</w:t>
      </w:r>
    </w:p>
    <w:p w14:paraId="0B0092D3" w14:textId="77777777" w:rsidR="00883E16" w:rsidRDefault="00062B78">
      <w:pPr>
        <w:pStyle w:val="Heading2"/>
      </w:pPr>
      <w:bookmarkStart w:id="19" w:name="_kvfuvjl1tfbv" w:colFirst="0" w:colLast="0"/>
      <w:bookmarkEnd w:id="19"/>
      <w:r>
        <w:t>Authentication vs Authorization</w:t>
      </w:r>
    </w:p>
    <w:tbl>
      <w:tblPr>
        <w:tblStyle w:val="a2"/>
        <w:tblW w:w="10000" w:type="dxa"/>
        <w:tblInd w:w="0" w:type="dxa"/>
        <w:tblBorders>
          <w:top w:val="single" w:sz="8" w:space="0" w:color="747775"/>
          <w:left w:val="nil"/>
          <w:bottom w:val="single" w:sz="8" w:space="0" w:color="747775"/>
          <w:right w:val="nil"/>
          <w:insideH w:val="single" w:sz="8" w:space="0" w:color="747775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5000"/>
        <w:gridCol w:w="5000"/>
      </w:tblGrid>
      <w:tr w:rsidR="00883E16" w14:paraId="4D4C95EF" w14:textId="77777777" w:rsidTr="00883E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8"/>
          <w:tblHeader/>
        </w:trPr>
        <w:tc>
          <w:tcPr>
            <w:tcW w:w="5000" w:type="dxa"/>
          </w:tcPr>
          <w:p w14:paraId="300D4FB1" w14:textId="77777777" w:rsidR="00883E16" w:rsidRDefault="00062B78">
            <w:r>
              <w:t>Term</w:t>
            </w:r>
          </w:p>
        </w:tc>
        <w:tc>
          <w:tcPr>
            <w:tcW w:w="5000" w:type="dxa"/>
          </w:tcPr>
          <w:p w14:paraId="09B70522" w14:textId="77777777" w:rsidR="00883E16" w:rsidRDefault="00062B78">
            <w:r>
              <w:t>Definition</w:t>
            </w:r>
          </w:p>
        </w:tc>
      </w:tr>
      <w:tr w:rsidR="00883E16" w14:paraId="36811916" w14:textId="77777777" w:rsidTr="00883E16">
        <w:trPr>
          <w:trHeight w:val="564"/>
        </w:trPr>
        <w:tc>
          <w:tcPr>
            <w:tcW w:w="5000" w:type="dxa"/>
          </w:tcPr>
          <w:p w14:paraId="0E20CE97" w14:textId="77777777" w:rsidR="00883E16" w:rsidRDefault="00062B78">
            <w:r>
              <w:t>Authentication</w:t>
            </w:r>
          </w:p>
        </w:tc>
        <w:tc>
          <w:tcPr>
            <w:tcW w:w="5000" w:type="dxa"/>
          </w:tcPr>
          <w:p w14:paraId="1BA22563" w14:textId="77777777" w:rsidR="00883E16" w:rsidRDefault="00062B78">
            <w:r>
              <w:t>Verifies the identity (e.g., checking password/MFA)</w:t>
            </w:r>
          </w:p>
        </w:tc>
      </w:tr>
      <w:tr w:rsidR="00883E16" w14:paraId="26698ABE" w14:textId="77777777" w:rsidTr="00883E16">
        <w:trPr>
          <w:trHeight w:val="564"/>
        </w:trPr>
        <w:tc>
          <w:tcPr>
            <w:tcW w:w="5000" w:type="dxa"/>
          </w:tcPr>
          <w:p w14:paraId="11AC3DD5" w14:textId="77777777" w:rsidR="00883E16" w:rsidRDefault="00062B78">
            <w:r>
              <w:t>Authorization</w:t>
            </w:r>
          </w:p>
        </w:tc>
        <w:tc>
          <w:tcPr>
            <w:tcW w:w="5000" w:type="dxa"/>
          </w:tcPr>
          <w:p w14:paraId="17CCC9E1" w14:textId="77777777" w:rsidR="00883E16" w:rsidRDefault="00062B78">
            <w:r>
              <w:t>Controls what the verified identity can access (via role claims)</w:t>
            </w:r>
          </w:p>
        </w:tc>
      </w:tr>
    </w:tbl>
    <w:p w14:paraId="39FC51DF" w14:textId="77777777" w:rsidR="00883E16" w:rsidRDefault="00062B78">
      <w:pPr>
        <w:pStyle w:val="Heading2"/>
      </w:pPr>
      <w:bookmarkStart w:id="20" w:name="_ihbnezqy126f" w:colFirst="0" w:colLast="0"/>
      <w:bookmarkEnd w:id="20"/>
      <w:r>
        <w:t>Token Flow</w:t>
      </w:r>
    </w:p>
    <w:p w14:paraId="1FDDB05B" w14:textId="77777777" w:rsidR="00883E16" w:rsidRDefault="00062B78">
      <w:pPr>
        <w:numPr>
          <w:ilvl w:val="0"/>
          <w:numId w:val="2"/>
        </w:numPr>
      </w:pPr>
      <w:r>
        <w:t>User login (Internal/External).</w:t>
      </w:r>
    </w:p>
    <w:p w14:paraId="16C34C75" w14:textId="77777777" w:rsidR="00883E16" w:rsidRDefault="00062B78">
      <w:pPr>
        <w:numPr>
          <w:ilvl w:val="0"/>
          <w:numId w:val="2"/>
        </w:numPr>
      </w:pPr>
      <w:r>
        <w:t>A JSON Web Token (JWT) is issued by Azure AD/B2C.</w:t>
      </w:r>
    </w:p>
    <w:p w14:paraId="5D58DD39" w14:textId="77777777" w:rsidR="00883E16" w:rsidRDefault="00062B78">
      <w:pPr>
        <w:numPr>
          <w:ilvl w:val="0"/>
          <w:numId w:val="2"/>
        </w:numPr>
      </w:pPr>
      <w:r>
        <w:t>The API validates the JWT.</w:t>
      </w:r>
    </w:p>
    <w:p w14:paraId="352BC0CE" w14:textId="77777777" w:rsidR="00883E16" w:rsidRDefault="00062B78">
      <w:pPr>
        <w:numPr>
          <w:ilvl w:val="0"/>
          <w:numId w:val="2"/>
        </w:numPr>
      </w:pPr>
      <w:r>
        <w:t>The</w:t>
      </w:r>
      <w:r>
        <w:t xml:space="preserve"> user's role is evaluated from the token claims.</w:t>
      </w:r>
    </w:p>
    <w:p w14:paraId="6A90644B" w14:textId="348B015F" w:rsidR="00883E16" w:rsidRDefault="00062B78">
      <w:pPr>
        <w:numPr>
          <w:ilvl w:val="0"/>
          <w:numId w:val="2"/>
        </w:numPr>
      </w:pPr>
      <w:r>
        <w:t>Access to specific resources is granted based on the role.</w:t>
      </w:r>
    </w:p>
    <w:p w14:paraId="53C079DE" w14:textId="1A102A1E" w:rsidR="00AE3B72" w:rsidRDefault="00AE3B72" w:rsidP="00AE3B72"/>
    <w:p w14:paraId="792C8D06" w14:textId="74B06F07" w:rsidR="00AE3B72" w:rsidRDefault="00AE3B72" w:rsidP="00AE3B72">
      <w:r>
        <w:rPr>
          <w:noProof/>
        </w:rPr>
        <w:drawing>
          <wp:inline distT="0" distB="0" distL="0" distR="0" wp14:anchorId="1F6D235E" wp14:editId="7F7A950E">
            <wp:extent cx="5943600" cy="359537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479B2" w14:textId="77777777" w:rsidR="00883E16" w:rsidRDefault="00062B78">
      <w:pPr>
        <w:pStyle w:val="Heading2"/>
      </w:pPr>
      <w:bookmarkStart w:id="21" w:name="_njxdwznwmt53" w:colFirst="0" w:colLast="0"/>
      <w:bookmarkEnd w:id="21"/>
      <w:r>
        <w:t>Risks &amp; Mitigation</w:t>
      </w:r>
    </w:p>
    <w:tbl>
      <w:tblPr>
        <w:tblStyle w:val="a3"/>
        <w:tblW w:w="10000" w:type="dxa"/>
        <w:tblInd w:w="0" w:type="dxa"/>
        <w:tblBorders>
          <w:top w:val="single" w:sz="8" w:space="0" w:color="747775"/>
          <w:left w:val="nil"/>
          <w:bottom w:val="single" w:sz="8" w:space="0" w:color="747775"/>
          <w:right w:val="nil"/>
          <w:insideH w:val="single" w:sz="8" w:space="0" w:color="747775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5000"/>
        <w:gridCol w:w="5000"/>
      </w:tblGrid>
      <w:tr w:rsidR="00883E16" w14:paraId="5A0F9A91" w14:textId="77777777" w:rsidTr="00883E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8"/>
          <w:tblHeader/>
        </w:trPr>
        <w:tc>
          <w:tcPr>
            <w:tcW w:w="5000" w:type="dxa"/>
          </w:tcPr>
          <w:p w14:paraId="699D8371" w14:textId="77777777" w:rsidR="00883E16" w:rsidRDefault="00062B78">
            <w:r>
              <w:t>Risk</w:t>
            </w:r>
          </w:p>
        </w:tc>
        <w:tc>
          <w:tcPr>
            <w:tcW w:w="5000" w:type="dxa"/>
          </w:tcPr>
          <w:p w14:paraId="5AC887D3" w14:textId="77777777" w:rsidR="00883E16" w:rsidRDefault="00062B78">
            <w:r>
              <w:t>Mitigation Strategy</w:t>
            </w:r>
          </w:p>
        </w:tc>
      </w:tr>
      <w:tr w:rsidR="00883E16" w14:paraId="77DFBB83" w14:textId="77777777" w:rsidTr="00883E16">
        <w:trPr>
          <w:trHeight w:val="564"/>
        </w:trPr>
        <w:tc>
          <w:tcPr>
            <w:tcW w:w="5000" w:type="dxa"/>
          </w:tcPr>
          <w:p w14:paraId="23A9A29D" w14:textId="77777777" w:rsidR="00883E16" w:rsidRDefault="00062B78">
            <w:r>
              <w:t>Token theft</w:t>
            </w:r>
          </w:p>
        </w:tc>
        <w:tc>
          <w:tcPr>
            <w:tcW w:w="5000" w:type="dxa"/>
          </w:tcPr>
          <w:p w14:paraId="3DD03721" w14:textId="77777777" w:rsidR="00883E16" w:rsidRDefault="00062B78">
            <w:r>
              <w:t>Enforce HTTPS and set short token expiry times (e.g., 60 minutes)</w:t>
            </w:r>
          </w:p>
        </w:tc>
      </w:tr>
      <w:tr w:rsidR="00883E16" w14:paraId="5F9D4EFE" w14:textId="77777777" w:rsidTr="00883E16">
        <w:trPr>
          <w:trHeight w:val="564"/>
        </w:trPr>
        <w:tc>
          <w:tcPr>
            <w:tcW w:w="5000" w:type="dxa"/>
          </w:tcPr>
          <w:p w14:paraId="5D297837" w14:textId="77777777" w:rsidR="00883E16" w:rsidRDefault="00062B78">
            <w:r>
              <w:t>Over-privilege</w:t>
            </w:r>
          </w:p>
        </w:tc>
        <w:tc>
          <w:tcPr>
            <w:tcW w:w="5000" w:type="dxa"/>
          </w:tcPr>
          <w:p w14:paraId="1AF5B7EA" w14:textId="77777777" w:rsidR="00883E16" w:rsidRDefault="00062B78">
            <w:r>
              <w:t>Strictly enforce Least Privilege RBAC model</w:t>
            </w:r>
          </w:p>
        </w:tc>
      </w:tr>
      <w:tr w:rsidR="00883E16" w14:paraId="5BC132FE" w14:textId="77777777" w:rsidTr="00883E16">
        <w:trPr>
          <w:trHeight w:val="564"/>
        </w:trPr>
        <w:tc>
          <w:tcPr>
            <w:tcW w:w="5000" w:type="dxa"/>
          </w:tcPr>
          <w:p w14:paraId="30EC4EF3" w14:textId="77777777" w:rsidR="00883E16" w:rsidRDefault="00062B78">
            <w:r>
              <w:t>Direct CRM exposure</w:t>
            </w:r>
          </w:p>
        </w:tc>
        <w:tc>
          <w:tcPr>
            <w:tcW w:w="5000" w:type="dxa"/>
          </w:tcPr>
          <w:p w14:paraId="749D9099" w14:textId="77777777" w:rsidR="00883E16" w:rsidRDefault="00062B78">
            <w:r>
              <w:t>Use an API abstraction layer (e.g., Azure API Management) to protect Dynamics 365</w:t>
            </w:r>
          </w:p>
        </w:tc>
      </w:tr>
    </w:tbl>
    <w:p w14:paraId="1DCE2C64" w14:textId="77777777" w:rsidR="00883E16" w:rsidRDefault="00062B78">
      <w:pPr>
        <w:pStyle w:val="Heading1"/>
      </w:pPr>
      <w:bookmarkStart w:id="22" w:name="_htntio3ptq7w" w:colFirst="0" w:colLast="0"/>
      <w:bookmarkEnd w:id="22"/>
      <w:r>
        <w:t xml:space="preserve">5. Automation &amp; Exception </w:t>
      </w:r>
      <w:r>
        <w:t>Handling</w:t>
      </w:r>
    </w:p>
    <w:p w14:paraId="0989C44F" w14:textId="77777777" w:rsidR="00883E16" w:rsidRDefault="00062B78">
      <w:r>
        <w:t>Automation is crucial for achieving the objective of automated SLA escalation and consistent business logic execution.</w:t>
      </w:r>
    </w:p>
    <w:p w14:paraId="053CC539" w14:textId="77777777" w:rsidR="00883E16" w:rsidRDefault="00062B78">
      <w:pPr>
        <w:pStyle w:val="Heading2"/>
      </w:pPr>
      <w:bookmarkStart w:id="23" w:name="_wy8mpivdugvj" w:colFirst="0" w:colLast="0"/>
      <w:bookmarkEnd w:id="23"/>
      <w:r>
        <w:t>Architecture</w:t>
      </w:r>
    </w:p>
    <w:p w14:paraId="0766C9DE" w14:textId="77777777" w:rsidR="00883E16" w:rsidRDefault="00062B78">
      <w:pPr>
        <w:numPr>
          <w:ilvl w:val="0"/>
          <w:numId w:val="9"/>
        </w:numPr>
      </w:pPr>
      <w:r>
        <w:rPr>
          <w:b/>
          <w:bCs/>
        </w:rPr>
        <w:t>Orchestration:</w:t>
      </w:r>
      <w:r>
        <w:t xml:space="preserve"> Azure Logic Apps will manage workflow sequencing and external system integration.</w:t>
      </w:r>
    </w:p>
    <w:p w14:paraId="0D5AF8EE" w14:textId="77777777" w:rsidR="00883E16" w:rsidRDefault="00062B78">
      <w:pPr>
        <w:numPr>
          <w:ilvl w:val="0"/>
          <w:numId w:val="9"/>
        </w:numPr>
      </w:pPr>
      <w:r>
        <w:rPr>
          <w:b/>
          <w:bCs/>
        </w:rPr>
        <w:t>Business Logic:</w:t>
      </w:r>
      <w:r>
        <w:t xml:space="preserve"> Azure Functions will host serverless code for complex, dynamic logic (e.g., dynamic threshold calculation).</w:t>
      </w:r>
    </w:p>
    <w:p w14:paraId="760C8D89" w14:textId="77777777" w:rsidR="00883E16" w:rsidRDefault="00062B78">
      <w:pPr>
        <w:pStyle w:val="Heading2"/>
      </w:pPr>
      <w:bookmarkStart w:id="24" w:name="_e11k23rqli05" w:colFirst="0" w:colLast="0"/>
      <w:bookmarkEnd w:id="24"/>
      <w:r>
        <w:t>SLA Escalation Flow</w:t>
      </w:r>
    </w:p>
    <w:p w14:paraId="5A9EC11F" w14:textId="77777777" w:rsidR="00883E16" w:rsidRDefault="00062B78">
      <w:pPr>
        <w:numPr>
          <w:ilvl w:val="0"/>
          <w:numId w:val="1"/>
        </w:numPr>
      </w:pPr>
      <w:r>
        <w:rPr>
          <w:b/>
          <w:bCs/>
        </w:rPr>
        <w:t>Trigger:</w:t>
      </w:r>
      <w:r>
        <w:t xml:space="preserve"> Dynamics 365 Case up</w:t>
      </w:r>
      <w:r>
        <w:t>date (e.g., time remaining reaches 50%).</w:t>
      </w:r>
    </w:p>
    <w:p w14:paraId="1763A1F3" w14:textId="77777777" w:rsidR="00883E16" w:rsidRDefault="00062B78">
      <w:pPr>
        <w:numPr>
          <w:ilvl w:val="0"/>
          <w:numId w:val="1"/>
        </w:numPr>
      </w:pPr>
      <w:r>
        <w:rPr>
          <w:b/>
          <w:bCs/>
        </w:rPr>
        <w:t>Logic App checks SLA:</w:t>
      </w:r>
      <w:r>
        <w:t xml:space="preserve"> Retrieves case details and current status.</w:t>
      </w:r>
    </w:p>
    <w:p w14:paraId="64489907" w14:textId="77777777" w:rsidR="00883E16" w:rsidRDefault="00062B78">
      <w:pPr>
        <w:numPr>
          <w:ilvl w:val="0"/>
          <w:numId w:val="1"/>
        </w:numPr>
      </w:pPr>
      <w:r>
        <w:rPr>
          <w:b/>
          <w:bCs/>
        </w:rPr>
        <w:t>Azure Function calculates dynamic threshold:</w:t>
      </w:r>
      <w:r>
        <w:t xml:space="preserve"> Determines the appropriate escalation level based on priority, region, and team capacity.</w:t>
      </w:r>
    </w:p>
    <w:p w14:paraId="502392C2" w14:textId="77777777" w:rsidR="00883E16" w:rsidRDefault="00062B78">
      <w:pPr>
        <w:numPr>
          <w:ilvl w:val="0"/>
          <w:numId w:val="1"/>
        </w:numPr>
      </w:pPr>
      <w:r>
        <w:rPr>
          <w:b/>
          <w:bCs/>
        </w:rPr>
        <w:t>Escalation noti</w:t>
      </w:r>
      <w:r>
        <w:rPr>
          <w:b/>
          <w:bCs/>
        </w:rPr>
        <w:t>fication sent:</w:t>
      </w:r>
      <w:r>
        <w:t xml:space="preserve"> Notifies manager or next-level support via Teams/Email.</w:t>
      </w:r>
    </w:p>
    <w:p w14:paraId="7FC207EC" w14:textId="77777777" w:rsidR="00883E16" w:rsidRDefault="00883E1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B6D4B5" w14:textId="77777777" w:rsidR="00883E16" w:rsidRDefault="00062B78">
      <w:r>
        <w:t>The specific calendar event for reviewing this SLA Escalation Flow is Calendar event.</w:t>
      </w:r>
    </w:p>
    <w:p w14:paraId="6E0AF3DA" w14:textId="77777777" w:rsidR="00883E16" w:rsidRDefault="00062B78">
      <w:pPr>
        <w:pStyle w:val="Heading2"/>
      </w:pPr>
      <w:bookmarkStart w:id="25" w:name="_blde9vwuzrma" w:colFirst="0" w:colLast="0"/>
      <w:bookmarkEnd w:id="25"/>
      <w:r>
        <w:t>Failure Handling</w:t>
      </w:r>
    </w:p>
    <w:p w14:paraId="3539D2B4" w14:textId="77777777" w:rsidR="00883E16" w:rsidRDefault="00062B78">
      <w:pPr>
        <w:numPr>
          <w:ilvl w:val="0"/>
          <w:numId w:val="8"/>
        </w:numPr>
      </w:pPr>
      <w:r>
        <w:rPr>
          <w:b/>
          <w:bCs/>
        </w:rPr>
        <w:t>Retry:</w:t>
      </w:r>
      <w:r>
        <w:t xml:space="preserve"> Implement automatic retry with exponential </w:t>
      </w:r>
      <w:proofErr w:type="spellStart"/>
      <w:r>
        <w:t>backoff</w:t>
      </w:r>
      <w:proofErr w:type="spellEnd"/>
      <w:r>
        <w:t xml:space="preserve"> for transient failures.</w:t>
      </w:r>
    </w:p>
    <w:p w14:paraId="06551B6F" w14:textId="77777777" w:rsidR="00883E16" w:rsidRDefault="00062B78">
      <w:pPr>
        <w:numPr>
          <w:ilvl w:val="0"/>
          <w:numId w:val="8"/>
        </w:numPr>
      </w:pPr>
      <w:r>
        <w:rPr>
          <w:b/>
          <w:bCs/>
        </w:rPr>
        <w:t>Timeout:</w:t>
      </w:r>
      <w:r>
        <w:t xml:space="preserve"> Configure explicit timeout settings for external calls.</w:t>
      </w:r>
    </w:p>
    <w:p w14:paraId="0A0A3536" w14:textId="77777777" w:rsidR="00883E16" w:rsidRDefault="00062B78">
      <w:pPr>
        <w:numPr>
          <w:ilvl w:val="0"/>
          <w:numId w:val="8"/>
        </w:numPr>
      </w:pPr>
      <w:r>
        <w:rPr>
          <w:b/>
          <w:bCs/>
        </w:rPr>
        <w:t>Dead-letter:</w:t>
      </w:r>
      <w:r>
        <w:t xml:space="preserve"> Use dead-letter handling (e.g., in Azure Storage Queue or Service Bus) for messages that fail final processing.</w:t>
      </w:r>
    </w:p>
    <w:p w14:paraId="44A821D2" w14:textId="77777777" w:rsidR="00883E16" w:rsidRDefault="00062B78">
      <w:pPr>
        <w:numPr>
          <w:ilvl w:val="0"/>
          <w:numId w:val="8"/>
        </w:numPr>
      </w:pPr>
      <w:r>
        <w:rPr>
          <w:b/>
          <w:bCs/>
        </w:rPr>
        <w:t>Monitoring:</w:t>
      </w:r>
      <w:r>
        <w:t xml:space="preserve"> Centralized monitoring via Application Insights.</w:t>
      </w:r>
    </w:p>
    <w:p w14:paraId="012660E4" w14:textId="77777777" w:rsidR="00883E16" w:rsidRDefault="00062B78">
      <w:pPr>
        <w:pStyle w:val="Heading2"/>
      </w:pPr>
      <w:bookmarkStart w:id="26" w:name="_vqjeqi97ue59" w:colFirst="0" w:colLast="0"/>
      <w:bookmarkEnd w:id="26"/>
      <w:r>
        <w:t>When</w:t>
      </w:r>
      <w:r>
        <w:t xml:space="preserve"> Not to Use Serverless (Logic Apps/Functions)</w:t>
      </w:r>
    </w:p>
    <w:p w14:paraId="385FB803" w14:textId="77777777" w:rsidR="00883E16" w:rsidRDefault="00062B78">
      <w:pPr>
        <w:numPr>
          <w:ilvl w:val="0"/>
          <w:numId w:val="8"/>
        </w:numPr>
      </w:pPr>
      <w:r>
        <w:t>Long-running processes (over 10 minutes for HTTP trigger).</w:t>
      </w:r>
    </w:p>
    <w:p w14:paraId="4B2312DF" w14:textId="1CB533D9" w:rsidR="00883E16" w:rsidRDefault="00062B78">
      <w:pPr>
        <w:numPr>
          <w:ilvl w:val="0"/>
          <w:numId w:val="8"/>
        </w:numPr>
      </w:pPr>
      <w:r>
        <w:t>High-frequency, predictable workloads (better for dedicated VMs).</w:t>
      </w:r>
    </w:p>
    <w:p w14:paraId="6E92C5C0" w14:textId="0FB94041" w:rsidR="00AE3B72" w:rsidRDefault="00AE3B72" w:rsidP="00AE3B72"/>
    <w:p w14:paraId="50E2A77F" w14:textId="3D93A5C4" w:rsidR="00AE3B72" w:rsidRDefault="00AE3B72" w:rsidP="00AE3B72">
      <w:r w:rsidRPr="00AE3B72">
        <w:drawing>
          <wp:inline distT="0" distB="0" distL="0" distR="0" wp14:anchorId="644B380D" wp14:editId="65F960AE">
            <wp:extent cx="5943600" cy="22917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7DAC4" w14:textId="77777777" w:rsidR="00883E16" w:rsidRDefault="00062B78">
      <w:pPr>
        <w:pStyle w:val="Heading1"/>
      </w:pPr>
      <w:bookmarkStart w:id="27" w:name="_cgmc91xnls4l" w:colFirst="0" w:colLast="0"/>
      <w:bookmarkEnd w:id="27"/>
      <w:r>
        <w:t>6. Storage, Secrets &amp; Observability</w:t>
      </w:r>
    </w:p>
    <w:p w14:paraId="2BB05E4E" w14:textId="77777777" w:rsidR="00883E16" w:rsidRDefault="00062B78">
      <w:r>
        <w:t>Efficient storage, secure secrets management, and</w:t>
      </w:r>
      <w:r>
        <w:t xml:space="preserve"> comprehensive observability are foundational.</w:t>
      </w:r>
    </w:p>
    <w:p w14:paraId="281EACA8" w14:textId="77777777" w:rsidR="00883E16" w:rsidRDefault="00062B78">
      <w:pPr>
        <w:pStyle w:val="Heading2"/>
      </w:pPr>
      <w:bookmarkStart w:id="28" w:name="_b2h6c0fihv3f" w:colFirst="0" w:colLast="0"/>
      <w:bookmarkEnd w:id="28"/>
      <w:r>
        <w:t>Storage</w:t>
      </w:r>
    </w:p>
    <w:p w14:paraId="3BD26619" w14:textId="77777777" w:rsidR="00883E16" w:rsidRDefault="00062B78">
      <w:pPr>
        <w:numPr>
          <w:ilvl w:val="0"/>
          <w:numId w:val="7"/>
        </w:numPr>
      </w:pPr>
      <w:r>
        <w:rPr>
          <w:b/>
          <w:bCs/>
        </w:rPr>
        <w:t>Attachments:</w:t>
      </w:r>
      <w:r>
        <w:t xml:space="preserve"> Attachments will be moved from Dynamics 365 to Azure Blob Storage to minimize expensive CRM storage consumption.</w:t>
      </w:r>
    </w:p>
    <w:p w14:paraId="11A3A859" w14:textId="77777777" w:rsidR="00883E16" w:rsidRDefault="00062B78">
      <w:pPr>
        <w:numPr>
          <w:ilvl w:val="0"/>
          <w:numId w:val="7"/>
        </w:numPr>
      </w:pPr>
      <w:r>
        <w:rPr>
          <w:b/>
          <w:bCs/>
        </w:rPr>
        <w:t>CRM:</w:t>
      </w:r>
      <w:r>
        <w:t xml:space="preserve"> Dynamics 365 will only store the metadata and a secure URL link to the attachment in Blob Storage.</w:t>
      </w:r>
    </w:p>
    <w:p w14:paraId="4E7E1AF3" w14:textId="77777777" w:rsidR="00883E16" w:rsidRDefault="00062B78">
      <w:pPr>
        <w:pStyle w:val="Heading2"/>
      </w:pPr>
      <w:bookmarkStart w:id="29" w:name="_ry66qayj38cd" w:colFirst="0" w:colLast="0"/>
      <w:bookmarkEnd w:id="29"/>
      <w:r>
        <w:t>Secrets</w:t>
      </w:r>
    </w:p>
    <w:p w14:paraId="56DCB418" w14:textId="77777777" w:rsidR="00883E16" w:rsidRDefault="00062B78">
      <w:pPr>
        <w:numPr>
          <w:ilvl w:val="0"/>
          <w:numId w:val="7"/>
        </w:numPr>
      </w:pPr>
      <w:r>
        <w:rPr>
          <w:b/>
          <w:bCs/>
        </w:rPr>
        <w:t>Key Vault:</w:t>
      </w:r>
      <w:r>
        <w:t xml:space="preserve"> Azure Key Vault wil</w:t>
      </w:r>
      <w:r>
        <w:t>l securely store all application secrets (API keys, connection strings, certificates).</w:t>
      </w:r>
    </w:p>
    <w:p w14:paraId="6BF5D20F" w14:textId="77777777" w:rsidR="00883E16" w:rsidRDefault="00062B78">
      <w:pPr>
        <w:numPr>
          <w:ilvl w:val="0"/>
          <w:numId w:val="7"/>
        </w:numPr>
      </w:pPr>
      <w:r>
        <w:rPr>
          <w:b/>
          <w:bCs/>
        </w:rPr>
        <w:t>Managed Identity:</w:t>
      </w:r>
      <w:r>
        <w:t xml:space="preserve"> Managed Identity will be used to grant Azure resources (Logic Apps, Functions) secure access to Key Vault secrets without storing credentials in code.</w:t>
      </w:r>
    </w:p>
    <w:p w14:paraId="50888561" w14:textId="77777777" w:rsidR="00883E16" w:rsidRDefault="00062B78">
      <w:pPr>
        <w:pStyle w:val="Heading2"/>
      </w:pPr>
      <w:bookmarkStart w:id="30" w:name="_euul6qhcu2m2" w:colFirst="0" w:colLast="0"/>
      <w:bookmarkEnd w:id="30"/>
      <w:r>
        <w:t>Monitoring (Application Insights)</w:t>
      </w:r>
    </w:p>
    <w:p w14:paraId="2071C4DD" w14:textId="77777777" w:rsidR="00883E16" w:rsidRDefault="00062B78">
      <w:r>
        <w:t>Application Insights will track key operational health metrics:</w:t>
      </w:r>
    </w:p>
    <w:p w14:paraId="479A17F8" w14:textId="77777777" w:rsidR="00883E16" w:rsidRDefault="00883E1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D965C15" w14:textId="77777777" w:rsidR="00883E16" w:rsidRDefault="00062B78">
      <w:pPr>
        <w:numPr>
          <w:ilvl w:val="0"/>
          <w:numId w:val="6"/>
        </w:numPr>
      </w:pPr>
      <w:r>
        <w:t>Workflow failures (Logic App/Function errors).</w:t>
      </w:r>
    </w:p>
    <w:p w14:paraId="0C578D6A" w14:textId="77777777" w:rsidR="00883E16" w:rsidRDefault="00062B78">
      <w:pPr>
        <w:numPr>
          <w:ilvl w:val="0"/>
          <w:numId w:val="6"/>
        </w:numPr>
      </w:pPr>
      <w:r>
        <w:t>SLA breach rate (Custom metric).</w:t>
      </w:r>
    </w:p>
    <w:p w14:paraId="15D8D1AF" w14:textId="77777777" w:rsidR="00883E16" w:rsidRDefault="00062B78">
      <w:pPr>
        <w:numPr>
          <w:ilvl w:val="0"/>
          <w:numId w:val="6"/>
        </w:numPr>
      </w:pPr>
      <w:r>
        <w:t>API latency.</w:t>
      </w:r>
    </w:p>
    <w:p w14:paraId="39F0E690" w14:textId="77777777" w:rsidR="00883E16" w:rsidRDefault="00062B78">
      <w:pPr>
        <w:numPr>
          <w:ilvl w:val="0"/>
          <w:numId w:val="6"/>
        </w:numPr>
      </w:pPr>
      <w:r>
        <w:t>Report failures (SSRS/Power BI).</w:t>
      </w:r>
    </w:p>
    <w:p w14:paraId="69CA00CB" w14:textId="77777777" w:rsidR="00883E16" w:rsidRDefault="00883E1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8D6DD3" w14:textId="77777777" w:rsidR="00883E16" w:rsidRDefault="00062B78">
      <w:r>
        <w:rPr>
          <w:b/>
          <w:bCs/>
        </w:rPr>
        <w:t>Alerts:</w:t>
      </w:r>
    </w:p>
    <w:p w14:paraId="1DBAF7B8" w14:textId="77777777" w:rsidR="00883E16" w:rsidRDefault="00883E1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BE0CEF" w14:textId="77777777" w:rsidR="00883E16" w:rsidRDefault="00062B78">
      <w:pPr>
        <w:numPr>
          <w:ilvl w:val="0"/>
          <w:numId w:val="6"/>
        </w:numPr>
      </w:pPr>
      <w:r>
        <w:t>SLA breach rate above threshold (e.g., 5%).</w:t>
      </w:r>
    </w:p>
    <w:p w14:paraId="1E03046B" w14:textId="77777777" w:rsidR="00883E16" w:rsidRDefault="00062B78">
      <w:pPr>
        <w:numPr>
          <w:ilvl w:val="0"/>
          <w:numId w:val="6"/>
        </w:numPr>
      </w:pPr>
      <w:r>
        <w:t>Logic App failure spike.</w:t>
      </w:r>
    </w:p>
    <w:p w14:paraId="74CD3D4E" w14:textId="77777777" w:rsidR="00883E16" w:rsidRDefault="00062B78">
      <w:pPr>
        <w:numPr>
          <w:ilvl w:val="0"/>
          <w:numId w:val="6"/>
        </w:numPr>
      </w:pPr>
      <w:r>
        <w:t>Storage anomaly (e.g., high ingress/egress).</w:t>
      </w:r>
    </w:p>
    <w:p w14:paraId="00B5E1A2" w14:textId="77777777" w:rsidR="00883E16" w:rsidRDefault="00062B78">
      <w:pPr>
        <w:pStyle w:val="Heading1"/>
      </w:pPr>
      <w:bookmarkStart w:id="31" w:name="_d4rxncushovs" w:colFirst="0" w:colLast="0"/>
      <w:bookmarkEnd w:id="31"/>
      <w:r>
        <w:t>7. Analytical Thinking &amp; Optimization</w:t>
      </w:r>
    </w:p>
    <w:p w14:paraId="5C9DC6E9" w14:textId="77777777" w:rsidR="00883E16" w:rsidRDefault="00062B78">
      <w:pPr>
        <w:pStyle w:val="Heading3"/>
      </w:pPr>
      <w:bookmarkStart w:id="32" w:name="_138u1qym45l8" w:colFirst="0" w:colLast="0"/>
      <w:bookmarkEnd w:id="32"/>
      <w:r>
        <w:t>Problem Framing</w:t>
      </w:r>
    </w:p>
    <w:p w14:paraId="2BE4C84A" w14:textId="77777777" w:rsidR="00883E16" w:rsidRDefault="00062B78">
      <w:r>
        <w:t>The objective of this analysis is to evaluate SLA compliance performance across regions,</w:t>
      </w:r>
      <w:r>
        <w:t xml:space="preserve"> understand workload distribution, and identify operational inefficiencies impacting service quality.</w:t>
      </w:r>
    </w:p>
    <w:p w14:paraId="02E4968E" w14:textId="77777777" w:rsidR="00883E16" w:rsidRDefault="00062B78">
      <w:pPr>
        <w:pStyle w:val="Heading3"/>
      </w:pPr>
      <w:bookmarkStart w:id="33" w:name="_130y0qasoz8m" w:colFirst="0" w:colLast="0"/>
      <w:bookmarkEnd w:id="33"/>
      <w:r>
        <w:t>Analytical Questions</w:t>
      </w:r>
    </w:p>
    <w:p w14:paraId="167066A2" w14:textId="77777777" w:rsidR="00883E16" w:rsidRDefault="00062B78">
      <w:r>
        <w:t>Which region has the highest SLA breach percentage?</w:t>
      </w:r>
    </w:p>
    <w:p w14:paraId="711E0C4C" w14:textId="77777777" w:rsidR="00883E16" w:rsidRDefault="00062B78">
      <w:r>
        <w:t>Is rising case volume contributing to SLA breaches?</w:t>
      </w:r>
    </w:p>
    <w:p w14:paraId="28CAC057" w14:textId="77777777" w:rsidR="00883E16" w:rsidRDefault="00062B78">
      <w:r>
        <w:t>Does case priority influence resolution time?</w:t>
      </w:r>
    </w:p>
    <w:p w14:paraId="05417F7C" w14:textId="77777777" w:rsidR="00883E16" w:rsidRDefault="00062B78">
      <w:r>
        <w:t>Which region carries the highest workload burden?</w:t>
      </w:r>
    </w:p>
    <w:p w14:paraId="3CC45C2A" w14:textId="77777777" w:rsidR="00883E16" w:rsidRDefault="00062B78">
      <w:pPr>
        <w:pStyle w:val="Heading3"/>
      </w:pPr>
      <w:bookmarkStart w:id="34" w:name="_nrijzll96qub" w:colFirst="0" w:colLast="0"/>
      <w:bookmarkEnd w:id="34"/>
      <w:r>
        <w:t>Insights Derived from Dashboard</w:t>
      </w:r>
    </w:p>
    <w:tbl>
      <w:tblPr>
        <w:tblStyle w:val="a4"/>
        <w:tblW w:w="92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20" w:firstRow="1" w:lastRow="0" w:firstColumn="0" w:lastColumn="0" w:noHBand="1" w:noVBand="1"/>
      </w:tblPr>
      <w:tblGrid>
        <w:gridCol w:w="3090"/>
        <w:gridCol w:w="3090"/>
        <w:gridCol w:w="3090"/>
      </w:tblGrid>
      <w:tr w:rsidR="00883E16" w14:paraId="38E68A74" w14:textId="77777777" w:rsidTr="00062B78">
        <w:trPr>
          <w:trHeight w:val="300"/>
          <w:tblHeader/>
        </w:trPr>
        <w:tc>
          <w:tcPr>
            <w:tcW w:w="3090" w:type="dxa"/>
          </w:tcPr>
          <w:p w14:paraId="54107FDD" w14:textId="77777777" w:rsidR="00883E16" w:rsidRDefault="00062B78">
            <w:r>
              <w:t>Metric</w:t>
            </w:r>
          </w:p>
        </w:tc>
        <w:tc>
          <w:tcPr>
            <w:tcW w:w="3090" w:type="dxa"/>
          </w:tcPr>
          <w:p w14:paraId="18061B80" w14:textId="77777777" w:rsidR="00883E16" w:rsidRDefault="00062B78">
            <w:r>
              <w:t>Detail</w:t>
            </w:r>
          </w:p>
        </w:tc>
        <w:tc>
          <w:tcPr>
            <w:tcW w:w="3090" w:type="dxa"/>
          </w:tcPr>
          <w:p w14:paraId="3D59CBA7" w14:textId="77777777" w:rsidR="00883E16" w:rsidRDefault="00062B78">
            <w:r>
              <w:t>Interpretation</w:t>
            </w:r>
          </w:p>
        </w:tc>
      </w:tr>
      <w:tr w:rsidR="00883E16" w14:paraId="797D6F24" w14:textId="77777777" w:rsidTr="00062B78">
        <w:trPr>
          <w:trHeight w:val="915"/>
        </w:trPr>
        <w:tc>
          <w:tcPr>
            <w:tcW w:w="3090" w:type="dxa"/>
          </w:tcPr>
          <w:p w14:paraId="7F5A543C" w14:textId="77777777" w:rsidR="00883E16" w:rsidRDefault="00062B78">
            <w:r>
              <w:t>Overall SLA Breach Rate</w:t>
            </w:r>
          </w:p>
        </w:tc>
        <w:tc>
          <w:tcPr>
            <w:tcW w:w="3090" w:type="dxa"/>
          </w:tcPr>
          <w:p w14:paraId="475E88AB" w14:textId="77777777" w:rsidR="00883E16" w:rsidRDefault="00062B78">
            <w:r>
              <w:t>18.5 percent</w:t>
            </w:r>
          </w:p>
        </w:tc>
        <w:tc>
          <w:tcPr>
            <w:tcW w:w="3090" w:type="dxa"/>
          </w:tcPr>
          <w:p w14:paraId="10ADE02A" w14:textId="77777777" w:rsidR="00883E16" w:rsidRDefault="00062B78">
            <w:r>
              <w:t xml:space="preserve">Suggests </w:t>
            </w:r>
            <w:r>
              <w:t>systemic operational pressure rather than isolated incidents.</w:t>
            </w:r>
          </w:p>
        </w:tc>
      </w:tr>
      <w:tr w:rsidR="00883E16" w14:paraId="302AF1E2" w14:textId="77777777" w:rsidTr="00062B78">
        <w:trPr>
          <w:trHeight w:val="1215"/>
        </w:trPr>
        <w:tc>
          <w:tcPr>
            <w:tcW w:w="3090" w:type="dxa"/>
          </w:tcPr>
          <w:p w14:paraId="5C1DA7A5" w14:textId="77777777" w:rsidR="00883E16" w:rsidRDefault="00062B78">
            <w:r>
              <w:t>Regional Performance Variance</w:t>
            </w:r>
          </w:p>
        </w:tc>
        <w:tc>
          <w:tcPr>
            <w:tcW w:w="3090" w:type="dxa"/>
          </w:tcPr>
          <w:p w14:paraId="78B5509C" w14:textId="77777777" w:rsidR="00883E16" w:rsidRDefault="00062B78">
            <w:r>
              <w:t>West: 25.2%; East: 21.0%; North: 15.8%; South: 12.1%</w:t>
            </w:r>
          </w:p>
        </w:tc>
        <w:tc>
          <w:tcPr>
            <w:tcW w:w="3090" w:type="dxa"/>
          </w:tcPr>
          <w:p w14:paraId="5EE2718C" w14:textId="77777777" w:rsidR="00883E16" w:rsidRDefault="00062B78">
            <w:r>
              <w:t>Indicates performance imbalance across regions, with West region being the highest risk.</w:t>
            </w:r>
          </w:p>
        </w:tc>
      </w:tr>
      <w:tr w:rsidR="00883E16" w14:paraId="23BE2E69" w14:textId="77777777" w:rsidTr="00062B78">
        <w:trPr>
          <w:trHeight w:val="1230"/>
        </w:trPr>
        <w:tc>
          <w:tcPr>
            <w:tcW w:w="3090" w:type="dxa"/>
          </w:tcPr>
          <w:p w14:paraId="7A8E45C3" w14:textId="77777777" w:rsidR="00883E16" w:rsidRDefault="00062B78">
            <w:r>
              <w:t>Case Volume Trend</w:t>
            </w:r>
          </w:p>
        </w:tc>
        <w:tc>
          <w:tcPr>
            <w:tcW w:w="3090" w:type="dxa"/>
          </w:tcPr>
          <w:p w14:paraId="3F1741CD" w14:textId="77777777" w:rsidR="00883E16" w:rsidRDefault="00062B78">
            <w:r>
              <w:t>Increasing from January to February 2026</w:t>
            </w:r>
          </w:p>
        </w:tc>
        <w:tc>
          <w:tcPr>
            <w:tcW w:w="3090" w:type="dxa"/>
          </w:tcPr>
          <w:p w14:paraId="7A4427F7" w14:textId="77777777" w:rsidR="00883E16" w:rsidRDefault="00062B78">
            <w:r>
              <w:t>Rising workload without proportional capacity increase may be contributing to breach escalation.</w:t>
            </w:r>
          </w:p>
        </w:tc>
      </w:tr>
      <w:tr w:rsidR="00883E16" w14:paraId="6274E54F" w14:textId="77777777" w:rsidTr="00062B78">
        <w:trPr>
          <w:trHeight w:val="1215"/>
        </w:trPr>
        <w:tc>
          <w:tcPr>
            <w:tcW w:w="3090" w:type="dxa"/>
          </w:tcPr>
          <w:p w14:paraId="52073967" w14:textId="77777777" w:rsidR="00883E16" w:rsidRDefault="00062B78">
            <w:r>
              <w:t xml:space="preserve">Priority </w:t>
            </w:r>
            <w:r>
              <w:t>Impact on Resolution Time</w:t>
            </w:r>
          </w:p>
        </w:tc>
        <w:tc>
          <w:tcPr>
            <w:tcW w:w="3090" w:type="dxa"/>
          </w:tcPr>
          <w:p w14:paraId="7A31F44A" w14:textId="77777777" w:rsidR="00883E16" w:rsidRDefault="00062B78">
            <w:r>
              <w:t>Low: 24.1 hours; Medium: 15.2 hours; High: 8.5 hours</w:t>
            </w:r>
          </w:p>
        </w:tc>
        <w:tc>
          <w:tcPr>
            <w:tcW w:w="3090" w:type="dxa"/>
          </w:tcPr>
          <w:p w14:paraId="6975ACD9" w14:textId="77777777" w:rsidR="00883E16" w:rsidRDefault="00062B78">
            <w:r>
              <w:t>Prioritization logic is effective, but lower priority backlog accumulation may create long-term service degradation risk.</w:t>
            </w:r>
          </w:p>
        </w:tc>
      </w:tr>
      <w:tr w:rsidR="00883E16" w14:paraId="7E6D7F83" w14:textId="77777777" w:rsidTr="00062B78">
        <w:trPr>
          <w:trHeight w:val="915"/>
        </w:trPr>
        <w:tc>
          <w:tcPr>
            <w:tcW w:w="3090" w:type="dxa"/>
          </w:tcPr>
          <w:p w14:paraId="398DF7CB" w14:textId="77777777" w:rsidR="00883E16" w:rsidRDefault="00062B78">
            <w:r>
              <w:t>Workload Concentration</w:t>
            </w:r>
          </w:p>
        </w:tc>
        <w:tc>
          <w:tcPr>
            <w:tcW w:w="3090" w:type="dxa"/>
          </w:tcPr>
          <w:p w14:paraId="1667F666" w14:textId="77777777" w:rsidR="00883E16" w:rsidRDefault="00062B78">
            <w:r>
              <w:t>West: 252 cases; South: 64 case</w:t>
            </w:r>
            <w:r>
              <w:t>s</w:t>
            </w:r>
          </w:p>
        </w:tc>
        <w:tc>
          <w:tcPr>
            <w:tcW w:w="3090" w:type="dxa"/>
          </w:tcPr>
          <w:p w14:paraId="2D645DC1" w14:textId="77777777" w:rsidR="00883E16" w:rsidRDefault="00062B78">
            <w:r>
              <w:t>Uneven case distribution may be driving SLA non-compliance in the West region.</w:t>
            </w:r>
          </w:p>
        </w:tc>
      </w:tr>
    </w:tbl>
    <w:p w14:paraId="49C1D2F4" w14:textId="77777777" w:rsidR="00883E16" w:rsidRDefault="00062B78">
      <w:pPr>
        <w:pStyle w:val="Heading3"/>
      </w:pPr>
      <w:bookmarkStart w:id="35" w:name="_wj1c2jtolnsg" w:colFirst="0" w:colLast="0"/>
      <w:bookmarkEnd w:id="35"/>
      <w:r>
        <w:t>Root Cause Interpretation</w:t>
      </w:r>
    </w:p>
    <w:p w14:paraId="2BC6B8FA" w14:textId="77777777" w:rsidR="00883E16" w:rsidRDefault="00062B78">
      <w:r>
        <w:t>SLA breaches are strongly correlated with high regional case volume.</w:t>
      </w:r>
    </w:p>
    <w:p w14:paraId="01B31C9A" w14:textId="77777777" w:rsidR="00883E16" w:rsidRDefault="00883E16">
      <w:pPr>
        <w:pBdr>
          <w:top w:val="nil"/>
          <w:left w:val="nil"/>
          <w:bottom w:val="nil"/>
          <w:right w:val="nil"/>
          <w:between w:val="nil"/>
        </w:pBdr>
      </w:pPr>
    </w:p>
    <w:p w14:paraId="4F5CE1E3" w14:textId="77777777" w:rsidR="00883E16" w:rsidRDefault="00062B78">
      <w:r>
        <w:t>Operational capacity imbalance is likely present in West and East regions.</w:t>
      </w:r>
    </w:p>
    <w:p w14:paraId="3952A62C" w14:textId="77777777" w:rsidR="00883E16" w:rsidRDefault="00883E16">
      <w:pPr>
        <w:pBdr>
          <w:top w:val="nil"/>
          <w:left w:val="nil"/>
          <w:bottom w:val="nil"/>
          <w:right w:val="nil"/>
          <w:between w:val="nil"/>
        </w:pBdr>
      </w:pPr>
    </w:p>
    <w:p w14:paraId="32BDB542" w14:textId="77777777" w:rsidR="00883E16" w:rsidRDefault="00062B78">
      <w:r>
        <w:t>Increasing case trend suggests scaling pressure.</w:t>
      </w:r>
    </w:p>
    <w:p w14:paraId="32DF858F" w14:textId="77777777" w:rsidR="00883E16" w:rsidRDefault="00883E16">
      <w:pPr>
        <w:pBdr>
          <w:top w:val="nil"/>
          <w:left w:val="nil"/>
          <w:bottom w:val="nil"/>
          <w:right w:val="nil"/>
          <w:between w:val="nil"/>
        </w:pBdr>
      </w:pPr>
    </w:p>
    <w:p w14:paraId="44139DF5" w14:textId="77777777" w:rsidR="00883E16" w:rsidRDefault="00062B78">
      <w:r>
        <w:t>Backlog accumulation in lower priority cases may create delayed spillover effects.</w:t>
      </w:r>
    </w:p>
    <w:p w14:paraId="3F9FA622" w14:textId="77777777" w:rsidR="00883E16" w:rsidRDefault="00062B78">
      <w:pPr>
        <w:pStyle w:val="Heading3"/>
      </w:pPr>
      <w:bookmarkStart w:id="36" w:name="_nkbstk261yo2" w:colFirst="0" w:colLast="0"/>
      <w:bookmarkEnd w:id="36"/>
      <w:r>
        <w:t>Business Recommendations</w:t>
      </w:r>
    </w:p>
    <w:p w14:paraId="6AB52FEE" w14:textId="77777777" w:rsidR="00883E16" w:rsidRDefault="00062B78">
      <w:r>
        <w:t>Implement workload red</w:t>
      </w:r>
      <w:r>
        <w:t>istribution between regions to balance capacity.</w:t>
      </w:r>
    </w:p>
    <w:p w14:paraId="43FCA589" w14:textId="77777777" w:rsidR="00883E16" w:rsidRDefault="00883E16">
      <w:pPr>
        <w:pBdr>
          <w:top w:val="nil"/>
          <w:left w:val="nil"/>
          <w:bottom w:val="nil"/>
          <w:right w:val="nil"/>
          <w:between w:val="nil"/>
        </w:pBdr>
      </w:pPr>
    </w:p>
    <w:p w14:paraId="4E675E12" w14:textId="77777777" w:rsidR="00883E16" w:rsidRDefault="00062B78">
      <w:r>
        <w:t>Introduce early-warning alerts when regional breach exceeds 20 percent.</w:t>
      </w:r>
    </w:p>
    <w:p w14:paraId="6E90C88E" w14:textId="77777777" w:rsidR="00883E16" w:rsidRDefault="00883E16">
      <w:pPr>
        <w:pBdr>
          <w:top w:val="nil"/>
          <w:left w:val="nil"/>
          <w:bottom w:val="nil"/>
          <w:right w:val="nil"/>
          <w:between w:val="nil"/>
        </w:pBdr>
      </w:pPr>
    </w:p>
    <w:p w14:paraId="436ADEA1" w14:textId="77777777" w:rsidR="00883E16" w:rsidRDefault="00062B78">
      <w:r>
        <w:t>Review staffing allocation for the West region.</w:t>
      </w:r>
    </w:p>
    <w:p w14:paraId="75EBA7D1" w14:textId="77777777" w:rsidR="00883E16" w:rsidRDefault="00883E16">
      <w:pPr>
        <w:pBdr>
          <w:top w:val="nil"/>
          <w:left w:val="nil"/>
          <w:bottom w:val="nil"/>
          <w:right w:val="nil"/>
          <w:between w:val="nil"/>
        </w:pBdr>
      </w:pPr>
    </w:p>
    <w:p w14:paraId="6C91FB41" w14:textId="77777777" w:rsidR="00883E16" w:rsidRDefault="00062B78">
      <w:r>
        <w:t>Introduce dynamic SLA threshold monitoring during peak periods.</w:t>
      </w:r>
    </w:p>
    <w:p w14:paraId="3760D00B" w14:textId="77777777" w:rsidR="00883E16" w:rsidRDefault="00883E16">
      <w:pPr>
        <w:pBdr>
          <w:top w:val="nil"/>
          <w:left w:val="nil"/>
          <w:bottom w:val="nil"/>
          <w:right w:val="nil"/>
          <w:between w:val="nil"/>
        </w:pBdr>
      </w:pPr>
    </w:p>
    <w:p w14:paraId="181A1156" w14:textId="77777777" w:rsidR="00883E16" w:rsidRDefault="00062B78">
      <w:r>
        <w:t>Conduct monthly KPI</w:t>
      </w:r>
      <w:r>
        <w:t xml:space="preserve"> governance review to monitor trend changes.</w:t>
      </w:r>
    </w:p>
    <w:p w14:paraId="3B17D3D4" w14:textId="77777777" w:rsidR="00883E16" w:rsidRDefault="00062B78">
      <w:pPr>
        <w:pStyle w:val="Heading3"/>
      </w:pPr>
      <w:bookmarkStart w:id="37" w:name="_1552s4enzeuj" w:colFirst="0" w:colLast="0"/>
      <w:bookmarkEnd w:id="37"/>
      <w:r>
        <w:t>Risks &amp; Future Improvements</w:t>
      </w:r>
    </w:p>
    <w:p w14:paraId="1C263FB7" w14:textId="77777777" w:rsidR="00883E16" w:rsidRDefault="00062B78">
      <w:r>
        <w:t>Dashboard does not include agent-level productivity metrics.</w:t>
      </w:r>
    </w:p>
    <w:p w14:paraId="0266FED7" w14:textId="77777777" w:rsidR="00883E16" w:rsidRDefault="00883E16">
      <w:pPr>
        <w:pBdr>
          <w:top w:val="nil"/>
          <w:left w:val="nil"/>
          <w:bottom w:val="nil"/>
          <w:right w:val="nil"/>
          <w:between w:val="nil"/>
        </w:pBdr>
      </w:pPr>
    </w:p>
    <w:p w14:paraId="444B29CA" w14:textId="77777777" w:rsidR="00883E16" w:rsidRDefault="00062B78">
      <w:r>
        <w:t>No visibility into root operational causes such as staffing or shift coverage.</w:t>
      </w:r>
    </w:p>
    <w:p w14:paraId="128F0042" w14:textId="77777777" w:rsidR="00883E16" w:rsidRDefault="00883E16">
      <w:pPr>
        <w:pBdr>
          <w:top w:val="nil"/>
          <w:left w:val="nil"/>
          <w:bottom w:val="nil"/>
          <w:right w:val="nil"/>
          <w:between w:val="nil"/>
        </w:pBdr>
      </w:pPr>
    </w:p>
    <w:p w14:paraId="13098E3D" w14:textId="77777777" w:rsidR="00883E16" w:rsidRDefault="00062B78">
      <w:r>
        <w:t>Future enhancement should include predict</w:t>
      </w:r>
      <w:r>
        <w:t>ive breach modeling based on case inflow patterns.</w:t>
      </w:r>
    </w:p>
    <w:p w14:paraId="70A27EB8" w14:textId="77777777" w:rsidR="00883E16" w:rsidRDefault="00883E16">
      <w:pPr>
        <w:pBdr>
          <w:top w:val="nil"/>
          <w:left w:val="nil"/>
          <w:bottom w:val="nil"/>
          <w:right w:val="nil"/>
          <w:between w:val="nil"/>
        </w:pBdr>
      </w:pPr>
    </w:p>
    <w:p w14:paraId="24E43A67" w14:textId="77777777" w:rsidR="00883E16" w:rsidRDefault="00062B78">
      <w:r>
        <w:t>Incorporate customer satisfaction metrics to align SLA with service perception.</w:t>
      </w:r>
    </w:p>
    <w:sectPr w:rsidR="00883E1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Inter">
    <w:charset w:val="00"/>
    <w:family w:val="auto"/>
    <w:pitch w:val="default"/>
    <w:embedRegular r:id="rId1" w:fontKey="{94FA67AC-F00C-4CFC-8C2D-639B3CAC8A5A}"/>
    <w:embedBold r:id="rId2" w:fontKey="{3D3FEE5D-923E-428A-923B-95DBEECD403B}"/>
    <w:embedItalic r:id="rId3" w:fontKey="{F36DBF3A-D1DC-4409-9027-165BBD9B2EE6}"/>
    <w:embedBoldItalic r:id="rId4" w:fontKey="{45D6C736-46C2-4360-9267-58F70FB0A456}"/>
  </w:font>
  <w:font w:name="Inter Medium">
    <w:charset w:val="00"/>
    <w:family w:val="auto"/>
    <w:pitch w:val="default"/>
    <w:embedRegular r:id="rId5" w:fontKey="{98E8BC36-4B62-443E-A89D-DCF1EAA8572D}"/>
    <w:embedBold r:id="rId6" w:fontKey="{71633210-2898-440C-8C99-06C20183C41E}"/>
    <w:embedBoldItalic r:id="rId7" w:fontKey="{85B516CF-8BAC-4A1F-B742-A029514B1FB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auto"/>
    <w:pitch w:val="default"/>
    <w:embedRegular r:id="rId8" w:fontKey="{E130BE6C-54E4-4B83-A04D-A4746E5595F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61AF751D-AB96-42BB-AF8E-2CFD15CEFD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BF66C026-D3C3-4F61-A406-973E1D0E14C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F044EF"/>
    <w:multiLevelType w:val="multilevel"/>
    <w:tmpl w:val="8FAC335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33E63E4"/>
    <w:multiLevelType w:val="multilevel"/>
    <w:tmpl w:val="FDF4301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72034A5"/>
    <w:multiLevelType w:val="multilevel"/>
    <w:tmpl w:val="D446376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97D6B8D"/>
    <w:multiLevelType w:val="multilevel"/>
    <w:tmpl w:val="AEA8EA4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0155BF8"/>
    <w:multiLevelType w:val="multilevel"/>
    <w:tmpl w:val="FFB8C56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14A7809"/>
    <w:multiLevelType w:val="multilevel"/>
    <w:tmpl w:val="A5124F1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60C35CC9"/>
    <w:multiLevelType w:val="multilevel"/>
    <w:tmpl w:val="A2FC43F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62646773"/>
    <w:multiLevelType w:val="multilevel"/>
    <w:tmpl w:val="D1C4EC0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62C90911"/>
    <w:multiLevelType w:val="multilevel"/>
    <w:tmpl w:val="1610DED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67917006"/>
    <w:multiLevelType w:val="multilevel"/>
    <w:tmpl w:val="CA885CE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695B2722"/>
    <w:multiLevelType w:val="multilevel"/>
    <w:tmpl w:val="D4A0A4F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79311D09"/>
    <w:multiLevelType w:val="multilevel"/>
    <w:tmpl w:val="0CEAD50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8"/>
  </w:num>
  <w:num w:numId="2">
    <w:abstractNumId w:val="1"/>
  </w:num>
  <w:num w:numId="3">
    <w:abstractNumId w:val="0"/>
  </w:num>
  <w:num w:numId="4">
    <w:abstractNumId w:val="10"/>
  </w:num>
  <w:num w:numId="5">
    <w:abstractNumId w:val="9"/>
  </w:num>
  <w:num w:numId="6">
    <w:abstractNumId w:val="7"/>
  </w:num>
  <w:num w:numId="7">
    <w:abstractNumId w:val="4"/>
  </w:num>
  <w:num w:numId="8">
    <w:abstractNumId w:val="11"/>
  </w:num>
  <w:num w:numId="9">
    <w:abstractNumId w:val="2"/>
  </w:num>
  <w:num w:numId="10">
    <w:abstractNumId w:val="3"/>
  </w:num>
  <w:num w:numId="11">
    <w:abstractNumId w:val="5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3E16"/>
    <w:rsid w:val="00062B78"/>
    <w:rsid w:val="00883E16"/>
    <w:rsid w:val="00AE3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55FFB"/>
  <w15:docId w15:val="{648B10BB-FFDE-47AE-961B-22DCEDCC3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Inter" w:eastAsia="Inter" w:hAnsi="Inter" w:cs="Inter"/>
        <w:color w:val="1F1F1F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rFonts w:ascii="Inter Medium" w:eastAsia="Inter Medium" w:hAnsi="Inter Medium" w:cs="Inter Medium"/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rFonts w:ascii="Inter Medium" w:eastAsia="Inter Medium" w:hAnsi="Inter Medium" w:cs="Inter Medium"/>
      <w:b/>
      <w:bCs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rFonts w:ascii="Inter Medium" w:eastAsia="Inter Medium" w:hAnsi="Inter Medium" w:cs="Inter Medium"/>
      <w:b/>
      <w:bCs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rFonts w:ascii="Inter Medium" w:eastAsia="Inter Medium" w:hAnsi="Inter Medium" w:cs="Inter Medium"/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rFonts w:ascii="Inter Medium" w:eastAsia="Inter Medium" w:hAnsi="Inter Medium" w:cs="Inter Medium"/>
      <w:b/>
      <w:bCs/>
      <w:i/>
      <w:i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rFonts w:ascii="Inter Medium" w:eastAsia="Inter Medium" w:hAnsi="Inter Medium" w:cs="Inter Medium"/>
      <w:b/>
      <w:bCs/>
      <w:sz w:val="48"/>
      <w:szCs w:val="4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i/>
      <w:iCs/>
      <w:sz w:val="28"/>
      <w:szCs w:val="28"/>
    </w:rPr>
  </w:style>
  <w:style w:type="table" w:customStyle="1" w:styleId="a">
    <w:basedOn w:val="TableNormal0"/>
    <w:tblPr>
      <w:tblStyleRowBandSize w:val="1"/>
      <w:tblStyleColBandSize w:val="1"/>
    </w:tblPr>
    <w:tblStylePr w:type="firstRow">
      <w:rPr>
        <w:rFonts w:ascii="Inter Medium" w:eastAsia="Inter Medium" w:hAnsi="Inter Medium" w:cs="Inter Medium"/>
        <w:color w:val="1F1F1F"/>
        <w:sz w:val="22"/>
        <w:szCs w:val="22"/>
      </w:rPr>
      <w:tblPr/>
      <w:tcPr>
        <w:tcBorders>
          <w:top w:val="nil"/>
        </w:tcBorders>
        <w:shd w:val="clear" w:color="auto" w:fill="F2F2EF"/>
        <w:vAlign w:val="center"/>
      </w:tcPr>
    </w:tblStylePr>
  </w:style>
  <w:style w:type="table" w:customStyle="1" w:styleId="a0">
    <w:basedOn w:val="TableNormal0"/>
    <w:tblPr>
      <w:tblStyleRowBandSize w:val="1"/>
      <w:tblStyleColBandSize w:val="1"/>
    </w:tblPr>
    <w:tblStylePr w:type="firstRow">
      <w:rPr>
        <w:rFonts w:ascii="Inter Medium" w:eastAsia="Inter Medium" w:hAnsi="Inter Medium" w:cs="Inter Medium"/>
        <w:color w:val="1F1F1F"/>
        <w:sz w:val="22"/>
        <w:szCs w:val="22"/>
      </w:rPr>
      <w:tblPr/>
      <w:tcPr>
        <w:tcBorders>
          <w:top w:val="nil"/>
        </w:tcBorders>
        <w:shd w:val="clear" w:color="auto" w:fill="F2F2EF"/>
        <w:vAlign w:val="center"/>
      </w:tcPr>
    </w:tblStylePr>
  </w:style>
  <w:style w:type="table" w:customStyle="1" w:styleId="a1">
    <w:basedOn w:val="TableNormal0"/>
    <w:tblPr>
      <w:tblStyleRowBandSize w:val="1"/>
      <w:tblStyleColBandSize w:val="1"/>
    </w:tblPr>
    <w:tblStylePr w:type="firstRow">
      <w:rPr>
        <w:rFonts w:ascii="Inter Medium" w:eastAsia="Inter Medium" w:hAnsi="Inter Medium" w:cs="Inter Medium"/>
        <w:color w:val="1F1F1F"/>
        <w:sz w:val="22"/>
        <w:szCs w:val="22"/>
      </w:rPr>
      <w:tblPr/>
      <w:tcPr>
        <w:tcBorders>
          <w:top w:val="nil"/>
        </w:tcBorders>
        <w:shd w:val="clear" w:color="auto" w:fill="F2F2EF"/>
        <w:vAlign w:val="center"/>
      </w:tcPr>
    </w:tblStylePr>
  </w:style>
  <w:style w:type="table" w:customStyle="1" w:styleId="a2">
    <w:basedOn w:val="TableNormal0"/>
    <w:tblPr>
      <w:tblStyleRowBandSize w:val="1"/>
      <w:tblStyleColBandSize w:val="1"/>
    </w:tblPr>
    <w:tblStylePr w:type="firstRow">
      <w:rPr>
        <w:rFonts w:ascii="Inter Medium" w:eastAsia="Inter Medium" w:hAnsi="Inter Medium" w:cs="Inter Medium"/>
        <w:color w:val="1F1F1F"/>
        <w:sz w:val="22"/>
        <w:szCs w:val="22"/>
      </w:rPr>
      <w:tblPr/>
      <w:tcPr>
        <w:tcBorders>
          <w:top w:val="nil"/>
        </w:tcBorders>
        <w:shd w:val="clear" w:color="auto" w:fill="F2F2EF"/>
        <w:vAlign w:val="center"/>
      </w:tcPr>
    </w:tblStylePr>
  </w:style>
  <w:style w:type="table" w:customStyle="1" w:styleId="a3">
    <w:basedOn w:val="TableNormal0"/>
    <w:tblPr>
      <w:tblStyleRowBandSize w:val="1"/>
      <w:tblStyleColBandSize w:val="1"/>
    </w:tblPr>
    <w:tblStylePr w:type="firstRow">
      <w:rPr>
        <w:rFonts w:ascii="Inter Medium" w:eastAsia="Inter Medium" w:hAnsi="Inter Medium" w:cs="Inter Medium"/>
        <w:color w:val="1F1F1F"/>
        <w:sz w:val="22"/>
        <w:szCs w:val="22"/>
      </w:rPr>
      <w:tblPr/>
      <w:tcPr>
        <w:tcBorders>
          <w:top w:val="nil"/>
        </w:tcBorders>
        <w:shd w:val="clear" w:color="auto" w:fill="F2F2EF"/>
        <w:vAlign w:val="center"/>
      </w:tcPr>
    </w:tblStylePr>
  </w:style>
  <w:style w:type="table" w:customStyle="1" w:styleId="a4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1540</Words>
  <Characters>8780</Characters>
  <Application>Microsoft Office Word</Application>
  <DocSecurity>0</DocSecurity>
  <Lines>73</Lines>
  <Paragraphs>20</Paragraphs>
  <ScaleCrop>false</ScaleCrop>
  <Company/>
  <LinksUpToDate>false</LinksUpToDate>
  <CharactersWithSpaces>10300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Amita Uniyal</cp:lastModifiedBy>
  <cp:revision>3</cp:revision>
  <dcterms:created xsi:type="dcterms:W3CDTF">2026-02-19T06:15:00Z</dcterms:created>
  <dcterms:modified xsi:type="dcterms:W3CDTF">2026-02-19T06:20:00Z</dcterms:modified>
</cp:coreProperties>
</file>