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7CBAF" w14:textId="77777777" w:rsidR="00322741" w:rsidRDefault="00322741" w:rsidP="00322741">
      <w:pPr>
        <w:jc w:val="center"/>
      </w:pPr>
    </w:p>
    <w:p w14:paraId="46B6DCDF" w14:textId="77777777" w:rsidR="00322741" w:rsidRDefault="00322741" w:rsidP="00322741">
      <w:pPr>
        <w:jc w:val="center"/>
      </w:pPr>
    </w:p>
    <w:p w14:paraId="0526B4F2" w14:textId="77777777" w:rsidR="00322741" w:rsidRDefault="00322741" w:rsidP="00322741">
      <w:pPr>
        <w:jc w:val="center"/>
      </w:pPr>
    </w:p>
    <w:p w14:paraId="2B83553E" w14:textId="77777777" w:rsidR="00322741" w:rsidRDefault="00322741" w:rsidP="00322741">
      <w:pPr>
        <w:jc w:val="center"/>
      </w:pPr>
    </w:p>
    <w:p w14:paraId="43BBF0B8" w14:textId="77777777" w:rsidR="00322741" w:rsidRDefault="00322741" w:rsidP="00322741">
      <w:pPr>
        <w:jc w:val="center"/>
      </w:pPr>
    </w:p>
    <w:p w14:paraId="7855AEF7" w14:textId="77777777" w:rsidR="00322741" w:rsidRDefault="00322741" w:rsidP="00322741">
      <w:pPr>
        <w:jc w:val="center"/>
      </w:pPr>
    </w:p>
    <w:p w14:paraId="78301011" w14:textId="77777777" w:rsidR="00322741" w:rsidRDefault="00322741" w:rsidP="00322741">
      <w:pPr>
        <w:jc w:val="center"/>
      </w:pPr>
    </w:p>
    <w:p w14:paraId="07BCAAEC" w14:textId="0C11BFCA" w:rsidR="00322741" w:rsidRPr="00322741" w:rsidRDefault="00322741" w:rsidP="00322741">
      <w:pPr>
        <w:jc w:val="center"/>
        <w:rPr>
          <w:sz w:val="40"/>
          <w:szCs w:val="40"/>
        </w:rPr>
      </w:pPr>
      <w:r w:rsidRPr="00322741">
        <w:rPr>
          <w:sz w:val="40"/>
          <w:szCs w:val="40"/>
        </w:rPr>
        <w:t xml:space="preserve">EDA Report </w:t>
      </w:r>
    </w:p>
    <w:p w14:paraId="6DAEAE0F" w14:textId="3B8A8E76" w:rsidR="00322741" w:rsidRDefault="00322741" w:rsidP="00322741">
      <w:pPr>
        <w:jc w:val="center"/>
      </w:pPr>
      <w:r>
        <w:t>Team Lead:</w:t>
      </w:r>
      <w:r w:rsidR="008A6E1A">
        <w:t xml:space="preserve"> Amita Patil</w:t>
      </w:r>
    </w:p>
    <w:p w14:paraId="784ABC74" w14:textId="458B47E4" w:rsidR="00322741" w:rsidRDefault="00322741" w:rsidP="00322741">
      <w:pPr>
        <w:jc w:val="center"/>
      </w:pPr>
      <w:r>
        <w:t>Recorder:</w:t>
      </w:r>
      <w:r w:rsidR="008A6E1A">
        <w:t xml:space="preserve"> Hunter Huberdeau</w:t>
      </w:r>
    </w:p>
    <w:p w14:paraId="4AACEF92" w14:textId="5E32E30D" w:rsidR="00322741" w:rsidRDefault="00322741" w:rsidP="00322741">
      <w:pPr>
        <w:jc w:val="center"/>
      </w:pPr>
      <w:r>
        <w:t>Spokesperson:</w:t>
      </w:r>
      <w:r w:rsidR="008A6E1A">
        <w:t xml:space="preserve"> Eliel Polanco, Hayden Realmuto</w:t>
      </w:r>
    </w:p>
    <w:p w14:paraId="02158866" w14:textId="0F1E52A0" w:rsidR="00322741" w:rsidRDefault="00322741">
      <w:r>
        <w:br w:type="page"/>
      </w:r>
    </w:p>
    <w:p w14:paraId="195485FE" w14:textId="759396B8" w:rsidR="00322741" w:rsidRDefault="00322741" w:rsidP="00322741">
      <w:pPr>
        <w:pStyle w:val="Heading1"/>
        <w:rPr>
          <w:color w:val="auto"/>
        </w:rPr>
      </w:pPr>
      <w:r>
        <w:rPr>
          <w:color w:val="auto"/>
        </w:rPr>
        <w:lastRenderedPageBreak/>
        <w:t>Background</w:t>
      </w:r>
      <w:r w:rsidR="000A7C2D">
        <w:rPr>
          <w:color w:val="auto"/>
        </w:rPr>
        <w:t xml:space="preserve"> and Introduction</w:t>
      </w:r>
    </w:p>
    <w:p w14:paraId="33816CE9" w14:textId="59544FE7" w:rsidR="00322741" w:rsidRDefault="00322741" w:rsidP="00C81EF6">
      <w:pPr>
        <w:spacing w:line="480" w:lineRule="auto"/>
      </w:pPr>
      <w:r w:rsidRPr="00322741">
        <w:t>Understanding and anticipating the investment decisions of influential figures</w:t>
      </w:r>
      <w:r w:rsidR="00A26E29">
        <w:t xml:space="preserve"> </w:t>
      </w:r>
      <w:r w:rsidRPr="00322741">
        <w:t>has long been a subject of interest in financial markets.</w:t>
      </w:r>
      <w:r w:rsidR="00A26E29">
        <w:t xml:space="preserve"> Warren</w:t>
      </w:r>
      <w:r w:rsidRPr="00322741">
        <w:t xml:space="preserve"> Buffett, renowned for his disciplined value investing approach, focuses on identifying fundamentally strong yet undervalued companies</w:t>
      </w:r>
      <w:r w:rsidR="00A26E29">
        <w:t xml:space="preserve"> </w:t>
      </w:r>
      <w:r w:rsidR="00A26E29" w:rsidRPr="00A26E29">
        <w:t>(Hagstrom, 2013)</w:t>
      </w:r>
      <w:r w:rsidRPr="00322741">
        <w:t xml:space="preserve">. Investors and financial professionals closely track his moves through SEC filings and media reports, but these sources provide insights only in retrospect. </w:t>
      </w:r>
      <w:r w:rsidR="00A26E29">
        <w:t>Team Lambda aspires</w:t>
      </w:r>
      <w:r w:rsidRPr="00322741">
        <w:t xml:space="preserve"> to bridge that gap by leveraging </w:t>
      </w:r>
      <w:proofErr w:type="gramStart"/>
      <w:r w:rsidRPr="00322741">
        <w:t>machine</w:t>
      </w:r>
      <w:proofErr w:type="gramEnd"/>
      <w:r w:rsidRPr="00322741">
        <w:t xml:space="preserve"> learning to predict which stocks Buffett is likely to buy next, based on historical data and company-level financial indicators. By </w:t>
      </w:r>
      <w:r w:rsidR="00A26E29">
        <w:t xml:space="preserve">deploying predictive modeling and analysis, </w:t>
      </w:r>
      <w:r w:rsidRPr="00322741">
        <w:t>we aim to create a decision-support tool that empowers individual investors with insights traditionally available only after the fact.</w:t>
      </w:r>
      <w:r w:rsidR="00FE012D">
        <w:t xml:space="preserve"> </w:t>
      </w:r>
    </w:p>
    <w:p w14:paraId="34088F11" w14:textId="77777777" w:rsidR="00FE012D" w:rsidRDefault="00FE012D" w:rsidP="00C81EF6">
      <w:pPr>
        <w:spacing w:line="480" w:lineRule="auto"/>
      </w:pPr>
      <w:r w:rsidRPr="00FE012D">
        <w:t>The intersection of behavioral finance and predictive analytics presents a compelling opportunity to model Buffett’s investment patterns. While previous research has explored stock price prediction and portfolio performance modeling, few studies have specifically attempted to emulate the buy decision-making process of a known value investor using explainable machine learning models (Fischer &amp; Krauss, 2018). Our approach is novel in that it does not merely assess market trends but seeks to identify the financial characteristics that make a stock appealing to Buffett before he</w:t>
      </w:r>
      <w:r>
        <w:t xml:space="preserve"> purchases</w:t>
      </w:r>
      <w:r w:rsidRPr="00FE012D">
        <w:t xml:space="preserve">. </w:t>
      </w:r>
    </w:p>
    <w:p w14:paraId="5BC7B864" w14:textId="4EE5B064" w:rsidR="00FE012D" w:rsidRDefault="00FE012D" w:rsidP="00C81EF6">
      <w:pPr>
        <w:spacing w:line="480" w:lineRule="auto"/>
      </w:pPr>
      <w:r w:rsidRPr="00FE012D">
        <w:t>We hypothesize that historical financial metrics such as a low price-to-</w:t>
      </w:r>
      <w:proofErr w:type="gramStart"/>
      <w:r w:rsidRPr="00FE012D">
        <w:t>earnings</w:t>
      </w:r>
      <w:proofErr w:type="gramEnd"/>
      <w:r w:rsidRPr="00FE012D">
        <w:t xml:space="preserve"> (P/E) ratio, strong revenue growth, and high dividend yield are significant predictors of his stock selections. This is because Buffett prioritizes companies that exhibit financial strength, are </w:t>
      </w:r>
      <w:r w:rsidRPr="00FE012D">
        <w:lastRenderedPageBreak/>
        <w:t xml:space="preserve">undervalued relative to their intrinsic worth, and demonstrate steady, long-term growth potential (Buffett &amp; Cunningham, 2020). If successful, </w:t>
      </w:r>
      <w:r>
        <w:t xml:space="preserve">we predict </w:t>
      </w:r>
      <w:r w:rsidRPr="00FE012D">
        <w:t>this work could enhance traditional financial analysis by providing predictive insights into high-profile investment strategies, offering a practical tool for investors who seek to align their decisions with Buffett’s time-tested approach.</w:t>
      </w:r>
    </w:p>
    <w:p w14:paraId="0C87575E" w14:textId="5E2574F4" w:rsidR="004268CC" w:rsidRDefault="004268CC">
      <w:r>
        <w:br w:type="page"/>
      </w:r>
    </w:p>
    <w:p w14:paraId="7E87D4E1" w14:textId="2B532BDA" w:rsidR="00322741" w:rsidRDefault="00322741" w:rsidP="00322741">
      <w:pPr>
        <w:pStyle w:val="Heading1"/>
        <w:rPr>
          <w:color w:val="auto"/>
        </w:rPr>
      </w:pPr>
      <w:r>
        <w:rPr>
          <w:color w:val="auto"/>
        </w:rPr>
        <w:lastRenderedPageBreak/>
        <w:t>Methods</w:t>
      </w:r>
    </w:p>
    <w:p w14:paraId="39CA2BBD" w14:textId="051641CD" w:rsidR="004268CC" w:rsidRPr="004268CC" w:rsidRDefault="004268CC" w:rsidP="004268CC">
      <w:pPr>
        <w:pStyle w:val="Heading2"/>
        <w:rPr>
          <w:color w:val="auto"/>
        </w:rPr>
      </w:pPr>
      <w:r>
        <w:rPr>
          <w:color w:val="auto"/>
        </w:rPr>
        <w:t>Dataset and Cleaning</w:t>
      </w:r>
    </w:p>
    <w:p w14:paraId="7A70D22B" w14:textId="634BB7EB" w:rsidR="00AF1E0E" w:rsidRDefault="00DA0B2D" w:rsidP="00C81EF6">
      <w:pPr>
        <w:spacing w:line="480" w:lineRule="auto"/>
      </w:pPr>
      <w:r>
        <w:t>Individual stock data</w:t>
      </w:r>
      <w:r w:rsidR="00330B28">
        <w:t>,</w:t>
      </w:r>
      <w:r>
        <w:t xml:space="preserve"> sourced from Bloomberg</w:t>
      </w:r>
      <w:r w:rsidR="00330B28">
        <w:t xml:space="preserve">, was pulled </w:t>
      </w:r>
      <w:r>
        <w:t xml:space="preserve">as </w:t>
      </w:r>
      <w:r w:rsidR="00F14BDD">
        <w:t xml:space="preserve">individual files representing </w:t>
      </w:r>
      <w:r w:rsidR="00386DAE">
        <w:t>quarterly</w:t>
      </w:r>
      <w:r w:rsidR="00F14BDD">
        <w:t xml:space="preserve"> snapshot</w:t>
      </w:r>
      <w:r w:rsidR="00386DAE">
        <w:t>s</w:t>
      </w:r>
      <w:r w:rsidR="00F14BDD">
        <w:t xml:space="preserve"> from Q1 2007 to Q4 2024. </w:t>
      </w:r>
      <w:r w:rsidR="000B25FD">
        <w:t xml:space="preserve">These files </w:t>
      </w:r>
      <w:r w:rsidR="00123C02">
        <w:t>were</w:t>
      </w:r>
      <w:r w:rsidR="000B25FD">
        <w:t xml:space="preserve"> merged on column header</w:t>
      </w:r>
      <w:r w:rsidR="006602AE">
        <w:t>s</w:t>
      </w:r>
      <w:r w:rsidR="007610BB">
        <w:t xml:space="preserve"> for a dataset containing all stock data. </w:t>
      </w:r>
      <w:r w:rsidR="007B4999">
        <w:t>Warren Buffett</w:t>
      </w:r>
      <w:r w:rsidR="00412D3F">
        <w:t xml:space="preserve">’s portfolio activity </w:t>
      </w:r>
      <w:r w:rsidR="00710A10">
        <w:t>is</w:t>
      </w:r>
      <w:r w:rsidR="007B4999">
        <w:t xml:space="preserve"> sourced from </w:t>
      </w:r>
      <w:proofErr w:type="spellStart"/>
      <w:r w:rsidR="00412D3F" w:rsidRPr="00412D3F">
        <w:t>D</w:t>
      </w:r>
      <w:r w:rsidR="00412D3F">
        <w:t>ataroma</w:t>
      </w:r>
      <w:proofErr w:type="spellEnd"/>
      <w:r w:rsidR="000E567A">
        <w:t xml:space="preserve">, filtered </w:t>
      </w:r>
      <w:r w:rsidR="00BD75BE">
        <w:t xml:space="preserve">on activity representing a buy (initial purchases and </w:t>
      </w:r>
      <w:r w:rsidR="00E814F8">
        <w:t>additional purchases of existing holdings),</w:t>
      </w:r>
      <w:r w:rsidR="00E52815">
        <w:t xml:space="preserve"> </w:t>
      </w:r>
      <w:r w:rsidR="00790CB2">
        <w:t>then a label was created</w:t>
      </w:r>
      <w:r w:rsidR="00EB1400">
        <w:t xml:space="preserve"> </w:t>
      </w:r>
      <w:r w:rsidR="007D1FBF">
        <w:t xml:space="preserve">to indicate 1 for </w:t>
      </w:r>
      <w:r w:rsidR="009B54BC">
        <w:t>all purchase activity. Economic</w:t>
      </w:r>
      <w:r w:rsidR="00330B28">
        <w:t xml:space="preserve"> </w:t>
      </w:r>
      <w:proofErr w:type="gramStart"/>
      <w:r w:rsidR="00330B28">
        <w:t>data</w:t>
      </w:r>
      <w:r w:rsidR="009B54BC">
        <w:t>,</w:t>
      </w:r>
      <w:proofErr w:type="gramEnd"/>
      <w:r w:rsidR="009B54BC">
        <w:t xml:space="preserve"> sourced from Bloomberg, </w:t>
      </w:r>
      <w:r w:rsidR="000663DE">
        <w:t xml:space="preserve">was pulled </w:t>
      </w:r>
      <w:r w:rsidR="00330B28">
        <w:t xml:space="preserve">in </w:t>
      </w:r>
      <w:r w:rsidR="0033641E">
        <w:t>three month</w:t>
      </w:r>
      <w:r w:rsidR="001A05C0">
        <w:t xml:space="preserve"> increments </w:t>
      </w:r>
      <w:r w:rsidR="002B2991">
        <w:t xml:space="preserve">to </w:t>
      </w:r>
      <w:r w:rsidR="000663DE">
        <w:t xml:space="preserve">match the </w:t>
      </w:r>
      <w:r w:rsidR="00966027">
        <w:t>quarterly label</w:t>
      </w:r>
      <w:r w:rsidR="00795F87">
        <w:t xml:space="preserve"> for a merge</w:t>
      </w:r>
      <w:r w:rsidR="002B2991">
        <w:t xml:space="preserve">. The dates were changed from short form </w:t>
      </w:r>
      <w:r w:rsidR="00795F87">
        <w:t>(</w:t>
      </w:r>
      <w:proofErr w:type="spellStart"/>
      <w:r w:rsidR="00795F87">
        <w:t>eg.</w:t>
      </w:r>
      <w:proofErr w:type="spellEnd"/>
      <w:r w:rsidR="007F45C2">
        <w:t xml:space="preserve"> </w:t>
      </w:r>
      <w:r w:rsidR="00795F87">
        <w:t>03/</w:t>
      </w:r>
      <w:r w:rsidR="0079350E">
        <w:t>31/24</w:t>
      </w:r>
      <w:r w:rsidR="007F45C2">
        <w:t>)</w:t>
      </w:r>
      <w:r w:rsidR="00666CFA">
        <w:t xml:space="preserve"> </w:t>
      </w:r>
      <w:r w:rsidR="006A32E0">
        <w:t>into two columns</w:t>
      </w:r>
      <w:r w:rsidR="00E5371C">
        <w:t xml:space="preserve">, Quarter </w:t>
      </w:r>
      <w:r w:rsidR="00DD7BCA">
        <w:t xml:space="preserve">(Q1) </w:t>
      </w:r>
      <w:r w:rsidR="00E5371C">
        <w:t>and Year</w:t>
      </w:r>
      <w:r w:rsidR="00DD7BCA">
        <w:t xml:space="preserve"> (2024)</w:t>
      </w:r>
      <w:r w:rsidR="00E5371C">
        <w:t>.</w:t>
      </w:r>
      <w:r w:rsidR="00666CFA">
        <w:t xml:space="preserve"> </w:t>
      </w:r>
      <w:r w:rsidR="00E523C1">
        <w:t>These three datasets were then combine</w:t>
      </w:r>
      <w:r w:rsidR="00BF77AC">
        <w:t xml:space="preserve">d. Stock data and purchase activity </w:t>
      </w:r>
      <w:r w:rsidR="00133246">
        <w:t xml:space="preserve">merged on Ticker </w:t>
      </w:r>
      <w:r w:rsidR="002E7013">
        <w:t xml:space="preserve">Quarter and Year. Stock data and economic data merged on Quarter and </w:t>
      </w:r>
      <w:r w:rsidR="006602AE">
        <w:t xml:space="preserve">Year. </w:t>
      </w:r>
    </w:p>
    <w:p w14:paraId="48515A42" w14:textId="4D903F78" w:rsidR="00AF1E0E" w:rsidRPr="00C81EF6" w:rsidRDefault="00C81EF6" w:rsidP="00C81EF6">
      <w:pPr>
        <w:pStyle w:val="Heading2"/>
        <w:rPr>
          <w:color w:val="auto"/>
        </w:rPr>
      </w:pPr>
      <w:r>
        <w:rPr>
          <w:color w:val="auto"/>
        </w:rPr>
        <w:t>Execution of Exploratory Data Analysis (EDA)</w:t>
      </w:r>
    </w:p>
    <w:p w14:paraId="3D7B8646" w14:textId="5490451D" w:rsidR="00AF1E0E" w:rsidRPr="00AF1E0E" w:rsidRDefault="00AF1E0E" w:rsidP="008A6E1A">
      <w:pPr>
        <w:spacing w:line="480" w:lineRule="auto"/>
      </w:pPr>
      <w:r w:rsidRPr="00AF1E0E">
        <w:t xml:space="preserve">To perform Exploratory Data Analysis (EDA), </w:t>
      </w:r>
      <w:r>
        <w:t xml:space="preserve">we </w:t>
      </w:r>
      <w:r w:rsidRPr="00AF1E0E">
        <w:t xml:space="preserve">started by analyzing the dataset's structure, including checking for missing values, duplicates, and data types. </w:t>
      </w:r>
      <w:r>
        <w:t>We</w:t>
      </w:r>
      <w:r w:rsidRPr="00AF1E0E">
        <w:t xml:space="preserve"> handled missing values by </w:t>
      </w:r>
      <w:proofErr w:type="gramStart"/>
      <w:r w:rsidRPr="00AF1E0E">
        <w:t>imputing</w:t>
      </w:r>
      <w:proofErr w:type="gramEnd"/>
      <w:r w:rsidRPr="00AF1E0E">
        <w:t xml:space="preserve"> numerical columns with the mean and categorical columns with the mode to ensure data completeness. </w:t>
      </w:r>
      <w:r>
        <w:t>We</w:t>
      </w:r>
      <w:r w:rsidRPr="00AF1E0E">
        <w:t xml:space="preserve"> also removed duplicate rows to maintain data integrity. For feature selection, </w:t>
      </w:r>
      <w:proofErr w:type="gramStart"/>
      <w:r>
        <w:t>We</w:t>
      </w:r>
      <w:proofErr w:type="gramEnd"/>
      <w:r w:rsidRPr="00AF1E0E">
        <w:t xml:space="preserve"> focused on financial metrics (e.g., P/E, Profit Margin), macroeconomic indicators (e.g., GDP CYOY Index, VIX Index), and categorical/time-based features (e.g., Sector, Year) that are most relevant to predicting investor decisions.</w:t>
      </w:r>
    </w:p>
    <w:p w14:paraId="2A9F22C4" w14:textId="613D4EE0" w:rsidR="00AF4881" w:rsidRDefault="00AF1E0E" w:rsidP="008A6E1A">
      <w:pPr>
        <w:spacing w:line="480" w:lineRule="auto"/>
      </w:pPr>
      <w:r>
        <w:t>We</w:t>
      </w:r>
      <w:r w:rsidRPr="00AF1E0E">
        <w:t xml:space="preserve"> used visualizations such as histograms, scatter plots, and correlation heatmaps to understand the distribution of variables, relationships between features, and potential </w:t>
      </w:r>
      <w:r w:rsidRPr="00AF1E0E">
        <w:lastRenderedPageBreak/>
        <w:t>multicollinearity. For example, scatter plots helped identify trends between macroeconomic indicators like CPI YOY Index and PPI YOY Index, while the correlation matrix highlighted redundant features. These methods were chosen to ensure a comprehensive understanding of the dataset and to identify patterns and relationships that could inform feature engineering and predictive modeling.</w:t>
      </w:r>
    </w:p>
    <w:p w14:paraId="603D1C83" w14:textId="237BB6A4" w:rsidR="008A6E1A" w:rsidRDefault="008A6E1A">
      <w:r>
        <w:br w:type="page"/>
      </w:r>
    </w:p>
    <w:p w14:paraId="5CB59E0C" w14:textId="0807C976" w:rsidR="00630C9D" w:rsidRPr="008A6E1A" w:rsidRDefault="00322741" w:rsidP="008A6E1A">
      <w:pPr>
        <w:pStyle w:val="Heading1"/>
        <w:rPr>
          <w:color w:val="auto"/>
        </w:rPr>
      </w:pPr>
      <w:r>
        <w:rPr>
          <w:color w:val="auto"/>
        </w:rPr>
        <w:lastRenderedPageBreak/>
        <w:t>Results</w:t>
      </w:r>
    </w:p>
    <w:p w14:paraId="701CEBC6" w14:textId="04F398B6" w:rsidR="00D26663" w:rsidRPr="004035D2" w:rsidRDefault="00D26663" w:rsidP="00D26663">
      <w:pPr>
        <w:pStyle w:val="Caption"/>
        <w:keepNext/>
        <w:rPr>
          <w:color w:val="auto"/>
        </w:rPr>
      </w:pPr>
      <w:r w:rsidRPr="004035D2">
        <w:rPr>
          <w:color w:val="auto"/>
        </w:rPr>
        <w:t xml:space="preserve">Figure </w:t>
      </w:r>
      <w:r w:rsidRPr="004035D2">
        <w:rPr>
          <w:color w:val="auto"/>
        </w:rPr>
        <w:fldChar w:fldCharType="begin"/>
      </w:r>
      <w:r w:rsidRPr="004035D2">
        <w:rPr>
          <w:color w:val="auto"/>
        </w:rPr>
        <w:instrText xml:space="preserve"> SEQ Figure \* ARABIC </w:instrText>
      </w:r>
      <w:r w:rsidRPr="004035D2">
        <w:rPr>
          <w:color w:val="auto"/>
        </w:rPr>
        <w:fldChar w:fldCharType="separate"/>
      </w:r>
      <w:r w:rsidR="004035D2" w:rsidRPr="004035D2">
        <w:rPr>
          <w:noProof/>
          <w:color w:val="auto"/>
        </w:rPr>
        <w:t>1</w:t>
      </w:r>
      <w:r w:rsidRPr="004035D2">
        <w:rPr>
          <w:color w:val="auto"/>
        </w:rPr>
        <w:fldChar w:fldCharType="end"/>
      </w:r>
      <w:r w:rsidRPr="004035D2">
        <w:rPr>
          <w:color w:val="auto"/>
        </w:rPr>
        <w:t xml:space="preserve">: Histograms of numeric features in the dataset. </w:t>
      </w:r>
    </w:p>
    <w:p w14:paraId="40C62144" w14:textId="0BF6F5CA" w:rsidR="003B72CB" w:rsidRDefault="00630C9D" w:rsidP="00D26663">
      <w:pPr>
        <w:keepNext/>
      </w:pPr>
      <w:r w:rsidRPr="00AF4881">
        <w:rPr>
          <w:noProof/>
        </w:rPr>
        <w:drawing>
          <wp:inline distT="0" distB="0" distL="0" distR="0" wp14:anchorId="288288A2" wp14:editId="6092EE98">
            <wp:extent cx="5613400" cy="4654444"/>
            <wp:effectExtent l="114300" t="114300" r="139700" b="146685"/>
            <wp:docPr id="1776863141"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63141" name="Picture 1" descr="A screenshot of a graph"/>
                    <pic:cNvPicPr/>
                  </pic:nvPicPr>
                  <pic:blipFill>
                    <a:blip r:embed="rId7"/>
                    <a:stretch>
                      <a:fillRect/>
                    </a:stretch>
                  </pic:blipFill>
                  <pic:spPr>
                    <a:xfrm>
                      <a:off x="0" y="0"/>
                      <a:ext cx="5615294" cy="46560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E00FEC" w14:textId="45994AD7" w:rsidR="003B72CB" w:rsidRDefault="004035D2" w:rsidP="002B464E">
      <w:pPr>
        <w:spacing w:line="480" w:lineRule="auto"/>
      </w:pPr>
      <w:r>
        <w:t xml:space="preserve">These select features- </w:t>
      </w:r>
      <w:r w:rsidR="003B72CB" w:rsidRPr="00D26663">
        <w:t>P/E, P/CF, P/B, Debt/Equity, FCF Gr</w:t>
      </w:r>
      <w:proofErr w:type="gramStart"/>
      <w:r w:rsidR="003B72CB" w:rsidRPr="00D26663">
        <w:t>, ,</w:t>
      </w:r>
      <w:proofErr w:type="gramEnd"/>
      <w:r w:rsidR="003B72CB" w:rsidRPr="00D26663">
        <w:t xml:space="preserve"> Profit Margin,</w:t>
      </w:r>
      <w:r>
        <w:t xml:space="preserve"> </w:t>
      </w:r>
      <w:r w:rsidR="003B72CB" w:rsidRPr="00D26663">
        <w:t>Market value % are highly right skewed , with most values concentrated near zero and few extreme outliers on the higher end. We will consider handling outliers or applying transformations to reduce skewness.</w:t>
      </w:r>
    </w:p>
    <w:p w14:paraId="7971B56E" w14:textId="41B87571" w:rsidR="00D26663" w:rsidRPr="00D26663" w:rsidRDefault="00D26663" w:rsidP="00D26663">
      <w:pPr>
        <w:pStyle w:val="Caption"/>
        <w:keepNext/>
        <w:rPr>
          <w:color w:val="auto"/>
        </w:rPr>
      </w:pPr>
      <w:r w:rsidRPr="00D26663">
        <w:rPr>
          <w:color w:val="auto"/>
        </w:rPr>
        <w:lastRenderedPageBreak/>
        <w:t xml:space="preserve">Figure </w:t>
      </w:r>
      <w:r w:rsidRPr="00D26663">
        <w:rPr>
          <w:color w:val="auto"/>
        </w:rPr>
        <w:fldChar w:fldCharType="begin"/>
      </w:r>
      <w:r w:rsidRPr="00D26663">
        <w:rPr>
          <w:color w:val="auto"/>
        </w:rPr>
        <w:instrText xml:space="preserve"> SEQ Figure \* ARABIC </w:instrText>
      </w:r>
      <w:r w:rsidRPr="00D26663">
        <w:rPr>
          <w:color w:val="auto"/>
        </w:rPr>
        <w:fldChar w:fldCharType="separate"/>
      </w:r>
      <w:r w:rsidR="004035D2">
        <w:rPr>
          <w:noProof/>
          <w:color w:val="auto"/>
        </w:rPr>
        <w:t>2</w:t>
      </w:r>
      <w:r w:rsidRPr="00D26663">
        <w:rPr>
          <w:color w:val="auto"/>
        </w:rPr>
        <w:fldChar w:fldCharType="end"/>
      </w:r>
      <w:r w:rsidRPr="00D26663">
        <w:rPr>
          <w:color w:val="auto"/>
        </w:rPr>
        <w:t>:</w:t>
      </w:r>
      <w:r>
        <w:rPr>
          <w:color w:val="auto"/>
        </w:rPr>
        <w:t xml:space="preserve"> Correlation matrix containing the first 17 selected variables which includes macro-</w:t>
      </w:r>
      <w:r w:rsidR="00FA26EA">
        <w:rPr>
          <w:color w:val="auto"/>
        </w:rPr>
        <w:t xml:space="preserve">economic </w:t>
      </w:r>
      <w:r>
        <w:rPr>
          <w:color w:val="auto"/>
        </w:rPr>
        <w:t>indicators.</w:t>
      </w:r>
      <w:r w:rsidRPr="00D26663">
        <w:rPr>
          <w:color w:val="auto"/>
        </w:rPr>
        <w:t xml:space="preserve"> </w:t>
      </w:r>
    </w:p>
    <w:p w14:paraId="35C9934E" w14:textId="7C04F6DA" w:rsidR="00630C9D" w:rsidRDefault="00D26663" w:rsidP="00630C9D">
      <w:r w:rsidRPr="00D26663">
        <w:rPr>
          <w:noProof/>
        </w:rPr>
        <w:drawing>
          <wp:inline distT="0" distB="0" distL="0" distR="0" wp14:anchorId="657EF1DE" wp14:editId="612D525B">
            <wp:extent cx="5895833" cy="4574940"/>
            <wp:effectExtent l="0" t="0" r="0" b="0"/>
            <wp:docPr id="55952155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21554" name="Picture 1" descr="A screenshot of a graph&#10;&#10;AI-generated content may be incorrect."/>
                    <pic:cNvPicPr/>
                  </pic:nvPicPr>
                  <pic:blipFill>
                    <a:blip r:embed="rId8"/>
                    <a:stretch>
                      <a:fillRect/>
                    </a:stretch>
                  </pic:blipFill>
                  <pic:spPr>
                    <a:xfrm>
                      <a:off x="0" y="0"/>
                      <a:ext cx="5925644" cy="4598072"/>
                    </a:xfrm>
                    <a:prstGeom prst="rect">
                      <a:avLst/>
                    </a:prstGeom>
                  </pic:spPr>
                </pic:pic>
              </a:graphicData>
            </a:graphic>
          </wp:inline>
        </w:drawing>
      </w:r>
    </w:p>
    <w:p w14:paraId="7C4F1BA4" w14:textId="38E60609" w:rsidR="004035D2" w:rsidRPr="00D26663" w:rsidRDefault="004035D2" w:rsidP="002B464E">
      <w:pPr>
        <w:spacing w:line="480" w:lineRule="auto"/>
      </w:pPr>
      <w:r w:rsidRPr="00D26663">
        <w:t>CPI YOY Index and PPI YOY Index are highly correlated</w:t>
      </w:r>
      <w:r>
        <w:t>.</w:t>
      </w:r>
      <w:r w:rsidRPr="00D26663">
        <w:t xml:space="preserve"> </w:t>
      </w:r>
      <w:r>
        <w:t>T</w:t>
      </w:r>
      <w:r w:rsidRPr="00D26663">
        <w:t>hey may provide redundant information in your dataset. will drop one of the columns.</w:t>
      </w:r>
      <w:r w:rsidR="002B464E">
        <w:t xml:space="preserve"> </w:t>
      </w:r>
      <w:r w:rsidR="002B464E" w:rsidRPr="002B464E">
        <w:t>Moderate negative correlation (~-0.40) between VIX Index and GDP CYOY Index, indicating that higher market volatility (VIX) is associated with lower GDP growth.</w:t>
      </w:r>
    </w:p>
    <w:p w14:paraId="36D3A45A" w14:textId="7CA38C48" w:rsidR="00F91FE9" w:rsidRPr="00F91FE9" w:rsidRDefault="00F91FE9" w:rsidP="00F91FE9">
      <w:pPr>
        <w:pStyle w:val="Caption"/>
        <w:keepNext/>
        <w:rPr>
          <w:color w:val="auto"/>
        </w:rPr>
      </w:pPr>
      <w:r w:rsidRPr="00F91FE9">
        <w:rPr>
          <w:color w:val="auto"/>
        </w:rPr>
        <w:lastRenderedPageBreak/>
        <w:t xml:space="preserve">Figure </w:t>
      </w:r>
      <w:r w:rsidRPr="00F91FE9">
        <w:rPr>
          <w:color w:val="auto"/>
        </w:rPr>
        <w:fldChar w:fldCharType="begin"/>
      </w:r>
      <w:r w:rsidRPr="00F91FE9">
        <w:rPr>
          <w:color w:val="auto"/>
        </w:rPr>
        <w:instrText xml:space="preserve"> SEQ Figure \* ARABIC </w:instrText>
      </w:r>
      <w:r w:rsidRPr="00F91FE9">
        <w:rPr>
          <w:color w:val="auto"/>
        </w:rPr>
        <w:fldChar w:fldCharType="separate"/>
      </w:r>
      <w:r w:rsidR="004035D2">
        <w:rPr>
          <w:noProof/>
          <w:color w:val="auto"/>
        </w:rPr>
        <w:t>3</w:t>
      </w:r>
      <w:r w:rsidRPr="00F91FE9">
        <w:rPr>
          <w:color w:val="auto"/>
        </w:rPr>
        <w:fldChar w:fldCharType="end"/>
      </w:r>
      <w:r w:rsidRPr="00F91FE9">
        <w:rPr>
          <w:color w:val="auto"/>
        </w:rPr>
        <w:t>: Scatter Plot of CPI YOY Index vs PPI YOY index.</w:t>
      </w:r>
    </w:p>
    <w:p w14:paraId="3020DDC7" w14:textId="77777777" w:rsidR="003B72CB" w:rsidRDefault="00F91FE9" w:rsidP="00630C9D">
      <w:r>
        <w:rPr>
          <w:noProof/>
        </w:rPr>
        <w:drawing>
          <wp:inline distT="0" distB="0" distL="0" distR="0" wp14:anchorId="77840D66" wp14:editId="17CB859E">
            <wp:extent cx="5304149" cy="4269851"/>
            <wp:effectExtent l="0" t="0" r="0" b="0"/>
            <wp:docPr id="1782771030"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71030" name="Picture 1" descr="A diagram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4989" cy="4359078"/>
                    </a:xfrm>
                    <a:prstGeom prst="rect">
                      <a:avLst/>
                    </a:prstGeom>
                    <a:noFill/>
                    <a:ln>
                      <a:noFill/>
                    </a:ln>
                  </pic:spPr>
                </pic:pic>
              </a:graphicData>
            </a:graphic>
          </wp:inline>
        </w:drawing>
      </w:r>
      <w:r>
        <w:t xml:space="preserve"> </w:t>
      </w:r>
    </w:p>
    <w:p w14:paraId="520C048E" w14:textId="77777777" w:rsidR="003B72CB" w:rsidRDefault="003B72CB" w:rsidP="002B464E">
      <w:pPr>
        <w:spacing w:line="480" w:lineRule="auto"/>
      </w:pPr>
      <w:r w:rsidRPr="003B72CB">
        <w:t>The points in the scatter plot form an upward trend, indicating a positive correlation between CPI YOY Index and PPI YOY Index.</w:t>
      </w:r>
    </w:p>
    <w:p w14:paraId="5B6A46E9" w14:textId="6C3582E4" w:rsidR="004035D2" w:rsidRPr="004035D2" w:rsidRDefault="004035D2" w:rsidP="004035D2">
      <w:pPr>
        <w:pStyle w:val="Caption"/>
        <w:keepNext/>
        <w:rPr>
          <w:color w:val="auto"/>
        </w:rPr>
      </w:pPr>
      <w:bookmarkStart w:id="0" w:name="_Ref194870111"/>
      <w:r w:rsidRPr="004035D2">
        <w:rPr>
          <w:color w:val="auto"/>
        </w:rPr>
        <w:lastRenderedPageBreak/>
        <w:t xml:space="preserve">Figure </w:t>
      </w:r>
      <w:r w:rsidRPr="004035D2">
        <w:rPr>
          <w:color w:val="auto"/>
        </w:rPr>
        <w:fldChar w:fldCharType="begin"/>
      </w:r>
      <w:r w:rsidRPr="004035D2">
        <w:rPr>
          <w:color w:val="auto"/>
        </w:rPr>
        <w:instrText xml:space="preserve"> SEQ Figure \* ARABIC </w:instrText>
      </w:r>
      <w:r w:rsidRPr="004035D2">
        <w:rPr>
          <w:color w:val="auto"/>
        </w:rPr>
        <w:fldChar w:fldCharType="separate"/>
      </w:r>
      <w:r w:rsidRPr="004035D2">
        <w:rPr>
          <w:noProof/>
          <w:color w:val="auto"/>
        </w:rPr>
        <w:t>4</w:t>
      </w:r>
      <w:r w:rsidRPr="004035D2">
        <w:rPr>
          <w:color w:val="auto"/>
        </w:rPr>
        <w:fldChar w:fldCharType="end"/>
      </w:r>
      <w:r w:rsidRPr="004035D2">
        <w:rPr>
          <w:color w:val="auto"/>
        </w:rPr>
        <w:t>: Average P/E Ratio over years</w:t>
      </w:r>
      <w:bookmarkEnd w:id="0"/>
    </w:p>
    <w:p w14:paraId="4FD852E4" w14:textId="77777777" w:rsidR="004035D2" w:rsidRDefault="004035D2" w:rsidP="004035D2">
      <w:pPr>
        <w:pStyle w:val="Caption"/>
        <w:keepNext/>
        <w:rPr>
          <w:color w:val="auto"/>
        </w:rPr>
      </w:pPr>
      <w:r>
        <w:rPr>
          <w:noProof/>
        </w:rPr>
        <w:drawing>
          <wp:inline distT="0" distB="0" distL="0" distR="0" wp14:anchorId="7D4CE1CB" wp14:editId="0C496C03">
            <wp:extent cx="5943600" cy="3824605"/>
            <wp:effectExtent l="0" t="0" r="0" b="4445"/>
            <wp:docPr id="1839867462" name="Picture 4"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67462" name="Picture 4" descr="A graph with a line and a lin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4605"/>
                    </a:xfrm>
                    <a:prstGeom prst="rect">
                      <a:avLst/>
                    </a:prstGeom>
                    <a:noFill/>
                    <a:ln>
                      <a:noFill/>
                    </a:ln>
                  </pic:spPr>
                </pic:pic>
              </a:graphicData>
            </a:graphic>
          </wp:inline>
        </w:drawing>
      </w:r>
    </w:p>
    <w:p w14:paraId="23E1A786" w14:textId="734D968E" w:rsidR="004035D2" w:rsidRDefault="004035D2" w:rsidP="002B464E">
      <w:pPr>
        <w:spacing w:line="480" w:lineRule="auto"/>
      </w:pPr>
      <w:r w:rsidRPr="004035D2">
        <w:t>This line plot shows the average P/E ratio over the years. The P/E ratio remained relatively stable between 2007 and 2019, fluctuating around 30–40. However, there was a sharp spike in 2020, likely due to market disruptions (COVID-19 pandemic), where stock prices increased disproportionately to earnings. After 2020, the P/E ratio dropped significantly and stabilized at lower levels in subsequent years.</w:t>
      </w:r>
    </w:p>
    <w:p w14:paraId="061F55A9" w14:textId="51D2ED2D" w:rsidR="004035D2" w:rsidRPr="004035D2" w:rsidRDefault="004035D2" w:rsidP="004035D2">
      <w:pPr>
        <w:pStyle w:val="Caption"/>
        <w:keepNext/>
        <w:rPr>
          <w:color w:val="auto"/>
        </w:rPr>
      </w:pPr>
      <w:bookmarkStart w:id="1" w:name="_Ref194870187"/>
      <w:r w:rsidRPr="004035D2">
        <w:rPr>
          <w:color w:val="auto"/>
        </w:rPr>
        <w:lastRenderedPageBreak/>
        <w:t xml:space="preserve">Figure </w:t>
      </w:r>
      <w:r w:rsidRPr="004035D2">
        <w:rPr>
          <w:color w:val="auto"/>
        </w:rPr>
        <w:fldChar w:fldCharType="begin"/>
      </w:r>
      <w:r w:rsidRPr="004035D2">
        <w:rPr>
          <w:color w:val="auto"/>
        </w:rPr>
        <w:instrText xml:space="preserve"> SEQ Figure \* ARABIC </w:instrText>
      </w:r>
      <w:r w:rsidRPr="004035D2">
        <w:rPr>
          <w:color w:val="auto"/>
        </w:rPr>
        <w:fldChar w:fldCharType="separate"/>
      </w:r>
      <w:r w:rsidRPr="004035D2">
        <w:rPr>
          <w:noProof/>
          <w:color w:val="auto"/>
        </w:rPr>
        <w:t>5</w:t>
      </w:r>
      <w:r w:rsidRPr="004035D2">
        <w:rPr>
          <w:color w:val="auto"/>
        </w:rPr>
        <w:fldChar w:fldCharType="end"/>
      </w:r>
      <w:r w:rsidRPr="004035D2">
        <w:rPr>
          <w:color w:val="auto"/>
        </w:rPr>
        <w:t>: Distribution of top sectors</w:t>
      </w:r>
      <w:bookmarkEnd w:id="1"/>
    </w:p>
    <w:p w14:paraId="4CE7929E" w14:textId="029158F7" w:rsidR="00F91FE9" w:rsidRDefault="00F91FE9" w:rsidP="00630C9D">
      <w:pPr>
        <w:rPr>
          <w:b/>
          <w:bCs/>
        </w:rPr>
      </w:pPr>
      <w:r>
        <w:rPr>
          <w:noProof/>
        </w:rPr>
        <w:drawing>
          <wp:inline distT="0" distB="0" distL="0" distR="0" wp14:anchorId="38ACF7C6" wp14:editId="68A57292">
            <wp:extent cx="5629523" cy="3359069"/>
            <wp:effectExtent l="0" t="0" r="0" b="0"/>
            <wp:docPr id="1391037639" name="Picture 2" descr="A chart showing a distribution of top sect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37639" name="Picture 2" descr="A chart showing a distribution of top secto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7225" cy="3369632"/>
                    </a:xfrm>
                    <a:prstGeom prst="rect">
                      <a:avLst/>
                    </a:prstGeom>
                    <a:noFill/>
                    <a:ln>
                      <a:noFill/>
                    </a:ln>
                  </pic:spPr>
                </pic:pic>
              </a:graphicData>
            </a:graphic>
          </wp:inline>
        </w:drawing>
      </w:r>
    </w:p>
    <w:p w14:paraId="4575D7DA" w14:textId="6FF4483B" w:rsidR="004035D2" w:rsidRPr="004035D2" w:rsidRDefault="004035D2" w:rsidP="002B464E">
      <w:pPr>
        <w:spacing w:line="480" w:lineRule="auto"/>
      </w:pPr>
      <w:r w:rsidRPr="004035D2">
        <w:t>The above plot focus</w:t>
      </w:r>
      <w:r>
        <w:t>es</w:t>
      </w:r>
      <w:r w:rsidRPr="004035D2">
        <w:t xml:space="preserve"> on top sectors, by grouping smaller sectors into "other", the plot highlights the top 10 most frequent sectors.</w:t>
      </w:r>
      <w:r>
        <w:t xml:space="preserve"> More analysis will be needed possibly breaking down the ‘other’ sector. </w:t>
      </w:r>
    </w:p>
    <w:p w14:paraId="4AA4B8A9" w14:textId="0085248C" w:rsidR="00F91FE9" w:rsidRPr="00F91FE9" w:rsidRDefault="00F91FE9" w:rsidP="00F91FE9">
      <w:pPr>
        <w:pStyle w:val="Caption"/>
        <w:keepNext/>
        <w:rPr>
          <w:color w:val="auto"/>
        </w:rPr>
      </w:pPr>
      <w:bookmarkStart w:id="2" w:name="_Ref194870237"/>
      <w:r w:rsidRPr="00F91FE9">
        <w:rPr>
          <w:color w:val="auto"/>
        </w:rPr>
        <w:t xml:space="preserve">Table </w:t>
      </w:r>
      <w:r w:rsidRPr="00F91FE9">
        <w:rPr>
          <w:color w:val="auto"/>
        </w:rPr>
        <w:fldChar w:fldCharType="begin"/>
      </w:r>
      <w:r w:rsidRPr="00F91FE9">
        <w:rPr>
          <w:color w:val="auto"/>
        </w:rPr>
        <w:instrText xml:space="preserve"> SEQ Table \* ARABIC </w:instrText>
      </w:r>
      <w:r w:rsidRPr="00F91FE9">
        <w:rPr>
          <w:color w:val="auto"/>
        </w:rPr>
        <w:fldChar w:fldCharType="separate"/>
      </w:r>
      <w:r w:rsidR="00C74E13">
        <w:rPr>
          <w:noProof/>
          <w:color w:val="auto"/>
        </w:rPr>
        <w:t>1</w:t>
      </w:r>
      <w:r w:rsidRPr="00F91FE9">
        <w:rPr>
          <w:color w:val="auto"/>
        </w:rPr>
        <w:fldChar w:fldCharType="end"/>
      </w:r>
      <w:r w:rsidRPr="00F91FE9">
        <w:rPr>
          <w:color w:val="auto"/>
        </w:rPr>
        <w:t xml:space="preserve">: Summary Statistics for </w:t>
      </w:r>
      <w:r>
        <w:rPr>
          <w:color w:val="auto"/>
        </w:rPr>
        <w:t>Categorical</w:t>
      </w:r>
      <w:r w:rsidRPr="00F91FE9">
        <w:rPr>
          <w:color w:val="auto"/>
        </w:rPr>
        <w:t xml:space="preserve"> Variables</w:t>
      </w:r>
      <w:bookmarkEnd w:id="2"/>
    </w:p>
    <w:tbl>
      <w:tblPr>
        <w:tblStyle w:val="TableGrid"/>
        <w:tblW w:w="0" w:type="auto"/>
        <w:tblInd w:w="535" w:type="dxa"/>
        <w:tblLook w:val="04A0" w:firstRow="1" w:lastRow="0" w:firstColumn="1" w:lastColumn="0" w:noHBand="0" w:noVBand="1"/>
      </w:tblPr>
      <w:tblGrid>
        <w:gridCol w:w="4770"/>
        <w:gridCol w:w="1620"/>
        <w:gridCol w:w="1800"/>
      </w:tblGrid>
      <w:tr w:rsidR="00F91FE9" w14:paraId="7D2887BC" w14:textId="77777777" w:rsidTr="007572B7">
        <w:trPr>
          <w:tblHeader/>
        </w:trPr>
        <w:tc>
          <w:tcPr>
            <w:tcW w:w="4770" w:type="dxa"/>
            <w:vAlign w:val="bottom"/>
          </w:tcPr>
          <w:p w14:paraId="5B9A88EF" w14:textId="4F57C7D9" w:rsidR="00F91FE9" w:rsidRDefault="00F91FE9" w:rsidP="00F91FE9">
            <w:pPr>
              <w:rPr>
                <w:b/>
                <w:bCs/>
              </w:rPr>
            </w:pPr>
            <w:r>
              <w:rPr>
                <w:rFonts w:ascii="Aptos Narrow" w:hAnsi="Aptos Narrow"/>
                <w:b/>
                <w:bCs/>
                <w:color w:val="000000"/>
                <w:sz w:val="22"/>
                <w:szCs w:val="22"/>
              </w:rPr>
              <w:t>Sector</w:t>
            </w:r>
          </w:p>
        </w:tc>
        <w:tc>
          <w:tcPr>
            <w:tcW w:w="1620" w:type="dxa"/>
            <w:vAlign w:val="bottom"/>
          </w:tcPr>
          <w:p w14:paraId="528427A4" w14:textId="2206EFFA" w:rsidR="00F91FE9" w:rsidRDefault="00F91FE9" w:rsidP="00F91FE9">
            <w:pPr>
              <w:rPr>
                <w:b/>
                <w:bCs/>
              </w:rPr>
            </w:pPr>
            <w:r>
              <w:rPr>
                <w:rFonts w:ascii="Aptos Narrow" w:hAnsi="Aptos Narrow"/>
                <w:b/>
                <w:bCs/>
                <w:color w:val="000000"/>
                <w:sz w:val="22"/>
                <w:szCs w:val="22"/>
              </w:rPr>
              <w:t>Frequency (n)</w:t>
            </w:r>
          </w:p>
        </w:tc>
        <w:tc>
          <w:tcPr>
            <w:tcW w:w="1800" w:type="dxa"/>
            <w:vAlign w:val="bottom"/>
          </w:tcPr>
          <w:p w14:paraId="32F1B138" w14:textId="4B68C644" w:rsidR="00F91FE9" w:rsidRDefault="00F91FE9" w:rsidP="00F91FE9">
            <w:pPr>
              <w:rPr>
                <w:b/>
                <w:bCs/>
              </w:rPr>
            </w:pPr>
            <w:r>
              <w:rPr>
                <w:rFonts w:ascii="Aptos Narrow" w:hAnsi="Aptos Narrow"/>
                <w:b/>
                <w:bCs/>
                <w:color w:val="000000"/>
                <w:sz w:val="22"/>
                <w:szCs w:val="22"/>
              </w:rPr>
              <w:t xml:space="preserve">Percentage (%) </w:t>
            </w:r>
          </w:p>
        </w:tc>
      </w:tr>
      <w:tr w:rsidR="00F91FE9" w14:paraId="52E7263E" w14:textId="77777777" w:rsidTr="002B464E">
        <w:tc>
          <w:tcPr>
            <w:tcW w:w="4770" w:type="dxa"/>
            <w:vAlign w:val="bottom"/>
          </w:tcPr>
          <w:p w14:paraId="16EC21B3" w14:textId="6CE74253" w:rsidR="00F91FE9" w:rsidRDefault="00F91FE9" w:rsidP="00F91FE9">
            <w:pPr>
              <w:rPr>
                <w:b/>
                <w:bCs/>
              </w:rPr>
            </w:pPr>
            <w:r>
              <w:rPr>
                <w:rFonts w:ascii="Aptos Narrow" w:hAnsi="Aptos Narrow"/>
                <w:color w:val="000000"/>
                <w:sz w:val="22"/>
                <w:szCs w:val="22"/>
              </w:rPr>
              <w:t>Software &amp; IT Services</w:t>
            </w:r>
          </w:p>
        </w:tc>
        <w:tc>
          <w:tcPr>
            <w:tcW w:w="1620" w:type="dxa"/>
            <w:vAlign w:val="bottom"/>
          </w:tcPr>
          <w:p w14:paraId="7BD580CD" w14:textId="35ECD4B2" w:rsidR="00F91FE9" w:rsidRDefault="00F91FE9" w:rsidP="00F91FE9">
            <w:pPr>
              <w:rPr>
                <w:b/>
                <w:bCs/>
              </w:rPr>
            </w:pPr>
            <w:r>
              <w:rPr>
                <w:rFonts w:ascii="Aptos Narrow" w:hAnsi="Aptos Narrow"/>
                <w:color w:val="000000"/>
                <w:sz w:val="22"/>
                <w:szCs w:val="22"/>
              </w:rPr>
              <w:t>4,900</w:t>
            </w:r>
          </w:p>
        </w:tc>
        <w:tc>
          <w:tcPr>
            <w:tcW w:w="1800" w:type="dxa"/>
            <w:vAlign w:val="bottom"/>
          </w:tcPr>
          <w:p w14:paraId="48BB4231" w14:textId="30F80843" w:rsidR="00F91FE9" w:rsidRDefault="00F91FE9" w:rsidP="00F91FE9">
            <w:pPr>
              <w:rPr>
                <w:b/>
                <w:bCs/>
              </w:rPr>
            </w:pPr>
            <w:r>
              <w:rPr>
                <w:rFonts w:ascii="Aptos Narrow" w:hAnsi="Aptos Narrow"/>
                <w:color w:val="000000"/>
                <w:sz w:val="22"/>
                <w:szCs w:val="22"/>
              </w:rPr>
              <w:t>12.5</w:t>
            </w:r>
          </w:p>
        </w:tc>
      </w:tr>
      <w:tr w:rsidR="00F91FE9" w14:paraId="1AE15906" w14:textId="77777777" w:rsidTr="002B464E">
        <w:tc>
          <w:tcPr>
            <w:tcW w:w="4770" w:type="dxa"/>
            <w:vAlign w:val="bottom"/>
          </w:tcPr>
          <w:p w14:paraId="08B30D91" w14:textId="3661D146" w:rsidR="00F91FE9" w:rsidRDefault="00F91FE9" w:rsidP="00F91FE9">
            <w:pPr>
              <w:rPr>
                <w:b/>
                <w:bCs/>
              </w:rPr>
            </w:pPr>
            <w:r>
              <w:rPr>
                <w:rFonts w:ascii="Aptos Narrow" w:hAnsi="Aptos Narrow"/>
                <w:color w:val="000000"/>
                <w:sz w:val="22"/>
                <w:szCs w:val="22"/>
              </w:rPr>
              <w:t>Residential &amp; Commercial REIT</w:t>
            </w:r>
          </w:p>
        </w:tc>
        <w:tc>
          <w:tcPr>
            <w:tcW w:w="1620" w:type="dxa"/>
            <w:vAlign w:val="bottom"/>
          </w:tcPr>
          <w:p w14:paraId="581C1C83" w14:textId="2E7DAF13" w:rsidR="00F91FE9" w:rsidRDefault="00F91FE9" w:rsidP="00F91FE9">
            <w:pPr>
              <w:rPr>
                <w:b/>
                <w:bCs/>
              </w:rPr>
            </w:pPr>
            <w:r>
              <w:rPr>
                <w:rFonts w:ascii="Aptos Narrow" w:hAnsi="Aptos Narrow"/>
                <w:color w:val="000000"/>
                <w:sz w:val="22"/>
                <w:szCs w:val="22"/>
              </w:rPr>
              <w:t>2,030</w:t>
            </w:r>
          </w:p>
        </w:tc>
        <w:tc>
          <w:tcPr>
            <w:tcW w:w="1800" w:type="dxa"/>
            <w:vAlign w:val="bottom"/>
          </w:tcPr>
          <w:p w14:paraId="497EA734" w14:textId="4361F38E" w:rsidR="00F91FE9" w:rsidRDefault="00F91FE9" w:rsidP="00F91FE9">
            <w:pPr>
              <w:rPr>
                <w:b/>
                <w:bCs/>
              </w:rPr>
            </w:pPr>
            <w:r>
              <w:rPr>
                <w:rFonts w:ascii="Aptos Narrow" w:hAnsi="Aptos Narrow"/>
                <w:color w:val="000000"/>
                <w:sz w:val="22"/>
                <w:szCs w:val="22"/>
              </w:rPr>
              <w:t>5.2</w:t>
            </w:r>
          </w:p>
        </w:tc>
      </w:tr>
      <w:tr w:rsidR="00F91FE9" w14:paraId="4C22F51F" w14:textId="77777777" w:rsidTr="002B464E">
        <w:tc>
          <w:tcPr>
            <w:tcW w:w="4770" w:type="dxa"/>
            <w:vAlign w:val="bottom"/>
          </w:tcPr>
          <w:p w14:paraId="5220FA91" w14:textId="1FC9764A" w:rsidR="00F91FE9" w:rsidRDefault="00F91FE9" w:rsidP="00F91FE9">
            <w:pPr>
              <w:rPr>
                <w:b/>
                <w:bCs/>
              </w:rPr>
            </w:pPr>
            <w:r>
              <w:rPr>
                <w:rFonts w:ascii="Aptos Narrow" w:hAnsi="Aptos Narrow"/>
                <w:color w:val="000000"/>
                <w:sz w:val="22"/>
                <w:szCs w:val="22"/>
              </w:rPr>
              <w:t>Machinery, Equipment &amp; Components</w:t>
            </w:r>
          </w:p>
        </w:tc>
        <w:tc>
          <w:tcPr>
            <w:tcW w:w="1620" w:type="dxa"/>
            <w:vAlign w:val="bottom"/>
          </w:tcPr>
          <w:p w14:paraId="56398024" w14:textId="202A5BB3" w:rsidR="00F91FE9" w:rsidRDefault="00F91FE9" w:rsidP="00F91FE9">
            <w:pPr>
              <w:rPr>
                <w:b/>
                <w:bCs/>
              </w:rPr>
            </w:pPr>
            <w:r>
              <w:rPr>
                <w:rFonts w:ascii="Aptos Narrow" w:hAnsi="Aptos Narrow"/>
                <w:color w:val="000000"/>
                <w:sz w:val="22"/>
                <w:szCs w:val="22"/>
              </w:rPr>
              <w:t>1,890</w:t>
            </w:r>
          </w:p>
        </w:tc>
        <w:tc>
          <w:tcPr>
            <w:tcW w:w="1800" w:type="dxa"/>
            <w:vAlign w:val="bottom"/>
          </w:tcPr>
          <w:p w14:paraId="76F5BB64" w14:textId="3845893B" w:rsidR="00F91FE9" w:rsidRDefault="00F91FE9" w:rsidP="00F91FE9">
            <w:pPr>
              <w:rPr>
                <w:b/>
                <w:bCs/>
              </w:rPr>
            </w:pPr>
            <w:r>
              <w:rPr>
                <w:rFonts w:ascii="Aptos Narrow" w:hAnsi="Aptos Narrow"/>
                <w:color w:val="000000"/>
                <w:sz w:val="22"/>
                <w:szCs w:val="22"/>
              </w:rPr>
              <w:t>4.8</w:t>
            </w:r>
          </w:p>
        </w:tc>
      </w:tr>
      <w:tr w:rsidR="00F91FE9" w14:paraId="1E580FFB" w14:textId="77777777" w:rsidTr="002B464E">
        <w:tc>
          <w:tcPr>
            <w:tcW w:w="4770" w:type="dxa"/>
            <w:vAlign w:val="bottom"/>
          </w:tcPr>
          <w:p w14:paraId="74228199" w14:textId="5EAE633D" w:rsidR="00F91FE9" w:rsidRDefault="00F91FE9" w:rsidP="00F91FE9">
            <w:pPr>
              <w:rPr>
                <w:b/>
                <w:bCs/>
              </w:rPr>
            </w:pPr>
            <w:r>
              <w:rPr>
                <w:rFonts w:ascii="Aptos Narrow" w:hAnsi="Aptos Narrow"/>
                <w:color w:val="000000"/>
                <w:sz w:val="22"/>
                <w:szCs w:val="22"/>
              </w:rPr>
              <w:t>Healthcare Equipment &amp; Supplies</w:t>
            </w:r>
          </w:p>
        </w:tc>
        <w:tc>
          <w:tcPr>
            <w:tcW w:w="1620" w:type="dxa"/>
            <w:vAlign w:val="bottom"/>
          </w:tcPr>
          <w:p w14:paraId="6AD2B487" w14:textId="41BF0850" w:rsidR="00F91FE9" w:rsidRDefault="00F91FE9" w:rsidP="00F91FE9">
            <w:pPr>
              <w:rPr>
                <w:b/>
                <w:bCs/>
              </w:rPr>
            </w:pPr>
            <w:r>
              <w:rPr>
                <w:rFonts w:ascii="Aptos Narrow" w:hAnsi="Aptos Narrow"/>
                <w:color w:val="000000"/>
                <w:sz w:val="22"/>
                <w:szCs w:val="22"/>
              </w:rPr>
              <w:t>1,820</w:t>
            </w:r>
          </w:p>
        </w:tc>
        <w:tc>
          <w:tcPr>
            <w:tcW w:w="1800" w:type="dxa"/>
            <w:vAlign w:val="bottom"/>
          </w:tcPr>
          <w:p w14:paraId="30649941" w14:textId="2C7E079C" w:rsidR="00F91FE9" w:rsidRDefault="00F91FE9" w:rsidP="00F91FE9">
            <w:pPr>
              <w:rPr>
                <w:b/>
                <w:bCs/>
              </w:rPr>
            </w:pPr>
            <w:r>
              <w:rPr>
                <w:rFonts w:ascii="Aptos Narrow" w:hAnsi="Aptos Narrow"/>
                <w:color w:val="000000"/>
                <w:sz w:val="22"/>
                <w:szCs w:val="22"/>
              </w:rPr>
              <w:t>4.6</w:t>
            </w:r>
          </w:p>
        </w:tc>
      </w:tr>
      <w:tr w:rsidR="00F91FE9" w14:paraId="31F3952F" w14:textId="77777777" w:rsidTr="002B464E">
        <w:tc>
          <w:tcPr>
            <w:tcW w:w="4770" w:type="dxa"/>
            <w:vAlign w:val="bottom"/>
          </w:tcPr>
          <w:p w14:paraId="3369E0F5" w14:textId="79F6A776" w:rsidR="00F91FE9" w:rsidRDefault="00F91FE9" w:rsidP="00F91FE9">
            <w:pPr>
              <w:rPr>
                <w:b/>
                <w:bCs/>
              </w:rPr>
            </w:pPr>
            <w:r>
              <w:rPr>
                <w:rFonts w:ascii="Aptos Narrow" w:hAnsi="Aptos Narrow"/>
                <w:color w:val="000000"/>
                <w:sz w:val="22"/>
                <w:szCs w:val="22"/>
              </w:rPr>
              <w:t>Insurance</w:t>
            </w:r>
          </w:p>
        </w:tc>
        <w:tc>
          <w:tcPr>
            <w:tcW w:w="1620" w:type="dxa"/>
            <w:vAlign w:val="bottom"/>
          </w:tcPr>
          <w:p w14:paraId="7FE7E97F" w14:textId="40C20DE7" w:rsidR="00F91FE9" w:rsidRDefault="00F91FE9" w:rsidP="00F91FE9">
            <w:pPr>
              <w:rPr>
                <w:b/>
                <w:bCs/>
              </w:rPr>
            </w:pPr>
            <w:r>
              <w:rPr>
                <w:rFonts w:ascii="Aptos Narrow" w:hAnsi="Aptos Narrow"/>
                <w:color w:val="000000"/>
                <w:sz w:val="22"/>
                <w:szCs w:val="22"/>
              </w:rPr>
              <w:t>1,610</w:t>
            </w:r>
          </w:p>
        </w:tc>
        <w:tc>
          <w:tcPr>
            <w:tcW w:w="1800" w:type="dxa"/>
            <w:vAlign w:val="bottom"/>
          </w:tcPr>
          <w:p w14:paraId="7EF5ACD0" w14:textId="77D879A5" w:rsidR="00F91FE9" w:rsidRDefault="00F91FE9" w:rsidP="00F91FE9">
            <w:pPr>
              <w:rPr>
                <w:b/>
                <w:bCs/>
              </w:rPr>
            </w:pPr>
            <w:r>
              <w:rPr>
                <w:rFonts w:ascii="Aptos Narrow" w:hAnsi="Aptos Narrow"/>
                <w:color w:val="000000"/>
                <w:sz w:val="22"/>
                <w:szCs w:val="22"/>
              </w:rPr>
              <w:t>4.1</w:t>
            </w:r>
          </w:p>
        </w:tc>
      </w:tr>
      <w:tr w:rsidR="00F91FE9" w14:paraId="42BBCE68" w14:textId="77777777" w:rsidTr="002B464E">
        <w:tc>
          <w:tcPr>
            <w:tcW w:w="4770" w:type="dxa"/>
            <w:vAlign w:val="bottom"/>
          </w:tcPr>
          <w:p w14:paraId="68AEFC05" w14:textId="46BFADB8" w:rsidR="00F91FE9" w:rsidRDefault="00F91FE9" w:rsidP="00F91FE9">
            <w:pPr>
              <w:rPr>
                <w:b/>
                <w:bCs/>
              </w:rPr>
            </w:pPr>
            <w:r>
              <w:rPr>
                <w:rFonts w:ascii="Aptos Narrow" w:hAnsi="Aptos Narrow"/>
                <w:color w:val="000000"/>
                <w:sz w:val="22"/>
                <w:szCs w:val="22"/>
              </w:rPr>
              <w:t>Investment Banking &amp; Investment Services</w:t>
            </w:r>
          </w:p>
        </w:tc>
        <w:tc>
          <w:tcPr>
            <w:tcW w:w="1620" w:type="dxa"/>
            <w:vAlign w:val="bottom"/>
          </w:tcPr>
          <w:p w14:paraId="1C0744C1" w14:textId="571587FE" w:rsidR="00F91FE9" w:rsidRDefault="00F91FE9" w:rsidP="00F91FE9">
            <w:pPr>
              <w:rPr>
                <w:b/>
                <w:bCs/>
              </w:rPr>
            </w:pPr>
            <w:r>
              <w:rPr>
                <w:rFonts w:ascii="Aptos Narrow" w:hAnsi="Aptos Narrow"/>
                <w:color w:val="000000"/>
                <w:sz w:val="22"/>
                <w:szCs w:val="22"/>
              </w:rPr>
              <w:t>1,610</w:t>
            </w:r>
          </w:p>
        </w:tc>
        <w:tc>
          <w:tcPr>
            <w:tcW w:w="1800" w:type="dxa"/>
            <w:vAlign w:val="bottom"/>
          </w:tcPr>
          <w:p w14:paraId="5DE55A08" w14:textId="1D048601" w:rsidR="00F91FE9" w:rsidRDefault="00F91FE9" w:rsidP="00F91FE9">
            <w:pPr>
              <w:rPr>
                <w:b/>
                <w:bCs/>
              </w:rPr>
            </w:pPr>
            <w:r>
              <w:rPr>
                <w:rFonts w:ascii="Aptos Narrow" w:hAnsi="Aptos Narrow"/>
                <w:color w:val="000000"/>
                <w:sz w:val="22"/>
                <w:szCs w:val="22"/>
              </w:rPr>
              <w:t>4.1</w:t>
            </w:r>
          </w:p>
        </w:tc>
      </w:tr>
      <w:tr w:rsidR="00F91FE9" w14:paraId="2E09B5C1" w14:textId="77777777" w:rsidTr="002B464E">
        <w:tc>
          <w:tcPr>
            <w:tcW w:w="4770" w:type="dxa"/>
            <w:vAlign w:val="bottom"/>
          </w:tcPr>
          <w:p w14:paraId="39EA3C08" w14:textId="51959B78" w:rsidR="00F91FE9" w:rsidRDefault="00F91FE9" w:rsidP="00F91FE9">
            <w:pPr>
              <w:rPr>
                <w:b/>
                <w:bCs/>
              </w:rPr>
            </w:pPr>
            <w:r>
              <w:rPr>
                <w:rFonts w:ascii="Aptos Narrow" w:hAnsi="Aptos Narrow"/>
                <w:color w:val="000000"/>
                <w:sz w:val="22"/>
                <w:szCs w:val="22"/>
              </w:rPr>
              <w:t>Electrical Utilities &amp; IPPs</w:t>
            </w:r>
          </w:p>
        </w:tc>
        <w:tc>
          <w:tcPr>
            <w:tcW w:w="1620" w:type="dxa"/>
            <w:vAlign w:val="bottom"/>
          </w:tcPr>
          <w:p w14:paraId="6A0DC6FC" w14:textId="083D3274" w:rsidR="00F91FE9" w:rsidRDefault="00F91FE9" w:rsidP="00F91FE9">
            <w:pPr>
              <w:rPr>
                <w:b/>
                <w:bCs/>
              </w:rPr>
            </w:pPr>
            <w:r>
              <w:rPr>
                <w:rFonts w:ascii="Aptos Narrow" w:hAnsi="Aptos Narrow"/>
                <w:color w:val="000000"/>
                <w:sz w:val="22"/>
                <w:szCs w:val="22"/>
              </w:rPr>
              <w:t>1,610</w:t>
            </w:r>
          </w:p>
        </w:tc>
        <w:tc>
          <w:tcPr>
            <w:tcW w:w="1800" w:type="dxa"/>
            <w:vAlign w:val="bottom"/>
          </w:tcPr>
          <w:p w14:paraId="2D97A7B6" w14:textId="31FF4F0A" w:rsidR="00F91FE9" w:rsidRDefault="00F91FE9" w:rsidP="00F91FE9">
            <w:pPr>
              <w:rPr>
                <w:b/>
                <w:bCs/>
              </w:rPr>
            </w:pPr>
            <w:r>
              <w:rPr>
                <w:rFonts w:ascii="Aptos Narrow" w:hAnsi="Aptos Narrow"/>
                <w:color w:val="000000"/>
                <w:sz w:val="22"/>
                <w:szCs w:val="22"/>
              </w:rPr>
              <w:t>4.1</w:t>
            </w:r>
          </w:p>
        </w:tc>
      </w:tr>
      <w:tr w:rsidR="00F91FE9" w14:paraId="244D7E4B" w14:textId="77777777" w:rsidTr="002B464E">
        <w:tc>
          <w:tcPr>
            <w:tcW w:w="4770" w:type="dxa"/>
            <w:vAlign w:val="bottom"/>
          </w:tcPr>
          <w:p w14:paraId="458E6F46" w14:textId="2A87F000" w:rsidR="00F91FE9" w:rsidRDefault="00F91FE9" w:rsidP="00F91FE9">
            <w:pPr>
              <w:rPr>
                <w:b/>
                <w:bCs/>
              </w:rPr>
            </w:pPr>
            <w:r>
              <w:rPr>
                <w:rFonts w:ascii="Aptos Narrow" w:hAnsi="Aptos Narrow"/>
                <w:color w:val="000000"/>
                <w:sz w:val="22"/>
                <w:szCs w:val="22"/>
              </w:rPr>
              <w:t>Pharmaceuticals</w:t>
            </w:r>
          </w:p>
        </w:tc>
        <w:tc>
          <w:tcPr>
            <w:tcW w:w="1620" w:type="dxa"/>
            <w:vAlign w:val="bottom"/>
          </w:tcPr>
          <w:p w14:paraId="044FB92F" w14:textId="6031E18D" w:rsidR="00F91FE9" w:rsidRDefault="00F91FE9" w:rsidP="00F91FE9">
            <w:pPr>
              <w:rPr>
                <w:b/>
                <w:bCs/>
              </w:rPr>
            </w:pPr>
            <w:r>
              <w:rPr>
                <w:rFonts w:ascii="Aptos Narrow" w:hAnsi="Aptos Narrow"/>
                <w:color w:val="000000"/>
                <w:sz w:val="22"/>
                <w:szCs w:val="22"/>
              </w:rPr>
              <w:t>1,399</w:t>
            </w:r>
          </w:p>
        </w:tc>
        <w:tc>
          <w:tcPr>
            <w:tcW w:w="1800" w:type="dxa"/>
            <w:vAlign w:val="bottom"/>
          </w:tcPr>
          <w:p w14:paraId="017FF102" w14:textId="269D7E6D" w:rsidR="00F91FE9" w:rsidRDefault="00F91FE9" w:rsidP="00F91FE9">
            <w:pPr>
              <w:rPr>
                <w:b/>
                <w:bCs/>
              </w:rPr>
            </w:pPr>
            <w:r>
              <w:rPr>
                <w:rFonts w:ascii="Aptos Narrow" w:hAnsi="Aptos Narrow"/>
                <w:color w:val="000000"/>
                <w:sz w:val="22"/>
                <w:szCs w:val="22"/>
              </w:rPr>
              <w:t>3.6</w:t>
            </w:r>
          </w:p>
        </w:tc>
      </w:tr>
      <w:tr w:rsidR="00F91FE9" w14:paraId="10242601" w14:textId="77777777" w:rsidTr="002B464E">
        <w:tc>
          <w:tcPr>
            <w:tcW w:w="4770" w:type="dxa"/>
            <w:vAlign w:val="bottom"/>
          </w:tcPr>
          <w:p w14:paraId="4BF2CF4D" w14:textId="0307F4EB" w:rsidR="00F91FE9" w:rsidRDefault="00F91FE9" w:rsidP="00F91FE9">
            <w:pPr>
              <w:rPr>
                <w:b/>
                <w:bCs/>
              </w:rPr>
            </w:pPr>
            <w:r>
              <w:rPr>
                <w:rFonts w:ascii="Aptos Narrow" w:hAnsi="Aptos Narrow"/>
                <w:color w:val="000000"/>
                <w:sz w:val="22"/>
                <w:szCs w:val="22"/>
              </w:rPr>
              <w:t>Hotels &amp; Entertainment Services</w:t>
            </w:r>
          </w:p>
        </w:tc>
        <w:tc>
          <w:tcPr>
            <w:tcW w:w="1620" w:type="dxa"/>
            <w:vAlign w:val="bottom"/>
          </w:tcPr>
          <w:p w14:paraId="3D0789F6" w14:textId="3E262A7F" w:rsidR="00F91FE9" w:rsidRDefault="00F91FE9" w:rsidP="00F91FE9">
            <w:pPr>
              <w:rPr>
                <w:b/>
                <w:bCs/>
              </w:rPr>
            </w:pPr>
            <w:r>
              <w:rPr>
                <w:rFonts w:ascii="Aptos Narrow" w:hAnsi="Aptos Narrow"/>
                <w:color w:val="000000"/>
                <w:sz w:val="22"/>
                <w:szCs w:val="22"/>
              </w:rPr>
              <w:t>1,330</w:t>
            </w:r>
          </w:p>
        </w:tc>
        <w:tc>
          <w:tcPr>
            <w:tcW w:w="1800" w:type="dxa"/>
            <w:vAlign w:val="bottom"/>
          </w:tcPr>
          <w:p w14:paraId="65448160" w14:textId="61EB0C94" w:rsidR="00F91FE9" w:rsidRDefault="00F91FE9" w:rsidP="00F91FE9">
            <w:pPr>
              <w:rPr>
                <w:b/>
                <w:bCs/>
              </w:rPr>
            </w:pPr>
            <w:r>
              <w:rPr>
                <w:rFonts w:ascii="Aptos Narrow" w:hAnsi="Aptos Narrow"/>
                <w:color w:val="000000"/>
                <w:sz w:val="22"/>
                <w:szCs w:val="22"/>
              </w:rPr>
              <w:t>3.4</w:t>
            </w:r>
          </w:p>
        </w:tc>
      </w:tr>
      <w:tr w:rsidR="00F91FE9" w14:paraId="4D8FE69D" w14:textId="77777777" w:rsidTr="002B464E">
        <w:tc>
          <w:tcPr>
            <w:tcW w:w="4770" w:type="dxa"/>
            <w:vAlign w:val="bottom"/>
          </w:tcPr>
          <w:p w14:paraId="55D2BDF1" w14:textId="114E6C60" w:rsidR="00F91FE9" w:rsidRDefault="00F91FE9" w:rsidP="00F91FE9">
            <w:pPr>
              <w:rPr>
                <w:b/>
                <w:bCs/>
              </w:rPr>
            </w:pPr>
            <w:r>
              <w:rPr>
                <w:rFonts w:ascii="Aptos Narrow" w:hAnsi="Aptos Narrow"/>
                <w:color w:val="000000"/>
                <w:sz w:val="22"/>
                <w:szCs w:val="22"/>
              </w:rPr>
              <w:t>Food &amp; Tobacco</w:t>
            </w:r>
          </w:p>
        </w:tc>
        <w:tc>
          <w:tcPr>
            <w:tcW w:w="1620" w:type="dxa"/>
            <w:vAlign w:val="bottom"/>
          </w:tcPr>
          <w:p w14:paraId="10CDAEA1" w14:textId="01ACEDE8" w:rsidR="00F91FE9" w:rsidRDefault="00F91FE9" w:rsidP="00F91FE9">
            <w:pPr>
              <w:rPr>
                <w:b/>
                <w:bCs/>
              </w:rPr>
            </w:pPr>
            <w:r>
              <w:rPr>
                <w:rFonts w:ascii="Aptos Narrow" w:hAnsi="Aptos Narrow"/>
                <w:color w:val="000000"/>
                <w:sz w:val="22"/>
                <w:szCs w:val="22"/>
              </w:rPr>
              <w:t>1,260</w:t>
            </w:r>
          </w:p>
        </w:tc>
        <w:tc>
          <w:tcPr>
            <w:tcW w:w="1800" w:type="dxa"/>
            <w:vAlign w:val="bottom"/>
          </w:tcPr>
          <w:p w14:paraId="3DB1156E" w14:textId="09BD95C9" w:rsidR="00F91FE9" w:rsidRDefault="00F91FE9" w:rsidP="00F91FE9">
            <w:pPr>
              <w:rPr>
                <w:b/>
                <w:bCs/>
              </w:rPr>
            </w:pPr>
            <w:r>
              <w:rPr>
                <w:rFonts w:ascii="Aptos Narrow" w:hAnsi="Aptos Narrow"/>
                <w:color w:val="000000"/>
                <w:sz w:val="22"/>
                <w:szCs w:val="22"/>
              </w:rPr>
              <w:t>3.2</w:t>
            </w:r>
          </w:p>
        </w:tc>
      </w:tr>
      <w:tr w:rsidR="00F91FE9" w14:paraId="3F938F5C" w14:textId="77777777" w:rsidTr="002B464E">
        <w:tc>
          <w:tcPr>
            <w:tcW w:w="4770" w:type="dxa"/>
            <w:vAlign w:val="bottom"/>
          </w:tcPr>
          <w:p w14:paraId="248F0415" w14:textId="4927ED5A" w:rsidR="00F91FE9" w:rsidRDefault="00F91FE9" w:rsidP="00F91FE9">
            <w:pPr>
              <w:rPr>
                <w:b/>
                <w:bCs/>
              </w:rPr>
            </w:pPr>
            <w:r>
              <w:rPr>
                <w:rFonts w:ascii="Aptos Narrow" w:hAnsi="Aptos Narrow"/>
                <w:color w:val="000000"/>
                <w:sz w:val="22"/>
                <w:szCs w:val="22"/>
              </w:rPr>
              <w:t>Media &amp; Publishing</w:t>
            </w:r>
          </w:p>
        </w:tc>
        <w:tc>
          <w:tcPr>
            <w:tcW w:w="1620" w:type="dxa"/>
            <w:vAlign w:val="bottom"/>
          </w:tcPr>
          <w:p w14:paraId="1D9C5473" w14:textId="57FEDB0F" w:rsidR="00F91FE9" w:rsidRDefault="00F91FE9" w:rsidP="00F91FE9">
            <w:pPr>
              <w:rPr>
                <w:b/>
                <w:bCs/>
              </w:rPr>
            </w:pPr>
            <w:r>
              <w:rPr>
                <w:rFonts w:ascii="Aptos Narrow" w:hAnsi="Aptos Narrow"/>
                <w:color w:val="000000"/>
                <w:sz w:val="22"/>
                <w:szCs w:val="22"/>
              </w:rPr>
              <w:t>1,260</w:t>
            </w:r>
          </w:p>
        </w:tc>
        <w:tc>
          <w:tcPr>
            <w:tcW w:w="1800" w:type="dxa"/>
            <w:vAlign w:val="bottom"/>
          </w:tcPr>
          <w:p w14:paraId="116089CF" w14:textId="192A938F" w:rsidR="00F91FE9" w:rsidRDefault="00F91FE9" w:rsidP="00F91FE9">
            <w:pPr>
              <w:rPr>
                <w:b/>
                <w:bCs/>
              </w:rPr>
            </w:pPr>
            <w:r>
              <w:rPr>
                <w:rFonts w:ascii="Aptos Narrow" w:hAnsi="Aptos Narrow"/>
                <w:color w:val="000000"/>
                <w:sz w:val="22"/>
                <w:szCs w:val="22"/>
              </w:rPr>
              <w:t>3.2</w:t>
            </w:r>
          </w:p>
        </w:tc>
      </w:tr>
      <w:tr w:rsidR="00F91FE9" w14:paraId="3FB50F05" w14:textId="77777777" w:rsidTr="002B464E">
        <w:tc>
          <w:tcPr>
            <w:tcW w:w="4770" w:type="dxa"/>
            <w:vAlign w:val="bottom"/>
          </w:tcPr>
          <w:p w14:paraId="1AEF8900" w14:textId="116B8475" w:rsidR="00F91FE9" w:rsidRDefault="00F91FE9" w:rsidP="00F91FE9">
            <w:pPr>
              <w:rPr>
                <w:b/>
                <w:bCs/>
              </w:rPr>
            </w:pPr>
            <w:r>
              <w:rPr>
                <w:rFonts w:ascii="Aptos Narrow" w:hAnsi="Aptos Narrow"/>
                <w:color w:val="000000"/>
                <w:sz w:val="22"/>
                <w:szCs w:val="22"/>
              </w:rPr>
              <w:t>Professional &amp; Commercial Services</w:t>
            </w:r>
          </w:p>
        </w:tc>
        <w:tc>
          <w:tcPr>
            <w:tcW w:w="1620" w:type="dxa"/>
            <w:vAlign w:val="bottom"/>
          </w:tcPr>
          <w:p w14:paraId="726790E6" w14:textId="555FDF06" w:rsidR="00F91FE9" w:rsidRDefault="00F91FE9" w:rsidP="00F91FE9">
            <w:pPr>
              <w:rPr>
                <w:b/>
                <w:bCs/>
              </w:rPr>
            </w:pPr>
            <w:r>
              <w:rPr>
                <w:rFonts w:ascii="Aptos Narrow" w:hAnsi="Aptos Narrow"/>
                <w:color w:val="000000"/>
                <w:sz w:val="22"/>
                <w:szCs w:val="22"/>
              </w:rPr>
              <w:t>1,260</w:t>
            </w:r>
          </w:p>
        </w:tc>
        <w:tc>
          <w:tcPr>
            <w:tcW w:w="1800" w:type="dxa"/>
            <w:vAlign w:val="bottom"/>
          </w:tcPr>
          <w:p w14:paraId="0A2EC7D6" w14:textId="7CBA373F" w:rsidR="00F91FE9" w:rsidRDefault="00F91FE9" w:rsidP="00F91FE9">
            <w:pPr>
              <w:rPr>
                <w:b/>
                <w:bCs/>
              </w:rPr>
            </w:pPr>
            <w:r>
              <w:rPr>
                <w:rFonts w:ascii="Aptos Narrow" w:hAnsi="Aptos Narrow"/>
                <w:color w:val="000000"/>
                <w:sz w:val="22"/>
                <w:szCs w:val="22"/>
              </w:rPr>
              <w:t>3.2</w:t>
            </w:r>
          </w:p>
        </w:tc>
      </w:tr>
      <w:tr w:rsidR="00F91FE9" w14:paraId="759F9E82" w14:textId="77777777" w:rsidTr="002B464E">
        <w:tc>
          <w:tcPr>
            <w:tcW w:w="4770" w:type="dxa"/>
            <w:vAlign w:val="bottom"/>
          </w:tcPr>
          <w:p w14:paraId="200E0816" w14:textId="0EE672FC" w:rsidR="00F91FE9" w:rsidRDefault="00F91FE9" w:rsidP="00F91FE9">
            <w:pPr>
              <w:rPr>
                <w:b/>
                <w:bCs/>
              </w:rPr>
            </w:pPr>
            <w:r>
              <w:rPr>
                <w:rFonts w:ascii="Aptos Narrow" w:hAnsi="Aptos Narrow"/>
                <w:color w:val="000000"/>
                <w:sz w:val="22"/>
                <w:szCs w:val="22"/>
              </w:rPr>
              <w:t>Banking Services</w:t>
            </w:r>
          </w:p>
        </w:tc>
        <w:tc>
          <w:tcPr>
            <w:tcW w:w="1620" w:type="dxa"/>
            <w:vAlign w:val="bottom"/>
          </w:tcPr>
          <w:p w14:paraId="55590297" w14:textId="299252B5" w:rsidR="00F91FE9" w:rsidRDefault="00F91FE9" w:rsidP="00F91FE9">
            <w:pPr>
              <w:rPr>
                <w:b/>
                <w:bCs/>
              </w:rPr>
            </w:pPr>
            <w:r>
              <w:rPr>
                <w:rFonts w:ascii="Aptos Narrow" w:hAnsi="Aptos Narrow"/>
                <w:color w:val="000000"/>
                <w:sz w:val="22"/>
                <w:szCs w:val="22"/>
              </w:rPr>
              <w:t>1,260</w:t>
            </w:r>
          </w:p>
        </w:tc>
        <w:tc>
          <w:tcPr>
            <w:tcW w:w="1800" w:type="dxa"/>
            <w:vAlign w:val="bottom"/>
          </w:tcPr>
          <w:p w14:paraId="52C54973" w14:textId="600653BE" w:rsidR="00F91FE9" w:rsidRDefault="00F91FE9" w:rsidP="00F91FE9">
            <w:pPr>
              <w:rPr>
                <w:b/>
                <w:bCs/>
              </w:rPr>
            </w:pPr>
            <w:r>
              <w:rPr>
                <w:rFonts w:ascii="Aptos Narrow" w:hAnsi="Aptos Narrow"/>
                <w:color w:val="000000"/>
                <w:sz w:val="22"/>
                <w:szCs w:val="22"/>
              </w:rPr>
              <w:t>3.2</w:t>
            </w:r>
          </w:p>
        </w:tc>
      </w:tr>
      <w:tr w:rsidR="00F91FE9" w14:paraId="06CFAEAA" w14:textId="77777777" w:rsidTr="002B464E">
        <w:tc>
          <w:tcPr>
            <w:tcW w:w="4770" w:type="dxa"/>
            <w:vAlign w:val="bottom"/>
          </w:tcPr>
          <w:p w14:paraId="0790EA59" w14:textId="6DC78C98" w:rsidR="00F91FE9" w:rsidRDefault="00F91FE9" w:rsidP="00F91FE9">
            <w:pPr>
              <w:rPr>
                <w:b/>
                <w:bCs/>
              </w:rPr>
            </w:pPr>
            <w:r>
              <w:rPr>
                <w:rFonts w:ascii="Aptos Narrow" w:hAnsi="Aptos Narrow"/>
                <w:color w:val="000000"/>
                <w:sz w:val="22"/>
                <w:szCs w:val="22"/>
              </w:rPr>
              <w:t>Semiconductors &amp; Semiconductor Equipment</w:t>
            </w:r>
          </w:p>
        </w:tc>
        <w:tc>
          <w:tcPr>
            <w:tcW w:w="1620" w:type="dxa"/>
            <w:vAlign w:val="bottom"/>
          </w:tcPr>
          <w:p w14:paraId="5D7B1B64" w14:textId="3D0632AE" w:rsidR="00F91FE9" w:rsidRDefault="00F91FE9" w:rsidP="00F91FE9">
            <w:pPr>
              <w:rPr>
                <w:b/>
                <w:bCs/>
              </w:rPr>
            </w:pPr>
            <w:r>
              <w:rPr>
                <w:rFonts w:ascii="Aptos Narrow" w:hAnsi="Aptos Narrow"/>
                <w:color w:val="000000"/>
                <w:sz w:val="22"/>
                <w:szCs w:val="22"/>
              </w:rPr>
              <w:t>1,260</w:t>
            </w:r>
          </w:p>
        </w:tc>
        <w:tc>
          <w:tcPr>
            <w:tcW w:w="1800" w:type="dxa"/>
            <w:vAlign w:val="bottom"/>
          </w:tcPr>
          <w:p w14:paraId="56D6BAF8" w14:textId="3A11CD0F" w:rsidR="00F91FE9" w:rsidRDefault="00F91FE9" w:rsidP="00F91FE9">
            <w:pPr>
              <w:rPr>
                <w:b/>
                <w:bCs/>
              </w:rPr>
            </w:pPr>
            <w:r>
              <w:rPr>
                <w:rFonts w:ascii="Aptos Narrow" w:hAnsi="Aptos Narrow"/>
                <w:color w:val="000000"/>
                <w:sz w:val="22"/>
                <w:szCs w:val="22"/>
              </w:rPr>
              <w:t>3.2</w:t>
            </w:r>
          </w:p>
        </w:tc>
      </w:tr>
      <w:tr w:rsidR="00F91FE9" w14:paraId="5DD67F96" w14:textId="77777777" w:rsidTr="002B464E">
        <w:tc>
          <w:tcPr>
            <w:tcW w:w="4770" w:type="dxa"/>
            <w:vAlign w:val="bottom"/>
          </w:tcPr>
          <w:p w14:paraId="686C58D1" w14:textId="57F4979B" w:rsidR="00F91FE9" w:rsidRDefault="00F91FE9" w:rsidP="00F91FE9">
            <w:pPr>
              <w:rPr>
                <w:b/>
                <w:bCs/>
              </w:rPr>
            </w:pPr>
            <w:r>
              <w:rPr>
                <w:rFonts w:ascii="Aptos Narrow" w:hAnsi="Aptos Narrow"/>
                <w:color w:val="000000"/>
                <w:sz w:val="22"/>
                <w:szCs w:val="22"/>
              </w:rPr>
              <w:t>Oil &amp; Gas</w:t>
            </w:r>
          </w:p>
        </w:tc>
        <w:tc>
          <w:tcPr>
            <w:tcW w:w="1620" w:type="dxa"/>
            <w:vAlign w:val="bottom"/>
          </w:tcPr>
          <w:p w14:paraId="1F983873" w14:textId="098166E6" w:rsidR="00F91FE9" w:rsidRDefault="00F91FE9" w:rsidP="00F91FE9">
            <w:pPr>
              <w:rPr>
                <w:b/>
                <w:bCs/>
              </w:rPr>
            </w:pPr>
            <w:r>
              <w:rPr>
                <w:rFonts w:ascii="Aptos Narrow" w:hAnsi="Aptos Narrow"/>
                <w:color w:val="000000"/>
                <w:sz w:val="22"/>
                <w:szCs w:val="22"/>
              </w:rPr>
              <w:t>1,190</w:t>
            </w:r>
          </w:p>
        </w:tc>
        <w:tc>
          <w:tcPr>
            <w:tcW w:w="1800" w:type="dxa"/>
            <w:vAlign w:val="bottom"/>
          </w:tcPr>
          <w:p w14:paraId="2DBA442F" w14:textId="21996937" w:rsidR="00F91FE9" w:rsidRDefault="00F91FE9" w:rsidP="00F91FE9">
            <w:pPr>
              <w:rPr>
                <w:b/>
                <w:bCs/>
              </w:rPr>
            </w:pPr>
            <w:r>
              <w:rPr>
                <w:rFonts w:ascii="Aptos Narrow" w:hAnsi="Aptos Narrow"/>
                <w:color w:val="000000"/>
                <w:sz w:val="22"/>
                <w:szCs w:val="22"/>
              </w:rPr>
              <w:t>3.0</w:t>
            </w:r>
          </w:p>
        </w:tc>
      </w:tr>
      <w:tr w:rsidR="00F91FE9" w14:paraId="55F0F105" w14:textId="77777777" w:rsidTr="002B464E">
        <w:tc>
          <w:tcPr>
            <w:tcW w:w="4770" w:type="dxa"/>
            <w:vAlign w:val="bottom"/>
          </w:tcPr>
          <w:p w14:paraId="08E98665" w14:textId="15662572" w:rsidR="00F91FE9" w:rsidRDefault="00F91FE9" w:rsidP="00F91FE9">
            <w:pPr>
              <w:rPr>
                <w:b/>
                <w:bCs/>
              </w:rPr>
            </w:pPr>
            <w:r>
              <w:rPr>
                <w:rFonts w:ascii="Aptos Narrow" w:hAnsi="Aptos Narrow"/>
                <w:color w:val="000000"/>
                <w:sz w:val="22"/>
                <w:szCs w:val="22"/>
              </w:rPr>
              <w:lastRenderedPageBreak/>
              <w:t>Chemicals</w:t>
            </w:r>
          </w:p>
        </w:tc>
        <w:tc>
          <w:tcPr>
            <w:tcW w:w="1620" w:type="dxa"/>
            <w:vAlign w:val="bottom"/>
          </w:tcPr>
          <w:p w14:paraId="01D58F8F" w14:textId="15BBAB19" w:rsidR="00F91FE9" w:rsidRDefault="00F91FE9" w:rsidP="00F91FE9">
            <w:pPr>
              <w:rPr>
                <w:b/>
                <w:bCs/>
              </w:rPr>
            </w:pPr>
            <w:r>
              <w:rPr>
                <w:rFonts w:ascii="Aptos Narrow" w:hAnsi="Aptos Narrow"/>
                <w:color w:val="000000"/>
                <w:sz w:val="22"/>
                <w:szCs w:val="22"/>
              </w:rPr>
              <w:t>1,120</w:t>
            </w:r>
          </w:p>
        </w:tc>
        <w:tc>
          <w:tcPr>
            <w:tcW w:w="1800" w:type="dxa"/>
            <w:vAlign w:val="bottom"/>
          </w:tcPr>
          <w:p w14:paraId="78F123A2" w14:textId="32DE49DF" w:rsidR="00F91FE9" w:rsidRDefault="00F91FE9" w:rsidP="00F91FE9">
            <w:pPr>
              <w:rPr>
                <w:b/>
                <w:bCs/>
              </w:rPr>
            </w:pPr>
            <w:r>
              <w:rPr>
                <w:rFonts w:ascii="Aptos Narrow" w:hAnsi="Aptos Narrow"/>
                <w:color w:val="000000"/>
                <w:sz w:val="22"/>
                <w:szCs w:val="22"/>
              </w:rPr>
              <w:t>2.9</w:t>
            </w:r>
          </w:p>
        </w:tc>
      </w:tr>
      <w:tr w:rsidR="00F91FE9" w14:paraId="4C3D262C" w14:textId="77777777" w:rsidTr="002B464E">
        <w:tc>
          <w:tcPr>
            <w:tcW w:w="4770" w:type="dxa"/>
            <w:vAlign w:val="bottom"/>
          </w:tcPr>
          <w:p w14:paraId="175B1E44" w14:textId="14C4BC71" w:rsidR="00F91FE9" w:rsidRDefault="00F91FE9" w:rsidP="00F91FE9">
            <w:pPr>
              <w:rPr>
                <w:b/>
                <w:bCs/>
              </w:rPr>
            </w:pPr>
            <w:r>
              <w:rPr>
                <w:rFonts w:ascii="Aptos Narrow" w:hAnsi="Aptos Narrow"/>
                <w:color w:val="000000"/>
                <w:sz w:val="22"/>
                <w:szCs w:val="22"/>
              </w:rPr>
              <w:t>Aerospace &amp; Defense</w:t>
            </w:r>
          </w:p>
        </w:tc>
        <w:tc>
          <w:tcPr>
            <w:tcW w:w="1620" w:type="dxa"/>
            <w:vAlign w:val="bottom"/>
          </w:tcPr>
          <w:p w14:paraId="1DA4DB31" w14:textId="1360AF78" w:rsidR="00F91FE9" w:rsidRDefault="00F91FE9" w:rsidP="00F91FE9">
            <w:pPr>
              <w:rPr>
                <w:b/>
                <w:bCs/>
              </w:rPr>
            </w:pPr>
            <w:r>
              <w:rPr>
                <w:rFonts w:ascii="Aptos Narrow" w:hAnsi="Aptos Narrow"/>
                <w:color w:val="000000"/>
                <w:sz w:val="22"/>
                <w:szCs w:val="22"/>
              </w:rPr>
              <w:t>910</w:t>
            </w:r>
          </w:p>
        </w:tc>
        <w:tc>
          <w:tcPr>
            <w:tcW w:w="1800" w:type="dxa"/>
            <w:vAlign w:val="bottom"/>
          </w:tcPr>
          <w:p w14:paraId="58799B06" w14:textId="2DC6F09C" w:rsidR="00F91FE9" w:rsidRDefault="00F91FE9" w:rsidP="00F91FE9">
            <w:pPr>
              <w:rPr>
                <w:b/>
                <w:bCs/>
              </w:rPr>
            </w:pPr>
            <w:r>
              <w:rPr>
                <w:rFonts w:ascii="Aptos Narrow" w:hAnsi="Aptos Narrow"/>
                <w:color w:val="000000"/>
                <w:sz w:val="22"/>
                <w:szCs w:val="22"/>
              </w:rPr>
              <w:t>2.3</w:t>
            </w:r>
          </w:p>
        </w:tc>
      </w:tr>
      <w:tr w:rsidR="00F91FE9" w14:paraId="4A7C89CD" w14:textId="77777777" w:rsidTr="002B464E">
        <w:tc>
          <w:tcPr>
            <w:tcW w:w="4770" w:type="dxa"/>
            <w:vAlign w:val="bottom"/>
          </w:tcPr>
          <w:p w14:paraId="60EE3C86" w14:textId="44096890" w:rsidR="00F91FE9" w:rsidRDefault="00F91FE9" w:rsidP="00F91FE9">
            <w:pPr>
              <w:rPr>
                <w:b/>
                <w:bCs/>
              </w:rPr>
            </w:pPr>
            <w:r>
              <w:rPr>
                <w:rFonts w:ascii="Aptos Narrow" w:hAnsi="Aptos Narrow"/>
                <w:color w:val="000000"/>
                <w:sz w:val="22"/>
                <w:szCs w:val="22"/>
              </w:rPr>
              <w:t>Healthcare Providers &amp; Services</w:t>
            </w:r>
          </w:p>
        </w:tc>
        <w:tc>
          <w:tcPr>
            <w:tcW w:w="1620" w:type="dxa"/>
            <w:vAlign w:val="bottom"/>
          </w:tcPr>
          <w:p w14:paraId="2E94D904" w14:textId="2E50E6EF" w:rsidR="00F91FE9" w:rsidRDefault="00F91FE9" w:rsidP="00F91FE9">
            <w:pPr>
              <w:rPr>
                <w:b/>
                <w:bCs/>
              </w:rPr>
            </w:pPr>
            <w:r>
              <w:rPr>
                <w:rFonts w:ascii="Aptos Narrow" w:hAnsi="Aptos Narrow"/>
                <w:color w:val="000000"/>
                <w:sz w:val="22"/>
                <w:szCs w:val="22"/>
              </w:rPr>
              <w:t>910</w:t>
            </w:r>
          </w:p>
        </w:tc>
        <w:tc>
          <w:tcPr>
            <w:tcW w:w="1800" w:type="dxa"/>
            <w:vAlign w:val="bottom"/>
          </w:tcPr>
          <w:p w14:paraId="1F563D5B" w14:textId="08722393" w:rsidR="00F91FE9" w:rsidRDefault="00F91FE9" w:rsidP="00F91FE9">
            <w:pPr>
              <w:rPr>
                <w:b/>
                <w:bCs/>
              </w:rPr>
            </w:pPr>
            <w:r>
              <w:rPr>
                <w:rFonts w:ascii="Aptos Narrow" w:hAnsi="Aptos Narrow"/>
                <w:color w:val="000000"/>
                <w:sz w:val="22"/>
                <w:szCs w:val="22"/>
              </w:rPr>
              <w:t>2.3</w:t>
            </w:r>
          </w:p>
        </w:tc>
      </w:tr>
      <w:tr w:rsidR="00F91FE9" w14:paraId="20FBCE1A" w14:textId="77777777" w:rsidTr="002B464E">
        <w:tc>
          <w:tcPr>
            <w:tcW w:w="4770" w:type="dxa"/>
            <w:vAlign w:val="bottom"/>
          </w:tcPr>
          <w:p w14:paraId="26BF4ABA" w14:textId="1DCB82E4" w:rsidR="00F91FE9" w:rsidRDefault="00F91FE9" w:rsidP="00F91FE9">
            <w:pPr>
              <w:rPr>
                <w:b/>
                <w:bCs/>
              </w:rPr>
            </w:pPr>
            <w:r>
              <w:rPr>
                <w:rFonts w:ascii="Aptos Narrow" w:hAnsi="Aptos Narrow"/>
                <w:color w:val="000000"/>
                <w:sz w:val="22"/>
                <w:szCs w:val="22"/>
              </w:rPr>
              <w:t>Specialty Retailers</w:t>
            </w:r>
          </w:p>
        </w:tc>
        <w:tc>
          <w:tcPr>
            <w:tcW w:w="1620" w:type="dxa"/>
            <w:vAlign w:val="bottom"/>
          </w:tcPr>
          <w:p w14:paraId="13A27F77" w14:textId="6468BA30" w:rsidR="00F91FE9" w:rsidRDefault="00F91FE9" w:rsidP="00F91FE9">
            <w:pPr>
              <w:rPr>
                <w:b/>
                <w:bCs/>
              </w:rPr>
            </w:pPr>
            <w:r>
              <w:rPr>
                <w:rFonts w:ascii="Aptos Narrow" w:hAnsi="Aptos Narrow"/>
                <w:color w:val="000000"/>
                <w:sz w:val="22"/>
                <w:szCs w:val="22"/>
              </w:rPr>
              <w:t>840</w:t>
            </w:r>
          </w:p>
        </w:tc>
        <w:tc>
          <w:tcPr>
            <w:tcW w:w="1800" w:type="dxa"/>
            <w:vAlign w:val="bottom"/>
          </w:tcPr>
          <w:p w14:paraId="5C00AD0E" w14:textId="11F2F8B8" w:rsidR="00F91FE9" w:rsidRDefault="00F91FE9" w:rsidP="00F91FE9">
            <w:pPr>
              <w:rPr>
                <w:b/>
                <w:bCs/>
              </w:rPr>
            </w:pPr>
            <w:r>
              <w:rPr>
                <w:rFonts w:ascii="Aptos Narrow" w:hAnsi="Aptos Narrow"/>
                <w:color w:val="000000"/>
                <w:sz w:val="22"/>
                <w:szCs w:val="22"/>
              </w:rPr>
              <w:t>2.1</w:t>
            </w:r>
          </w:p>
        </w:tc>
      </w:tr>
      <w:tr w:rsidR="00F91FE9" w14:paraId="49504BA1" w14:textId="77777777" w:rsidTr="002B464E">
        <w:tc>
          <w:tcPr>
            <w:tcW w:w="4770" w:type="dxa"/>
            <w:vAlign w:val="bottom"/>
          </w:tcPr>
          <w:p w14:paraId="771E7104" w14:textId="313C5B06" w:rsidR="00F91FE9" w:rsidRDefault="00F91FE9" w:rsidP="00F91FE9">
            <w:pPr>
              <w:rPr>
                <w:b/>
                <w:bCs/>
              </w:rPr>
            </w:pPr>
            <w:r>
              <w:rPr>
                <w:rFonts w:ascii="Aptos Narrow" w:hAnsi="Aptos Narrow"/>
                <w:color w:val="000000"/>
                <w:sz w:val="22"/>
                <w:szCs w:val="22"/>
              </w:rPr>
              <w:t>Telecommunications Services</w:t>
            </w:r>
          </w:p>
        </w:tc>
        <w:tc>
          <w:tcPr>
            <w:tcW w:w="1620" w:type="dxa"/>
            <w:vAlign w:val="bottom"/>
          </w:tcPr>
          <w:p w14:paraId="65E2A1C8" w14:textId="5DB7C2F9" w:rsidR="00F91FE9" w:rsidRDefault="00F91FE9" w:rsidP="00F91FE9">
            <w:pPr>
              <w:rPr>
                <w:b/>
                <w:bCs/>
              </w:rPr>
            </w:pPr>
            <w:r>
              <w:rPr>
                <w:rFonts w:ascii="Aptos Narrow" w:hAnsi="Aptos Narrow"/>
                <w:color w:val="000000"/>
                <w:sz w:val="22"/>
                <w:szCs w:val="22"/>
              </w:rPr>
              <w:t>630</w:t>
            </w:r>
          </w:p>
        </w:tc>
        <w:tc>
          <w:tcPr>
            <w:tcW w:w="1800" w:type="dxa"/>
            <w:vAlign w:val="bottom"/>
          </w:tcPr>
          <w:p w14:paraId="42657542" w14:textId="14F0F212" w:rsidR="00F91FE9" w:rsidRDefault="00F91FE9" w:rsidP="00F91FE9">
            <w:pPr>
              <w:rPr>
                <w:b/>
                <w:bCs/>
              </w:rPr>
            </w:pPr>
            <w:r>
              <w:rPr>
                <w:rFonts w:ascii="Aptos Narrow" w:hAnsi="Aptos Narrow"/>
                <w:color w:val="000000"/>
                <w:sz w:val="22"/>
                <w:szCs w:val="22"/>
              </w:rPr>
              <w:t>1.6</w:t>
            </w:r>
          </w:p>
        </w:tc>
      </w:tr>
      <w:tr w:rsidR="00F91FE9" w14:paraId="0C2D8A6E" w14:textId="77777777" w:rsidTr="002B464E">
        <w:tc>
          <w:tcPr>
            <w:tcW w:w="4770" w:type="dxa"/>
            <w:vAlign w:val="bottom"/>
          </w:tcPr>
          <w:p w14:paraId="2872337C" w14:textId="7A835A5A" w:rsidR="00F91FE9" w:rsidRDefault="00F91FE9" w:rsidP="00F91FE9">
            <w:pPr>
              <w:rPr>
                <w:b/>
                <w:bCs/>
              </w:rPr>
            </w:pPr>
            <w:r>
              <w:rPr>
                <w:rFonts w:ascii="Aptos Narrow" w:hAnsi="Aptos Narrow"/>
                <w:color w:val="000000"/>
                <w:sz w:val="22"/>
                <w:szCs w:val="22"/>
              </w:rPr>
              <w:t>Automobiles &amp; Auto Parts</w:t>
            </w:r>
          </w:p>
        </w:tc>
        <w:tc>
          <w:tcPr>
            <w:tcW w:w="1620" w:type="dxa"/>
            <w:vAlign w:val="bottom"/>
          </w:tcPr>
          <w:p w14:paraId="402DE746" w14:textId="6F5BE342" w:rsidR="00F91FE9" w:rsidRDefault="00F91FE9" w:rsidP="00F91FE9">
            <w:pPr>
              <w:rPr>
                <w:b/>
                <w:bCs/>
              </w:rPr>
            </w:pPr>
            <w:r>
              <w:rPr>
                <w:rFonts w:ascii="Aptos Narrow" w:hAnsi="Aptos Narrow"/>
                <w:color w:val="000000"/>
                <w:sz w:val="22"/>
                <w:szCs w:val="22"/>
              </w:rPr>
              <w:t>630</w:t>
            </w:r>
          </w:p>
        </w:tc>
        <w:tc>
          <w:tcPr>
            <w:tcW w:w="1800" w:type="dxa"/>
            <w:vAlign w:val="bottom"/>
          </w:tcPr>
          <w:p w14:paraId="3C0E505B" w14:textId="31F268ED" w:rsidR="00F91FE9" w:rsidRDefault="00F91FE9" w:rsidP="00F91FE9">
            <w:pPr>
              <w:rPr>
                <w:b/>
                <w:bCs/>
              </w:rPr>
            </w:pPr>
            <w:r>
              <w:rPr>
                <w:rFonts w:ascii="Aptos Narrow" w:hAnsi="Aptos Narrow"/>
                <w:color w:val="000000"/>
                <w:sz w:val="22"/>
                <w:szCs w:val="22"/>
              </w:rPr>
              <w:t>1.6</w:t>
            </w:r>
          </w:p>
        </w:tc>
      </w:tr>
      <w:tr w:rsidR="00F91FE9" w14:paraId="2A391D5F" w14:textId="77777777" w:rsidTr="002B464E">
        <w:tc>
          <w:tcPr>
            <w:tcW w:w="4770" w:type="dxa"/>
            <w:vAlign w:val="bottom"/>
          </w:tcPr>
          <w:p w14:paraId="4A24497E" w14:textId="3BB027A9" w:rsidR="00F91FE9" w:rsidRDefault="00F91FE9" w:rsidP="00F91FE9">
            <w:pPr>
              <w:rPr>
                <w:b/>
                <w:bCs/>
              </w:rPr>
            </w:pPr>
            <w:r>
              <w:rPr>
                <w:rFonts w:ascii="Aptos Narrow" w:hAnsi="Aptos Narrow"/>
                <w:color w:val="000000"/>
                <w:sz w:val="22"/>
                <w:szCs w:val="22"/>
              </w:rPr>
              <w:t>Freight &amp; Logistics Services</w:t>
            </w:r>
          </w:p>
        </w:tc>
        <w:tc>
          <w:tcPr>
            <w:tcW w:w="1620" w:type="dxa"/>
            <w:vAlign w:val="bottom"/>
          </w:tcPr>
          <w:p w14:paraId="6D245511" w14:textId="778EECC5" w:rsidR="00F91FE9" w:rsidRDefault="00F91FE9" w:rsidP="00F91FE9">
            <w:pPr>
              <w:rPr>
                <w:b/>
                <w:bCs/>
              </w:rPr>
            </w:pPr>
            <w:r>
              <w:rPr>
                <w:rFonts w:ascii="Aptos Narrow" w:hAnsi="Aptos Narrow"/>
                <w:color w:val="000000"/>
                <w:sz w:val="22"/>
                <w:szCs w:val="22"/>
              </w:rPr>
              <w:t>560</w:t>
            </w:r>
          </w:p>
        </w:tc>
        <w:tc>
          <w:tcPr>
            <w:tcW w:w="1800" w:type="dxa"/>
            <w:vAlign w:val="bottom"/>
          </w:tcPr>
          <w:p w14:paraId="25E05567" w14:textId="258809CC" w:rsidR="00F91FE9" w:rsidRDefault="00F91FE9" w:rsidP="00F91FE9">
            <w:pPr>
              <w:rPr>
                <w:b/>
                <w:bCs/>
              </w:rPr>
            </w:pPr>
            <w:r>
              <w:rPr>
                <w:rFonts w:ascii="Aptos Narrow" w:hAnsi="Aptos Narrow"/>
                <w:color w:val="000000"/>
                <w:sz w:val="22"/>
                <w:szCs w:val="22"/>
              </w:rPr>
              <w:t>1.4</w:t>
            </w:r>
          </w:p>
        </w:tc>
      </w:tr>
      <w:tr w:rsidR="00F91FE9" w14:paraId="3E32890F" w14:textId="77777777" w:rsidTr="002B464E">
        <w:tc>
          <w:tcPr>
            <w:tcW w:w="4770" w:type="dxa"/>
            <w:vAlign w:val="bottom"/>
          </w:tcPr>
          <w:p w14:paraId="6C288DE4" w14:textId="6EECADF3" w:rsidR="00F91FE9" w:rsidRDefault="00F91FE9" w:rsidP="00F91FE9">
            <w:pPr>
              <w:rPr>
                <w:b/>
                <w:bCs/>
              </w:rPr>
            </w:pPr>
            <w:r>
              <w:rPr>
                <w:rFonts w:ascii="Aptos Narrow" w:hAnsi="Aptos Narrow"/>
                <w:color w:val="000000"/>
                <w:sz w:val="22"/>
                <w:szCs w:val="22"/>
              </w:rPr>
              <w:t>Beverages</w:t>
            </w:r>
          </w:p>
        </w:tc>
        <w:tc>
          <w:tcPr>
            <w:tcW w:w="1620" w:type="dxa"/>
            <w:vAlign w:val="bottom"/>
          </w:tcPr>
          <w:p w14:paraId="6AD84F7F" w14:textId="3FCE1FE6" w:rsidR="00F91FE9" w:rsidRDefault="00F91FE9" w:rsidP="00F91FE9">
            <w:pPr>
              <w:rPr>
                <w:b/>
                <w:bCs/>
              </w:rPr>
            </w:pPr>
            <w:r>
              <w:rPr>
                <w:rFonts w:ascii="Aptos Narrow" w:hAnsi="Aptos Narrow"/>
                <w:color w:val="000000"/>
                <w:sz w:val="22"/>
                <w:szCs w:val="22"/>
              </w:rPr>
              <w:t>560</w:t>
            </w:r>
          </w:p>
        </w:tc>
        <w:tc>
          <w:tcPr>
            <w:tcW w:w="1800" w:type="dxa"/>
            <w:vAlign w:val="bottom"/>
          </w:tcPr>
          <w:p w14:paraId="076EBC18" w14:textId="359B5731" w:rsidR="00F91FE9" w:rsidRDefault="00F91FE9" w:rsidP="00F91FE9">
            <w:pPr>
              <w:rPr>
                <w:b/>
                <w:bCs/>
              </w:rPr>
            </w:pPr>
            <w:r>
              <w:rPr>
                <w:rFonts w:ascii="Aptos Narrow" w:hAnsi="Aptos Narrow"/>
                <w:color w:val="000000"/>
                <w:sz w:val="22"/>
                <w:szCs w:val="22"/>
              </w:rPr>
              <w:t>1.4</w:t>
            </w:r>
          </w:p>
        </w:tc>
      </w:tr>
      <w:tr w:rsidR="00F91FE9" w14:paraId="5734BCFB" w14:textId="77777777" w:rsidTr="002B464E">
        <w:tc>
          <w:tcPr>
            <w:tcW w:w="4770" w:type="dxa"/>
            <w:vAlign w:val="bottom"/>
          </w:tcPr>
          <w:p w14:paraId="33C0E1F6" w14:textId="236CBFFB" w:rsidR="00F91FE9" w:rsidRDefault="00F91FE9" w:rsidP="00F91FE9">
            <w:pPr>
              <w:rPr>
                <w:b/>
                <w:bCs/>
              </w:rPr>
            </w:pPr>
            <w:r>
              <w:rPr>
                <w:rFonts w:ascii="Aptos Narrow" w:hAnsi="Aptos Narrow"/>
                <w:color w:val="000000"/>
                <w:sz w:val="22"/>
                <w:szCs w:val="22"/>
              </w:rPr>
              <w:t>Oil &amp; Gas Related Equipment and Services</w:t>
            </w:r>
          </w:p>
        </w:tc>
        <w:tc>
          <w:tcPr>
            <w:tcW w:w="1620" w:type="dxa"/>
            <w:vAlign w:val="bottom"/>
          </w:tcPr>
          <w:p w14:paraId="09A96839" w14:textId="678A5E2E" w:rsidR="00F91FE9" w:rsidRDefault="00F91FE9" w:rsidP="00F91FE9">
            <w:pPr>
              <w:rPr>
                <w:b/>
                <w:bCs/>
              </w:rPr>
            </w:pPr>
            <w:r>
              <w:rPr>
                <w:rFonts w:ascii="Aptos Narrow" w:hAnsi="Aptos Narrow"/>
                <w:color w:val="000000"/>
                <w:sz w:val="22"/>
                <w:szCs w:val="22"/>
              </w:rPr>
              <w:t>560</w:t>
            </w:r>
          </w:p>
        </w:tc>
        <w:tc>
          <w:tcPr>
            <w:tcW w:w="1800" w:type="dxa"/>
            <w:vAlign w:val="bottom"/>
          </w:tcPr>
          <w:p w14:paraId="430FFB9E" w14:textId="0F36661F" w:rsidR="00F91FE9" w:rsidRDefault="00F91FE9" w:rsidP="00F91FE9">
            <w:pPr>
              <w:rPr>
                <w:b/>
                <w:bCs/>
              </w:rPr>
            </w:pPr>
            <w:r>
              <w:rPr>
                <w:rFonts w:ascii="Aptos Narrow" w:hAnsi="Aptos Narrow"/>
                <w:color w:val="000000"/>
                <w:sz w:val="22"/>
                <w:szCs w:val="22"/>
              </w:rPr>
              <w:t>1.4</w:t>
            </w:r>
          </w:p>
        </w:tc>
      </w:tr>
      <w:tr w:rsidR="00F91FE9" w14:paraId="7A5B58B4" w14:textId="77777777" w:rsidTr="002B464E">
        <w:tc>
          <w:tcPr>
            <w:tcW w:w="4770" w:type="dxa"/>
            <w:vAlign w:val="bottom"/>
          </w:tcPr>
          <w:p w14:paraId="1D42C832" w14:textId="34F86889" w:rsidR="00F91FE9" w:rsidRDefault="00F91FE9" w:rsidP="00F91FE9">
            <w:pPr>
              <w:rPr>
                <w:b/>
                <w:bCs/>
              </w:rPr>
            </w:pPr>
            <w:r>
              <w:rPr>
                <w:rFonts w:ascii="Aptos Narrow" w:hAnsi="Aptos Narrow"/>
                <w:color w:val="000000"/>
                <w:sz w:val="22"/>
                <w:szCs w:val="22"/>
              </w:rPr>
              <w:t>Multiline Utilities</w:t>
            </w:r>
          </w:p>
        </w:tc>
        <w:tc>
          <w:tcPr>
            <w:tcW w:w="1620" w:type="dxa"/>
            <w:vAlign w:val="bottom"/>
          </w:tcPr>
          <w:p w14:paraId="2606E5EE" w14:textId="7945F072" w:rsidR="00F91FE9" w:rsidRDefault="00F91FE9" w:rsidP="00F91FE9">
            <w:pPr>
              <w:rPr>
                <w:b/>
                <w:bCs/>
              </w:rPr>
            </w:pPr>
            <w:r>
              <w:rPr>
                <w:rFonts w:ascii="Aptos Narrow" w:hAnsi="Aptos Narrow"/>
                <w:color w:val="000000"/>
                <w:sz w:val="22"/>
                <w:szCs w:val="22"/>
              </w:rPr>
              <w:t>490</w:t>
            </w:r>
          </w:p>
        </w:tc>
        <w:tc>
          <w:tcPr>
            <w:tcW w:w="1800" w:type="dxa"/>
            <w:vAlign w:val="bottom"/>
          </w:tcPr>
          <w:p w14:paraId="71AFA50A" w14:textId="7F53ADA4" w:rsidR="00F91FE9" w:rsidRDefault="00F91FE9" w:rsidP="00F91FE9">
            <w:pPr>
              <w:rPr>
                <w:b/>
                <w:bCs/>
              </w:rPr>
            </w:pPr>
            <w:r>
              <w:rPr>
                <w:rFonts w:ascii="Aptos Narrow" w:hAnsi="Aptos Narrow"/>
                <w:color w:val="000000"/>
                <w:sz w:val="22"/>
                <w:szCs w:val="22"/>
              </w:rPr>
              <w:t>1.3</w:t>
            </w:r>
          </w:p>
        </w:tc>
      </w:tr>
      <w:tr w:rsidR="00F91FE9" w14:paraId="00655CB1" w14:textId="77777777" w:rsidTr="002B464E">
        <w:tc>
          <w:tcPr>
            <w:tcW w:w="4770" w:type="dxa"/>
            <w:vAlign w:val="bottom"/>
          </w:tcPr>
          <w:p w14:paraId="1D66FD22" w14:textId="48396A28" w:rsidR="00F91FE9" w:rsidRDefault="00F91FE9" w:rsidP="00F91FE9">
            <w:pPr>
              <w:rPr>
                <w:b/>
                <w:bCs/>
              </w:rPr>
            </w:pPr>
            <w:r>
              <w:rPr>
                <w:rFonts w:ascii="Aptos Narrow" w:hAnsi="Aptos Narrow"/>
                <w:color w:val="000000"/>
                <w:sz w:val="22"/>
                <w:szCs w:val="22"/>
              </w:rPr>
              <w:t>Computers, Phones &amp; Household Electronics</w:t>
            </w:r>
          </w:p>
        </w:tc>
        <w:tc>
          <w:tcPr>
            <w:tcW w:w="1620" w:type="dxa"/>
            <w:vAlign w:val="bottom"/>
          </w:tcPr>
          <w:p w14:paraId="1309D20D" w14:textId="54EDBFDE" w:rsidR="00F91FE9" w:rsidRDefault="00F91FE9" w:rsidP="00F91FE9">
            <w:pPr>
              <w:rPr>
                <w:b/>
                <w:bCs/>
              </w:rPr>
            </w:pPr>
            <w:r>
              <w:rPr>
                <w:rFonts w:ascii="Aptos Narrow" w:hAnsi="Aptos Narrow"/>
                <w:color w:val="000000"/>
                <w:sz w:val="22"/>
                <w:szCs w:val="22"/>
              </w:rPr>
              <w:t>490</w:t>
            </w:r>
          </w:p>
        </w:tc>
        <w:tc>
          <w:tcPr>
            <w:tcW w:w="1800" w:type="dxa"/>
            <w:vAlign w:val="bottom"/>
          </w:tcPr>
          <w:p w14:paraId="7ACC083F" w14:textId="6DD223BB" w:rsidR="00F91FE9" w:rsidRDefault="00F91FE9" w:rsidP="00F91FE9">
            <w:pPr>
              <w:rPr>
                <w:b/>
                <w:bCs/>
              </w:rPr>
            </w:pPr>
            <w:r>
              <w:rPr>
                <w:rFonts w:ascii="Aptos Narrow" w:hAnsi="Aptos Narrow"/>
                <w:color w:val="000000"/>
                <w:sz w:val="22"/>
                <w:szCs w:val="22"/>
              </w:rPr>
              <w:t>1.3</w:t>
            </w:r>
          </w:p>
        </w:tc>
      </w:tr>
      <w:tr w:rsidR="00F91FE9" w14:paraId="53E6E48F" w14:textId="77777777" w:rsidTr="002B464E">
        <w:tc>
          <w:tcPr>
            <w:tcW w:w="4770" w:type="dxa"/>
            <w:vAlign w:val="bottom"/>
          </w:tcPr>
          <w:p w14:paraId="4BA192E5" w14:textId="31B1A469" w:rsidR="00F91FE9" w:rsidRDefault="00F91FE9" w:rsidP="00F91FE9">
            <w:pPr>
              <w:rPr>
                <w:b/>
                <w:bCs/>
              </w:rPr>
            </w:pPr>
            <w:r>
              <w:rPr>
                <w:rFonts w:ascii="Aptos Narrow" w:hAnsi="Aptos Narrow"/>
                <w:color w:val="000000"/>
                <w:sz w:val="22"/>
                <w:szCs w:val="22"/>
              </w:rPr>
              <w:t>Personal &amp; Household Products &amp; Services</w:t>
            </w:r>
          </w:p>
        </w:tc>
        <w:tc>
          <w:tcPr>
            <w:tcW w:w="1620" w:type="dxa"/>
            <w:vAlign w:val="bottom"/>
          </w:tcPr>
          <w:p w14:paraId="108D358F" w14:textId="0B04F2F0" w:rsidR="00F91FE9" w:rsidRDefault="00F91FE9" w:rsidP="00F91FE9">
            <w:pPr>
              <w:rPr>
                <w:b/>
                <w:bCs/>
              </w:rPr>
            </w:pPr>
            <w:r>
              <w:rPr>
                <w:rFonts w:ascii="Aptos Narrow" w:hAnsi="Aptos Narrow"/>
                <w:color w:val="000000"/>
                <w:sz w:val="22"/>
                <w:szCs w:val="22"/>
              </w:rPr>
              <w:t>490</w:t>
            </w:r>
          </w:p>
        </w:tc>
        <w:tc>
          <w:tcPr>
            <w:tcW w:w="1800" w:type="dxa"/>
            <w:vAlign w:val="bottom"/>
          </w:tcPr>
          <w:p w14:paraId="144C7310" w14:textId="3860444F" w:rsidR="00F91FE9" w:rsidRDefault="00F91FE9" w:rsidP="00F91FE9">
            <w:pPr>
              <w:rPr>
                <w:b/>
                <w:bCs/>
              </w:rPr>
            </w:pPr>
            <w:r>
              <w:rPr>
                <w:rFonts w:ascii="Aptos Narrow" w:hAnsi="Aptos Narrow"/>
                <w:color w:val="000000"/>
                <w:sz w:val="22"/>
                <w:szCs w:val="22"/>
              </w:rPr>
              <w:t>1.3</w:t>
            </w:r>
          </w:p>
        </w:tc>
      </w:tr>
      <w:tr w:rsidR="00F91FE9" w14:paraId="1C1F2526" w14:textId="77777777" w:rsidTr="002B464E">
        <w:tc>
          <w:tcPr>
            <w:tcW w:w="4770" w:type="dxa"/>
            <w:vAlign w:val="bottom"/>
          </w:tcPr>
          <w:p w14:paraId="5BDB212F" w14:textId="60294C43" w:rsidR="00F91FE9" w:rsidRDefault="00F91FE9" w:rsidP="00F91FE9">
            <w:pPr>
              <w:rPr>
                <w:b/>
                <w:bCs/>
              </w:rPr>
            </w:pPr>
            <w:r>
              <w:rPr>
                <w:rFonts w:ascii="Aptos Narrow" w:hAnsi="Aptos Narrow"/>
                <w:color w:val="000000"/>
                <w:sz w:val="22"/>
                <w:szCs w:val="22"/>
              </w:rPr>
              <w:t>Electronic Equipment &amp; Parts</w:t>
            </w:r>
          </w:p>
        </w:tc>
        <w:tc>
          <w:tcPr>
            <w:tcW w:w="1620" w:type="dxa"/>
            <w:vAlign w:val="bottom"/>
          </w:tcPr>
          <w:p w14:paraId="0094DCBF" w14:textId="0F3A7F57" w:rsidR="00F91FE9" w:rsidRDefault="00F91FE9" w:rsidP="00F91FE9">
            <w:pPr>
              <w:rPr>
                <w:b/>
                <w:bCs/>
              </w:rPr>
            </w:pPr>
            <w:r>
              <w:rPr>
                <w:rFonts w:ascii="Aptos Narrow" w:hAnsi="Aptos Narrow"/>
                <w:color w:val="000000"/>
                <w:sz w:val="22"/>
                <w:szCs w:val="22"/>
              </w:rPr>
              <w:t>490</w:t>
            </w:r>
          </w:p>
        </w:tc>
        <w:tc>
          <w:tcPr>
            <w:tcW w:w="1800" w:type="dxa"/>
            <w:vAlign w:val="bottom"/>
          </w:tcPr>
          <w:p w14:paraId="69E5489A" w14:textId="09665AA7" w:rsidR="00F91FE9" w:rsidRDefault="00F91FE9" w:rsidP="00F91FE9">
            <w:pPr>
              <w:rPr>
                <w:b/>
                <w:bCs/>
              </w:rPr>
            </w:pPr>
            <w:r>
              <w:rPr>
                <w:rFonts w:ascii="Aptos Narrow" w:hAnsi="Aptos Narrow"/>
                <w:color w:val="000000"/>
                <w:sz w:val="22"/>
                <w:szCs w:val="22"/>
              </w:rPr>
              <w:t>1.3</w:t>
            </w:r>
          </w:p>
        </w:tc>
      </w:tr>
      <w:tr w:rsidR="00F91FE9" w14:paraId="54843C55" w14:textId="77777777" w:rsidTr="002B464E">
        <w:tc>
          <w:tcPr>
            <w:tcW w:w="4770" w:type="dxa"/>
            <w:vAlign w:val="bottom"/>
          </w:tcPr>
          <w:p w14:paraId="71E0E2A4" w14:textId="36B0809A" w:rsidR="00F91FE9" w:rsidRDefault="00F91FE9" w:rsidP="00F91FE9">
            <w:pPr>
              <w:rPr>
                <w:b/>
                <w:bCs/>
              </w:rPr>
            </w:pPr>
            <w:r>
              <w:rPr>
                <w:rFonts w:ascii="Aptos Narrow" w:hAnsi="Aptos Narrow"/>
                <w:color w:val="000000"/>
                <w:sz w:val="22"/>
                <w:szCs w:val="22"/>
              </w:rPr>
              <w:t>Metals &amp; Mining</w:t>
            </w:r>
          </w:p>
        </w:tc>
        <w:tc>
          <w:tcPr>
            <w:tcW w:w="1620" w:type="dxa"/>
            <w:vAlign w:val="bottom"/>
          </w:tcPr>
          <w:p w14:paraId="5B63A47D" w14:textId="2C5069FB" w:rsidR="00F91FE9" w:rsidRDefault="00F91FE9" w:rsidP="00F91FE9">
            <w:pPr>
              <w:rPr>
                <w:b/>
                <w:bCs/>
              </w:rPr>
            </w:pPr>
            <w:r>
              <w:rPr>
                <w:rFonts w:ascii="Aptos Narrow" w:hAnsi="Aptos Narrow"/>
                <w:color w:val="000000"/>
                <w:sz w:val="22"/>
                <w:szCs w:val="22"/>
              </w:rPr>
              <w:t>420</w:t>
            </w:r>
          </w:p>
        </w:tc>
        <w:tc>
          <w:tcPr>
            <w:tcW w:w="1800" w:type="dxa"/>
            <w:vAlign w:val="bottom"/>
          </w:tcPr>
          <w:p w14:paraId="18AA3371" w14:textId="07E2B314" w:rsidR="00F91FE9" w:rsidRDefault="00F91FE9" w:rsidP="00F91FE9">
            <w:pPr>
              <w:rPr>
                <w:b/>
                <w:bCs/>
              </w:rPr>
            </w:pPr>
            <w:r>
              <w:rPr>
                <w:rFonts w:ascii="Aptos Narrow" w:hAnsi="Aptos Narrow"/>
                <w:color w:val="000000"/>
                <w:sz w:val="22"/>
                <w:szCs w:val="22"/>
              </w:rPr>
              <w:t>1.1</w:t>
            </w:r>
          </w:p>
        </w:tc>
      </w:tr>
      <w:tr w:rsidR="00F91FE9" w14:paraId="6902B088" w14:textId="77777777" w:rsidTr="002B464E">
        <w:tc>
          <w:tcPr>
            <w:tcW w:w="4770" w:type="dxa"/>
            <w:vAlign w:val="bottom"/>
          </w:tcPr>
          <w:p w14:paraId="700B7140" w14:textId="1EFCC7AE" w:rsidR="00F91FE9" w:rsidRDefault="00F91FE9" w:rsidP="00F91FE9">
            <w:pPr>
              <w:rPr>
                <w:b/>
                <w:bCs/>
              </w:rPr>
            </w:pPr>
            <w:r>
              <w:rPr>
                <w:rFonts w:ascii="Aptos Narrow" w:hAnsi="Aptos Narrow"/>
                <w:color w:val="000000"/>
                <w:sz w:val="22"/>
                <w:szCs w:val="22"/>
              </w:rPr>
              <w:t>Homebuilding &amp; Construction Supplies</w:t>
            </w:r>
          </w:p>
        </w:tc>
        <w:tc>
          <w:tcPr>
            <w:tcW w:w="1620" w:type="dxa"/>
            <w:vAlign w:val="bottom"/>
          </w:tcPr>
          <w:p w14:paraId="0204A56E" w14:textId="794448E4" w:rsidR="00F91FE9" w:rsidRDefault="00F91FE9" w:rsidP="00F91FE9">
            <w:pPr>
              <w:rPr>
                <w:b/>
                <w:bCs/>
              </w:rPr>
            </w:pPr>
            <w:r>
              <w:rPr>
                <w:rFonts w:ascii="Aptos Narrow" w:hAnsi="Aptos Narrow"/>
                <w:color w:val="000000"/>
                <w:sz w:val="22"/>
                <w:szCs w:val="22"/>
              </w:rPr>
              <w:t>420</w:t>
            </w:r>
          </w:p>
        </w:tc>
        <w:tc>
          <w:tcPr>
            <w:tcW w:w="1800" w:type="dxa"/>
            <w:vAlign w:val="bottom"/>
          </w:tcPr>
          <w:p w14:paraId="074B2623" w14:textId="294E98B8" w:rsidR="00F91FE9" w:rsidRDefault="00F91FE9" w:rsidP="00F91FE9">
            <w:pPr>
              <w:rPr>
                <w:b/>
                <w:bCs/>
              </w:rPr>
            </w:pPr>
            <w:r>
              <w:rPr>
                <w:rFonts w:ascii="Aptos Narrow" w:hAnsi="Aptos Narrow"/>
                <w:color w:val="000000"/>
                <w:sz w:val="22"/>
                <w:szCs w:val="22"/>
              </w:rPr>
              <w:t>1.1</w:t>
            </w:r>
          </w:p>
        </w:tc>
      </w:tr>
      <w:tr w:rsidR="00F91FE9" w14:paraId="3EF75619" w14:textId="77777777" w:rsidTr="002B464E">
        <w:tc>
          <w:tcPr>
            <w:tcW w:w="4770" w:type="dxa"/>
            <w:vAlign w:val="bottom"/>
          </w:tcPr>
          <w:p w14:paraId="273B3B7F" w14:textId="47459207" w:rsidR="00F91FE9" w:rsidRDefault="00F91FE9" w:rsidP="00F91FE9">
            <w:pPr>
              <w:rPr>
                <w:b/>
                <w:bCs/>
              </w:rPr>
            </w:pPr>
            <w:r>
              <w:rPr>
                <w:rFonts w:ascii="Aptos Narrow" w:hAnsi="Aptos Narrow"/>
                <w:color w:val="000000"/>
                <w:sz w:val="22"/>
                <w:szCs w:val="22"/>
              </w:rPr>
              <w:t>Communications &amp; Networking</w:t>
            </w:r>
          </w:p>
        </w:tc>
        <w:tc>
          <w:tcPr>
            <w:tcW w:w="1620" w:type="dxa"/>
            <w:vAlign w:val="bottom"/>
          </w:tcPr>
          <w:p w14:paraId="2666497C" w14:textId="545CBFF5" w:rsidR="00F91FE9" w:rsidRDefault="00F91FE9" w:rsidP="00F91FE9">
            <w:pPr>
              <w:rPr>
                <w:b/>
                <w:bCs/>
              </w:rPr>
            </w:pPr>
            <w:r>
              <w:rPr>
                <w:rFonts w:ascii="Aptos Narrow" w:hAnsi="Aptos Narrow"/>
                <w:color w:val="000000"/>
                <w:sz w:val="22"/>
                <w:szCs w:val="22"/>
              </w:rPr>
              <w:t>420</w:t>
            </w:r>
          </w:p>
        </w:tc>
        <w:tc>
          <w:tcPr>
            <w:tcW w:w="1800" w:type="dxa"/>
            <w:vAlign w:val="bottom"/>
          </w:tcPr>
          <w:p w14:paraId="3D1DE56D" w14:textId="3D2C0E80" w:rsidR="00F91FE9" w:rsidRDefault="00F91FE9" w:rsidP="00F91FE9">
            <w:pPr>
              <w:rPr>
                <w:b/>
                <w:bCs/>
              </w:rPr>
            </w:pPr>
            <w:r>
              <w:rPr>
                <w:rFonts w:ascii="Aptos Narrow" w:hAnsi="Aptos Narrow"/>
                <w:color w:val="000000"/>
                <w:sz w:val="22"/>
                <w:szCs w:val="22"/>
              </w:rPr>
              <w:t>1.1</w:t>
            </w:r>
          </w:p>
        </w:tc>
      </w:tr>
      <w:tr w:rsidR="00F91FE9" w14:paraId="43630137" w14:textId="77777777" w:rsidTr="002B464E">
        <w:tc>
          <w:tcPr>
            <w:tcW w:w="4770" w:type="dxa"/>
            <w:vAlign w:val="bottom"/>
          </w:tcPr>
          <w:p w14:paraId="31AECC35" w14:textId="5E352887" w:rsidR="00F91FE9" w:rsidRDefault="00F91FE9" w:rsidP="00F91FE9">
            <w:pPr>
              <w:rPr>
                <w:b/>
                <w:bCs/>
              </w:rPr>
            </w:pPr>
            <w:r>
              <w:rPr>
                <w:rFonts w:ascii="Aptos Narrow" w:hAnsi="Aptos Narrow"/>
                <w:color w:val="000000"/>
                <w:sz w:val="22"/>
                <w:szCs w:val="22"/>
              </w:rPr>
              <w:t>Containers &amp; Packaging</w:t>
            </w:r>
          </w:p>
        </w:tc>
        <w:tc>
          <w:tcPr>
            <w:tcW w:w="1620" w:type="dxa"/>
            <w:vAlign w:val="bottom"/>
          </w:tcPr>
          <w:p w14:paraId="19DCDFE7" w14:textId="11B370FE" w:rsidR="00F91FE9" w:rsidRDefault="00F91FE9" w:rsidP="00F91FE9">
            <w:pPr>
              <w:rPr>
                <w:b/>
                <w:bCs/>
              </w:rPr>
            </w:pPr>
            <w:r>
              <w:rPr>
                <w:rFonts w:ascii="Aptos Narrow" w:hAnsi="Aptos Narrow"/>
                <w:color w:val="000000"/>
                <w:sz w:val="22"/>
                <w:szCs w:val="22"/>
              </w:rPr>
              <w:t>420</w:t>
            </w:r>
          </w:p>
        </w:tc>
        <w:tc>
          <w:tcPr>
            <w:tcW w:w="1800" w:type="dxa"/>
            <w:vAlign w:val="bottom"/>
          </w:tcPr>
          <w:p w14:paraId="498661CE" w14:textId="7040DB4F" w:rsidR="00F91FE9" w:rsidRDefault="00F91FE9" w:rsidP="00F91FE9">
            <w:pPr>
              <w:rPr>
                <w:b/>
                <w:bCs/>
              </w:rPr>
            </w:pPr>
            <w:r>
              <w:rPr>
                <w:rFonts w:ascii="Aptos Narrow" w:hAnsi="Aptos Narrow"/>
                <w:color w:val="000000"/>
                <w:sz w:val="22"/>
                <w:szCs w:val="22"/>
              </w:rPr>
              <w:t>1.1</w:t>
            </w:r>
          </w:p>
        </w:tc>
      </w:tr>
      <w:tr w:rsidR="00F91FE9" w14:paraId="35D90AC3" w14:textId="77777777" w:rsidTr="002B464E">
        <w:tc>
          <w:tcPr>
            <w:tcW w:w="4770" w:type="dxa"/>
            <w:vAlign w:val="bottom"/>
          </w:tcPr>
          <w:p w14:paraId="48326B9A" w14:textId="032A66E1" w:rsidR="00F91FE9" w:rsidRDefault="00F91FE9" w:rsidP="00F91FE9">
            <w:pPr>
              <w:rPr>
                <w:b/>
                <w:bCs/>
              </w:rPr>
            </w:pPr>
            <w:r>
              <w:rPr>
                <w:rFonts w:ascii="Aptos Narrow" w:hAnsi="Aptos Narrow"/>
                <w:color w:val="000000"/>
                <w:sz w:val="22"/>
                <w:szCs w:val="22"/>
              </w:rPr>
              <w:t>Biotechnology &amp; Medical Research</w:t>
            </w:r>
          </w:p>
        </w:tc>
        <w:tc>
          <w:tcPr>
            <w:tcW w:w="1620" w:type="dxa"/>
            <w:vAlign w:val="bottom"/>
          </w:tcPr>
          <w:p w14:paraId="5156DDDE" w14:textId="76D72AA2" w:rsidR="00F91FE9" w:rsidRDefault="00F91FE9" w:rsidP="00F91FE9">
            <w:pPr>
              <w:rPr>
                <w:b/>
                <w:bCs/>
              </w:rPr>
            </w:pPr>
            <w:r>
              <w:rPr>
                <w:rFonts w:ascii="Aptos Narrow" w:hAnsi="Aptos Narrow"/>
                <w:color w:val="000000"/>
                <w:sz w:val="22"/>
                <w:szCs w:val="22"/>
              </w:rPr>
              <w:t>420</w:t>
            </w:r>
          </w:p>
        </w:tc>
        <w:tc>
          <w:tcPr>
            <w:tcW w:w="1800" w:type="dxa"/>
            <w:vAlign w:val="bottom"/>
          </w:tcPr>
          <w:p w14:paraId="0C8A6F35" w14:textId="43467AD3" w:rsidR="00F91FE9" w:rsidRDefault="00F91FE9" w:rsidP="00F91FE9">
            <w:pPr>
              <w:rPr>
                <w:b/>
                <w:bCs/>
              </w:rPr>
            </w:pPr>
            <w:r>
              <w:rPr>
                <w:rFonts w:ascii="Aptos Narrow" w:hAnsi="Aptos Narrow"/>
                <w:color w:val="000000"/>
                <w:sz w:val="22"/>
                <w:szCs w:val="22"/>
              </w:rPr>
              <w:t>1.1</w:t>
            </w:r>
          </w:p>
        </w:tc>
      </w:tr>
      <w:tr w:rsidR="00F91FE9" w14:paraId="52987B17" w14:textId="77777777" w:rsidTr="002B464E">
        <w:tc>
          <w:tcPr>
            <w:tcW w:w="4770" w:type="dxa"/>
            <w:vAlign w:val="bottom"/>
          </w:tcPr>
          <w:p w14:paraId="627EB1C1" w14:textId="01E2DABF" w:rsidR="00F91FE9" w:rsidRDefault="00F91FE9" w:rsidP="00F91FE9">
            <w:pPr>
              <w:rPr>
                <w:b/>
                <w:bCs/>
              </w:rPr>
            </w:pPr>
            <w:r>
              <w:rPr>
                <w:rFonts w:ascii="Aptos Narrow" w:hAnsi="Aptos Narrow"/>
                <w:color w:val="000000"/>
                <w:sz w:val="22"/>
                <w:szCs w:val="22"/>
              </w:rPr>
              <w:t>Diversified Retail</w:t>
            </w:r>
          </w:p>
        </w:tc>
        <w:tc>
          <w:tcPr>
            <w:tcW w:w="1620" w:type="dxa"/>
            <w:vAlign w:val="bottom"/>
          </w:tcPr>
          <w:p w14:paraId="31762DED" w14:textId="7C836D85" w:rsidR="00F91FE9" w:rsidRDefault="00F91FE9" w:rsidP="00F91FE9">
            <w:pPr>
              <w:rPr>
                <w:b/>
                <w:bCs/>
              </w:rPr>
            </w:pPr>
            <w:r>
              <w:rPr>
                <w:rFonts w:ascii="Aptos Narrow" w:hAnsi="Aptos Narrow"/>
                <w:color w:val="000000"/>
                <w:sz w:val="22"/>
                <w:szCs w:val="22"/>
              </w:rPr>
              <w:t>420</w:t>
            </w:r>
          </w:p>
        </w:tc>
        <w:tc>
          <w:tcPr>
            <w:tcW w:w="1800" w:type="dxa"/>
            <w:vAlign w:val="bottom"/>
          </w:tcPr>
          <w:p w14:paraId="1DCCBDC2" w14:textId="364C70E5" w:rsidR="00F91FE9" w:rsidRDefault="00F91FE9" w:rsidP="00F91FE9">
            <w:pPr>
              <w:rPr>
                <w:b/>
                <w:bCs/>
              </w:rPr>
            </w:pPr>
            <w:r>
              <w:rPr>
                <w:rFonts w:ascii="Aptos Narrow" w:hAnsi="Aptos Narrow"/>
                <w:color w:val="000000"/>
                <w:sz w:val="22"/>
                <w:szCs w:val="22"/>
              </w:rPr>
              <w:t>1.1</w:t>
            </w:r>
          </w:p>
        </w:tc>
      </w:tr>
      <w:tr w:rsidR="00F91FE9" w14:paraId="4DB359AD" w14:textId="77777777" w:rsidTr="002B464E">
        <w:tc>
          <w:tcPr>
            <w:tcW w:w="4770" w:type="dxa"/>
            <w:vAlign w:val="bottom"/>
          </w:tcPr>
          <w:p w14:paraId="3EB7035D" w14:textId="2D93C168" w:rsidR="00F91FE9" w:rsidRDefault="00F91FE9" w:rsidP="00F91FE9">
            <w:pPr>
              <w:rPr>
                <w:b/>
                <w:bCs/>
              </w:rPr>
            </w:pPr>
            <w:r>
              <w:rPr>
                <w:rFonts w:ascii="Aptos Narrow" w:hAnsi="Aptos Narrow"/>
                <w:color w:val="000000"/>
                <w:sz w:val="22"/>
                <w:szCs w:val="22"/>
              </w:rPr>
              <w:t>Textiles &amp; Apparel</w:t>
            </w:r>
          </w:p>
        </w:tc>
        <w:tc>
          <w:tcPr>
            <w:tcW w:w="1620" w:type="dxa"/>
            <w:vAlign w:val="bottom"/>
          </w:tcPr>
          <w:p w14:paraId="0E08D0BE" w14:textId="76CCEE5E" w:rsidR="00F91FE9" w:rsidRDefault="00F91FE9" w:rsidP="00F91FE9">
            <w:pPr>
              <w:rPr>
                <w:b/>
                <w:bCs/>
              </w:rPr>
            </w:pPr>
            <w:r>
              <w:rPr>
                <w:rFonts w:ascii="Aptos Narrow" w:hAnsi="Aptos Narrow"/>
                <w:color w:val="000000"/>
                <w:sz w:val="22"/>
                <w:szCs w:val="22"/>
              </w:rPr>
              <w:t>280</w:t>
            </w:r>
          </w:p>
        </w:tc>
        <w:tc>
          <w:tcPr>
            <w:tcW w:w="1800" w:type="dxa"/>
            <w:vAlign w:val="bottom"/>
          </w:tcPr>
          <w:p w14:paraId="033CC738" w14:textId="0886F78D" w:rsidR="00F91FE9" w:rsidRDefault="00F91FE9" w:rsidP="00F91FE9">
            <w:pPr>
              <w:rPr>
                <w:b/>
                <w:bCs/>
              </w:rPr>
            </w:pPr>
            <w:r>
              <w:rPr>
                <w:rFonts w:ascii="Aptos Narrow" w:hAnsi="Aptos Narrow"/>
                <w:color w:val="000000"/>
                <w:sz w:val="22"/>
                <w:szCs w:val="22"/>
              </w:rPr>
              <w:t>0.7</w:t>
            </w:r>
          </w:p>
        </w:tc>
      </w:tr>
      <w:tr w:rsidR="00F91FE9" w14:paraId="459A934D" w14:textId="77777777" w:rsidTr="002B464E">
        <w:tc>
          <w:tcPr>
            <w:tcW w:w="4770" w:type="dxa"/>
            <w:vAlign w:val="bottom"/>
          </w:tcPr>
          <w:p w14:paraId="748433BD" w14:textId="3CD39D69" w:rsidR="00F91FE9" w:rsidRDefault="00F91FE9" w:rsidP="00F91FE9">
            <w:pPr>
              <w:rPr>
                <w:b/>
                <w:bCs/>
              </w:rPr>
            </w:pPr>
            <w:r>
              <w:rPr>
                <w:rFonts w:ascii="Aptos Narrow" w:hAnsi="Aptos Narrow"/>
                <w:color w:val="000000"/>
                <w:sz w:val="22"/>
                <w:szCs w:val="22"/>
              </w:rPr>
              <w:t>Passenger Transportation Services</w:t>
            </w:r>
          </w:p>
        </w:tc>
        <w:tc>
          <w:tcPr>
            <w:tcW w:w="1620" w:type="dxa"/>
            <w:vAlign w:val="bottom"/>
          </w:tcPr>
          <w:p w14:paraId="0EC1CE1A" w14:textId="1E08C810" w:rsidR="00F91FE9" w:rsidRDefault="00F91FE9" w:rsidP="00F91FE9">
            <w:pPr>
              <w:rPr>
                <w:b/>
                <w:bCs/>
              </w:rPr>
            </w:pPr>
            <w:r>
              <w:rPr>
                <w:rFonts w:ascii="Aptos Narrow" w:hAnsi="Aptos Narrow"/>
                <w:color w:val="000000"/>
                <w:sz w:val="22"/>
                <w:szCs w:val="22"/>
              </w:rPr>
              <w:t>280</w:t>
            </w:r>
          </w:p>
        </w:tc>
        <w:tc>
          <w:tcPr>
            <w:tcW w:w="1800" w:type="dxa"/>
            <w:vAlign w:val="bottom"/>
          </w:tcPr>
          <w:p w14:paraId="3C0C7969" w14:textId="52EA3968" w:rsidR="00F91FE9" w:rsidRDefault="00F91FE9" w:rsidP="00F91FE9">
            <w:pPr>
              <w:rPr>
                <w:b/>
                <w:bCs/>
              </w:rPr>
            </w:pPr>
            <w:r>
              <w:rPr>
                <w:rFonts w:ascii="Aptos Narrow" w:hAnsi="Aptos Narrow"/>
                <w:color w:val="000000"/>
                <w:sz w:val="22"/>
                <w:szCs w:val="22"/>
              </w:rPr>
              <w:t>0.7</w:t>
            </w:r>
          </w:p>
        </w:tc>
      </w:tr>
      <w:tr w:rsidR="00F91FE9" w14:paraId="7EA88C64" w14:textId="77777777" w:rsidTr="002B464E">
        <w:tc>
          <w:tcPr>
            <w:tcW w:w="4770" w:type="dxa"/>
            <w:vAlign w:val="bottom"/>
          </w:tcPr>
          <w:p w14:paraId="5611C8DD" w14:textId="7EA93733" w:rsidR="00F91FE9" w:rsidRDefault="00F91FE9" w:rsidP="00F91FE9">
            <w:pPr>
              <w:rPr>
                <w:b/>
                <w:bCs/>
              </w:rPr>
            </w:pPr>
            <w:r>
              <w:rPr>
                <w:rFonts w:ascii="Aptos Narrow" w:hAnsi="Aptos Narrow"/>
                <w:color w:val="000000"/>
                <w:sz w:val="22"/>
                <w:szCs w:val="22"/>
              </w:rPr>
              <w:t>Consumer Goods Conglomerates</w:t>
            </w:r>
          </w:p>
        </w:tc>
        <w:tc>
          <w:tcPr>
            <w:tcW w:w="1620" w:type="dxa"/>
            <w:vAlign w:val="bottom"/>
          </w:tcPr>
          <w:p w14:paraId="0353A29A" w14:textId="77A010FD" w:rsidR="00F91FE9" w:rsidRDefault="00F91FE9" w:rsidP="00F91FE9">
            <w:pPr>
              <w:rPr>
                <w:b/>
                <w:bCs/>
              </w:rPr>
            </w:pPr>
            <w:r>
              <w:rPr>
                <w:rFonts w:ascii="Aptos Narrow" w:hAnsi="Aptos Narrow"/>
                <w:color w:val="000000"/>
                <w:sz w:val="22"/>
                <w:szCs w:val="22"/>
              </w:rPr>
              <w:t>280</w:t>
            </w:r>
          </w:p>
        </w:tc>
        <w:tc>
          <w:tcPr>
            <w:tcW w:w="1800" w:type="dxa"/>
            <w:vAlign w:val="bottom"/>
          </w:tcPr>
          <w:p w14:paraId="3A919908" w14:textId="6A8345BF" w:rsidR="00F91FE9" w:rsidRDefault="00F91FE9" w:rsidP="00F91FE9">
            <w:pPr>
              <w:rPr>
                <w:b/>
                <w:bCs/>
              </w:rPr>
            </w:pPr>
            <w:r>
              <w:rPr>
                <w:rFonts w:ascii="Aptos Narrow" w:hAnsi="Aptos Narrow"/>
                <w:color w:val="000000"/>
                <w:sz w:val="22"/>
                <w:szCs w:val="22"/>
              </w:rPr>
              <w:t>0.7</w:t>
            </w:r>
          </w:p>
        </w:tc>
      </w:tr>
      <w:tr w:rsidR="00F91FE9" w14:paraId="73E89EDD" w14:textId="77777777" w:rsidTr="002B464E">
        <w:tc>
          <w:tcPr>
            <w:tcW w:w="4770" w:type="dxa"/>
            <w:vAlign w:val="bottom"/>
          </w:tcPr>
          <w:p w14:paraId="231EC9EC" w14:textId="49179CBC" w:rsidR="00F91FE9" w:rsidRDefault="00F91FE9" w:rsidP="00F91FE9">
            <w:pPr>
              <w:rPr>
                <w:b/>
                <w:bCs/>
              </w:rPr>
            </w:pPr>
            <w:r>
              <w:rPr>
                <w:rFonts w:ascii="Aptos Narrow" w:hAnsi="Aptos Narrow"/>
                <w:color w:val="000000"/>
                <w:sz w:val="22"/>
                <w:szCs w:val="22"/>
              </w:rPr>
              <w:t>Food &amp; Drug Retailing</w:t>
            </w:r>
          </w:p>
        </w:tc>
        <w:tc>
          <w:tcPr>
            <w:tcW w:w="1620" w:type="dxa"/>
            <w:vAlign w:val="bottom"/>
          </w:tcPr>
          <w:p w14:paraId="6F35244B" w14:textId="1341A24A" w:rsidR="00F91FE9" w:rsidRDefault="00F91FE9" w:rsidP="00F91FE9">
            <w:pPr>
              <w:rPr>
                <w:b/>
                <w:bCs/>
              </w:rPr>
            </w:pPr>
            <w:r>
              <w:rPr>
                <w:rFonts w:ascii="Aptos Narrow" w:hAnsi="Aptos Narrow"/>
                <w:color w:val="000000"/>
                <w:sz w:val="22"/>
                <w:szCs w:val="22"/>
              </w:rPr>
              <w:t>280</w:t>
            </w:r>
          </w:p>
        </w:tc>
        <w:tc>
          <w:tcPr>
            <w:tcW w:w="1800" w:type="dxa"/>
            <w:vAlign w:val="bottom"/>
          </w:tcPr>
          <w:p w14:paraId="64BE4EF9" w14:textId="43931168" w:rsidR="00F91FE9" w:rsidRDefault="00F91FE9" w:rsidP="00F91FE9">
            <w:pPr>
              <w:rPr>
                <w:b/>
                <w:bCs/>
              </w:rPr>
            </w:pPr>
            <w:r>
              <w:rPr>
                <w:rFonts w:ascii="Aptos Narrow" w:hAnsi="Aptos Narrow"/>
                <w:color w:val="000000"/>
                <w:sz w:val="22"/>
                <w:szCs w:val="22"/>
              </w:rPr>
              <w:t>0.7</w:t>
            </w:r>
          </w:p>
        </w:tc>
      </w:tr>
      <w:tr w:rsidR="00F91FE9" w14:paraId="0927B33B" w14:textId="77777777" w:rsidTr="002B464E">
        <w:tc>
          <w:tcPr>
            <w:tcW w:w="4770" w:type="dxa"/>
            <w:vAlign w:val="bottom"/>
          </w:tcPr>
          <w:p w14:paraId="3E238084" w14:textId="7C0FA0D0" w:rsidR="00F91FE9" w:rsidRDefault="00F91FE9" w:rsidP="00F91FE9">
            <w:pPr>
              <w:rPr>
                <w:b/>
                <w:bCs/>
              </w:rPr>
            </w:pPr>
            <w:r>
              <w:rPr>
                <w:rFonts w:ascii="Aptos Narrow" w:hAnsi="Aptos Narrow"/>
                <w:color w:val="000000"/>
                <w:sz w:val="22"/>
                <w:szCs w:val="22"/>
              </w:rPr>
              <w:t>Financial Technology (Fintech) &amp; Infrastructure</w:t>
            </w:r>
          </w:p>
        </w:tc>
        <w:tc>
          <w:tcPr>
            <w:tcW w:w="1620" w:type="dxa"/>
            <w:vAlign w:val="bottom"/>
          </w:tcPr>
          <w:p w14:paraId="73062815" w14:textId="6C13CCA2" w:rsidR="00F91FE9" w:rsidRDefault="00F91FE9" w:rsidP="00F91FE9">
            <w:pPr>
              <w:rPr>
                <w:b/>
                <w:bCs/>
              </w:rPr>
            </w:pPr>
            <w:r>
              <w:rPr>
                <w:rFonts w:ascii="Aptos Narrow" w:hAnsi="Aptos Narrow"/>
                <w:color w:val="000000"/>
                <w:sz w:val="22"/>
                <w:szCs w:val="22"/>
              </w:rPr>
              <w:t>210</w:t>
            </w:r>
          </w:p>
        </w:tc>
        <w:tc>
          <w:tcPr>
            <w:tcW w:w="1800" w:type="dxa"/>
            <w:vAlign w:val="bottom"/>
          </w:tcPr>
          <w:p w14:paraId="4E3CAF8E" w14:textId="59C012BD" w:rsidR="00F91FE9" w:rsidRDefault="00F91FE9" w:rsidP="00F91FE9">
            <w:pPr>
              <w:rPr>
                <w:b/>
                <w:bCs/>
              </w:rPr>
            </w:pPr>
            <w:r>
              <w:rPr>
                <w:rFonts w:ascii="Aptos Narrow" w:hAnsi="Aptos Narrow"/>
                <w:color w:val="000000"/>
                <w:sz w:val="22"/>
                <w:szCs w:val="22"/>
              </w:rPr>
              <w:t>0.5</w:t>
            </w:r>
          </w:p>
        </w:tc>
      </w:tr>
      <w:tr w:rsidR="00F91FE9" w14:paraId="256900C9" w14:textId="77777777" w:rsidTr="002B464E">
        <w:tc>
          <w:tcPr>
            <w:tcW w:w="4770" w:type="dxa"/>
            <w:vAlign w:val="bottom"/>
          </w:tcPr>
          <w:p w14:paraId="53138D56" w14:textId="389BCDE1" w:rsidR="00F91FE9" w:rsidRDefault="00F91FE9" w:rsidP="00F91FE9">
            <w:pPr>
              <w:rPr>
                <w:b/>
                <w:bCs/>
              </w:rPr>
            </w:pPr>
            <w:r>
              <w:rPr>
                <w:rFonts w:ascii="Aptos Narrow" w:hAnsi="Aptos Narrow"/>
                <w:color w:val="000000"/>
                <w:sz w:val="22"/>
                <w:szCs w:val="22"/>
              </w:rPr>
              <w:t>Construction Materials</w:t>
            </w:r>
          </w:p>
        </w:tc>
        <w:tc>
          <w:tcPr>
            <w:tcW w:w="1620" w:type="dxa"/>
            <w:vAlign w:val="bottom"/>
          </w:tcPr>
          <w:p w14:paraId="30221135" w14:textId="2CFD4540" w:rsidR="00F91FE9" w:rsidRDefault="00F91FE9" w:rsidP="00F91FE9">
            <w:pPr>
              <w:rPr>
                <w:b/>
                <w:bCs/>
              </w:rPr>
            </w:pPr>
            <w:r>
              <w:rPr>
                <w:rFonts w:ascii="Aptos Narrow" w:hAnsi="Aptos Narrow"/>
                <w:color w:val="000000"/>
                <w:sz w:val="22"/>
                <w:szCs w:val="22"/>
              </w:rPr>
              <w:t>140</w:t>
            </w:r>
          </w:p>
        </w:tc>
        <w:tc>
          <w:tcPr>
            <w:tcW w:w="1800" w:type="dxa"/>
            <w:vAlign w:val="bottom"/>
          </w:tcPr>
          <w:p w14:paraId="25FAE67D" w14:textId="4D246543" w:rsidR="00F91FE9" w:rsidRDefault="00F91FE9" w:rsidP="00F91FE9">
            <w:pPr>
              <w:rPr>
                <w:b/>
                <w:bCs/>
              </w:rPr>
            </w:pPr>
            <w:r>
              <w:rPr>
                <w:rFonts w:ascii="Aptos Narrow" w:hAnsi="Aptos Narrow"/>
                <w:color w:val="000000"/>
                <w:sz w:val="22"/>
                <w:szCs w:val="22"/>
              </w:rPr>
              <w:t>0.4</w:t>
            </w:r>
          </w:p>
        </w:tc>
      </w:tr>
      <w:tr w:rsidR="00F91FE9" w14:paraId="1755D836" w14:textId="77777777" w:rsidTr="002B464E">
        <w:tc>
          <w:tcPr>
            <w:tcW w:w="4770" w:type="dxa"/>
            <w:vAlign w:val="bottom"/>
          </w:tcPr>
          <w:p w14:paraId="484FDB69" w14:textId="084D8B5E" w:rsidR="00F91FE9" w:rsidRDefault="00F91FE9" w:rsidP="00F91FE9">
            <w:pPr>
              <w:rPr>
                <w:b/>
                <w:bCs/>
              </w:rPr>
            </w:pPr>
            <w:r>
              <w:rPr>
                <w:rFonts w:ascii="Aptos Narrow" w:hAnsi="Aptos Narrow"/>
                <w:color w:val="000000"/>
                <w:sz w:val="22"/>
                <w:szCs w:val="22"/>
              </w:rPr>
              <w:t>Leisure Products</w:t>
            </w:r>
          </w:p>
        </w:tc>
        <w:tc>
          <w:tcPr>
            <w:tcW w:w="1620" w:type="dxa"/>
            <w:vAlign w:val="bottom"/>
          </w:tcPr>
          <w:p w14:paraId="3AA1346B" w14:textId="1025A567" w:rsidR="00F91FE9" w:rsidRDefault="00F91FE9" w:rsidP="00F91FE9">
            <w:pPr>
              <w:rPr>
                <w:b/>
                <w:bCs/>
              </w:rPr>
            </w:pPr>
            <w:r>
              <w:rPr>
                <w:rFonts w:ascii="Aptos Narrow" w:hAnsi="Aptos Narrow"/>
                <w:color w:val="000000"/>
                <w:sz w:val="22"/>
                <w:szCs w:val="22"/>
              </w:rPr>
              <w:t>140</w:t>
            </w:r>
          </w:p>
        </w:tc>
        <w:tc>
          <w:tcPr>
            <w:tcW w:w="1800" w:type="dxa"/>
            <w:vAlign w:val="bottom"/>
          </w:tcPr>
          <w:p w14:paraId="5564CE94" w14:textId="672B7450" w:rsidR="00F91FE9" w:rsidRDefault="00F91FE9" w:rsidP="00F91FE9">
            <w:pPr>
              <w:rPr>
                <w:b/>
                <w:bCs/>
              </w:rPr>
            </w:pPr>
            <w:r>
              <w:rPr>
                <w:rFonts w:ascii="Aptos Narrow" w:hAnsi="Aptos Narrow"/>
                <w:color w:val="000000"/>
                <w:sz w:val="22"/>
                <w:szCs w:val="22"/>
              </w:rPr>
              <w:t>0.4</w:t>
            </w:r>
          </w:p>
        </w:tc>
      </w:tr>
      <w:tr w:rsidR="00F91FE9" w14:paraId="653B04AC" w14:textId="77777777" w:rsidTr="002B464E">
        <w:tc>
          <w:tcPr>
            <w:tcW w:w="4770" w:type="dxa"/>
            <w:vAlign w:val="bottom"/>
          </w:tcPr>
          <w:p w14:paraId="53545E4B" w14:textId="091A0AF1" w:rsidR="00F91FE9" w:rsidRDefault="00F91FE9" w:rsidP="00F91FE9">
            <w:pPr>
              <w:rPr>
                <w:b/>
                <w:bCs/>
              </w:rPr>
            </w:pPr>
            <w:r>
              <w:rPr>
                <w:rFonts w:ascii="Aptos Narrow" w:hAnsi="Aptos Narrow"/>
                <w:color w:val="000000"/>
                <w:sz w:val="22"/>
                <w:szCs w:val="22"/>
              </w:rPr>
              <w:t>Renewable Energy</w:t>
            </w:r>
          </w:p>
        </w:tc>
        <w:tc>
          <w:tcPr>
            <w:tcW w:w="1620" w:type="dxa"/>
            <w:vAlign w:val="bottom"/>
          </w:tcPr>
          <w:p w14:paraId="66B23271" w14:textId="3576E27E" w:rsidR="00F91FE9" w:rsidRDefault="00F91FE9" w:rsidP="00F91FE9">
            <w:pPr>
              <w:rPr>
                <w:b/>
                <w:bCs/>
              </w:rPr>
            </w:pPr>
            <w:r>
              <w:rPr>
                <w:rFonts w:ascii="Aptos Narrow" w:hAnsi="Aptos Narrow"/>
                <w:color w:val="000000"/>
                <w:sz w:val="22"/>
                <w:szCs w:val="22"/>
              </w:rPr>
              <w:t>140</w:t>
            </w:r>
          </w:p>
        </w:tc>
        <w:tc>
          <w:tcPr>
            <w:tcW w:w="1800" w:type="dxa"/>
            <w:vAlign w:val="bottom"/>
          </w:tcPr>
          <w:p w14:paraId="5D461907" w14:textId="0DAC9BDA" w:rsidR="00F91FE9" w:rsidRDefault="00F91FE9" w:rsidP="00F91FE9">
            <w:pPr>
              <w:rPr>
                <w:b/>
                <w:bCs/>
              </w:rPr>
            </w:pPr>
            <w:r>
              <w:rPr>
                <w:rFonts w:ascii="Aptos Narrow" w:hAnsi="Aptos Narrow"/>
                <w:color w:val="000000"/>
                <w:sz w:val="22"/>
                <w:szCs w:val="22"/>
              </w:rPr>
              <w:t>0.4</w:t>
            </w:r>
          </w:p>
        </w:tc>
      </w:tr>
      <w:tr w:rsidR="00F91FE9" w14:paraId="03C84977" w14:textId="77777777" w:rsidTr="002B464E">
        <w:tc>
          <w:tcPr>
            <w:tcW w:w="4770" w:type="dxa"/>
            <w:vAlign w:val="bottom"/>
          </w:tcPr>
          <w:p w14:paraId="242F203D" w14:textId="31E3A581" w:rsidR="00F91FE9" w:rsidRDefault="00F91FE9" w:rsidP="00F91FE9">
            <w:pPr>
              <w:rPr>
                <w:b/>
                <w:bCs/>
              </w:rPr>
            </w:pPr>
            <w:r>
              <w:rPr>
                <w:rFonts w:ascii="Aptos Narrow" w:hAnsi="Aptos Narrow"/>
                <w:color w:val="000000"/>
                <w:sz w:val="22"/>
                <w:szCs w:val="22"/>
              </w:rPr>
              <w:t>Water Utilities</w:t>
            </w:r>
          </w:p>
        </w:tc>
        <w:tc>
          <w:tcPr>
            <w:tcW w:w="1620" w:type="dxa"/>
            <w:vAlign w:val="bottom"/>
          </w:tcPr>
          <w:p w14:paraId="3EF49143" w14:textId="07D862A2" w:rsidR="00F91FE9" w:rsidRDefault="00F91FE9" w:rsidP="00F91FE9">
            <w:pPr>
              <w:rPr>
                <w:b/>
                <w:bCs/>
              </w:rPr>
            </w:pPr>
            <w:r>
              <w:rPr>
                <w:rFonts w:ascii="Aptos Narrow" w:hAnsi="Aptos Narrow"/>
                <w:color w:val="000000"/>
                <w:sz w:val="22"/>
                <w:szCs w:val="22"/>
              </w:rPr>
              <w:t>70</w:t>
            </w:r>
          </w:p>
        </w:tc>
        <w:tc>
          <w:tcPr>
            <w:tcW w:w="1800" w:type="dxa"/>
            <w:vAlign w:val="bottom"/>
          </w:tcPr>
          <w:p w14:paraId="47758DA8" w14:textId="1428CED7" w:rsidR="00F91FE9" w:rsidRDefault="00F91FE9" w:rsidP="00F91FE9">
            <w:pPr>
              <w:rPr>
                <w:b/>
                <w:bCs/>
              </w:rPr>
            </w:pPr>
            <w:r>
              <w:rPr>
                <w:rFonts w:ascii="Aptos Narrow" w:hAnsi="Aptos Narrow"/>
                <w:color w:val="000000"/>
                <w:sz w:val="22"/>
                <w:szCs w:val="22"/>
              </w:rPr>
              <w:t>0.2</w:t>
            </w:r>
          </w:p>
        </w:tc>
      </w:tr>
      <w:tr w:rsidR="00F91FE9" w14:paraId="6C4EDBFC" w14:textId="77777777" w:rsidTr="002B464E">
        <w:tc>
          <w:tcPr>
            <w:tcW w:w="4770" w:type="dxa"/>
            <w:vAlign w:val="bottom"/>
          </w:tcPr>
          <w:p w14:paraId="35B70F21" w14:textId="7C93D9DB" w:rsidR="00F91FE9" w:rsidRDefault="00F91FE9" w:rsidP="00F91FE9">
            <w:pPr>
              <w:rPr>
                <w:b/>
                <w:bCs/>
              </w:rPr>
            </w:pPr>
            <w:r>
              <w:rPr>
                <w:rFonts w:ascii="Aptos Narrow" w:hAnsi="Aptos Narrow"/>
                <w:color w:val="000000"/>
                <w:sz w:val="22"/>
                <w:szCs w:val="22"/>
              </w:rPr>
              <w:t>Natural Gas Utilities</w:t>
            </w:r>
          </w:p>
        </w:tc>
        <w:tc>
          <w:tcPr>
            <w:tcW w:w="1620" w:type="dxa"/>
            <w:vAlign w:val="bottom"/>
          </w:tcPr>
          <w:p w14:paraId="4ACC47F8" w14:textId="7E3071AC" w:rsidR="00F91FE9" w:rsidRDefault="00F91FE9" w:rsidP="00F91FE9">
            <w:pPr>
              <w:rPr>
                <w:b/>
                <w:bCs/>
              </w:rPr>
            </w:pPr>
            <w:r>
              <w:rPr>
                <w:rFonts w:ascii="Aptos Narrow" w:hAnsi="Aptos Narrow"/>
                <w:color w:val="000000"/>
                <w:sz w:val="22"/>
                <w:szCs w:val="22"/>
              </w:rPr>
              <w:t>70</w:t>
            </w:r>
          </w:p>
        </w:tc>
        <w:tc>
          <w:tcPr>
            <w:tcW w:w="1800" w:type="dxa"/>
            <w:vAlign w:val="bottom"/>
          </w:tcPr>
          <w:p w14:paraId="19F1CCEA" w14:textId="240B9097" w:rsidR="00F91FE9" w:rsidRDefault="00F91FE9" w:rsidP="00F91FE9">
            <w:pPr>
              <w:rPr>
                <w:b/>
                <w:bCs/>
              </w:rPr>
            </w:pPr>
            <w:r>
              <w:rPr>
                <w:rFonts w:ascii="Aptos Narrow" w:hAnsi="Aptos Narrow"/>
                <w:color w:val="000000"/>
                <w:sz w:val="22"/>
                <w:szCs w:val="22"/>
              </w:rPr>
              <w:t>0.2</w:t>
            </w:r>
          </w:p>
        </w:tc>
      </w:tr>
      <w:tr w:rsidR="00F91FE9" w14:paraId="0565D194" w14:textId="77777777" w:rsidTr="002B464E">
        <w:tc>
          <w:tcPr>
            <w:tcW w:w="4770" w:type="dxa"/>
            <w:vAlign w:val="bottom"/>
          </w:tcPr>
          <w:p w14:paraId="285A4E7B" w14:textId="6AB6ACF2" w:rsidR="00F91FE9" w:rsidRDefault="00F91FE9" w:rsidP="00F91FE9">
            <w:pPr>
              <w:rPr>
                <w:b/>
                <w:bCs/>
              </w:rPr>
            </w:pPr>
            <w:r>
              <w:rPr>
                <w:rFonts w:ascii="Aptos Narrow" w:hAnsi="Aptos Narrow"/>
                <w:color w:val="000000"/>
                <w:sz w:val="22"/>
                <w:szCs w:val="22"/>
              </w:rPr>
              <w:t>Integrated Hardware &amp; Software</w:t>
            </w:r>
          </w:p>
        </w:tc>
        <w:tc>
          <w:tcPr>
            <w:tcW w:w="1620" w:type="dxa"/>
            <w:vAlign w:val="bottom"/>
          </w:tcPr>
          <w:p w14:paraId="2B8188F2" w14:textId="5FE5FAF5" w:rsidR="00F91FE9" w:rsidRDefault="00F91FE9" w:rsidP="00F91FE9">
            <w:pPr>
              <w:rPr>
                <w:b/>
                <w:bCs/>
              </w:rPr>
            </w:pPr>
            <w:r>
              <w:rPr>
                <w:rFonts w:ascii="Aptos Narrow" w:hAnsi="Aptos Narrow"/>
                <w:color w:val="000000"/>
                <w:sz w:val="22"/>
                <w:szCs w:val="22"/>
              </w:rPr>
              <w:t>70</w:t>
            </w:r>
          </w:p>
        </w:tc>
        <w:tc>
          <w:tcPr>
            <w:tcW w:w="1800" w:type="dxa"/>
            <w:vAlign w:val="bottom"/>
          </w:tcPr>
          <w:p w14:paraId="236F7199" w14:textId="449AE60A" w:rsidR="00F91FE9" w:rsidRDefault="00F91FE9" w:rsidP="00F91FE9">
            <w:pPr>
              <w:rPr>
                <w:b/>
                <w:bCs/>
              </w:rPr>
            </w:pPr>
            <w:r>
              <w:rPr>
                <w:rFonts w:ascii="Aptos Narrow" w:hAnsi="Aptos Narrow"/>
                <w:color w:val="000000"/>
                <w:sz w:val="22"/>
                <w:szCs w:val="22"/>
              </w:rPr>
              <w:t>0.2</w:t>
            </w:r>
          </w:p>
        </w:tc>
      </w:tr>
      <w:tr w:rsidR="00F91FE9" w14:paraId="688E36FF" w14:textId="77777777" w:rsidTr="002B464E">
        <w:tc>
          <w:tcPr>
            <w:tcW w:w="4770" w:type="dxa"/>
            <w:vAlign w:val="bottom"/>
          </w:tcPr>
          <w:p w14:paraId="2E25C9D2" w14:textId="0577E095" w:rsidR="00F91FE9" w:rsidRDefault="00F91FE9" w:rsidP="00F91FE9">
            <w:pPr>
              <w:rPr>
                <w:b/>
                <w:bCs/>
              </w:rPr>
            </w:pPr>
            <w:r>
              <w:rPr>
                <w:rFonts w:ascii="Aptos Narrow" w:hAnsi="Aptos Narrow"/>
                <w:color w:val="000000"/>
                <w:sz w:val="22"/>
                <w:szCs w:val="22"/>
              </w:rPr>
              <w:t>Real Estate Operations</w:t>
            </w:r>
          </w:p>
        </w:tc>
        <w:tc>
          <w:tcPr>
            <w:tcW w:w="1620" w:type="dxa"/>
            <w:vAlign w:val="bottom"/>
          </w:tcPr>
          <w:p w14:paraId="7ABC59D2" w14:textId="73B75E5E" w:rsidR="00F91FE9" w:rsidRDefault="00F91FE9" w:rsidP="00F91FE9">
            <w:pPr>
              <w:rPr>
                <w:b/>
                <w:bCs/>
              </w:rPr>
            </w:pPr>
            <w:r>
              <w:rPr>
                <w:rFonts w:ascii="Aptos Narrow" w:hAnsi="Aptos Narrow"/>
                <w:color w:val="000000"/>
                <w:sz w:val="22"/>
                <w:szCs w:val="22"/>
              </w:rPr>
              <w:t>70</w:t>
            </w:r>
          </w:p>
        </w:tc>
        <w:tc>
          <w:tcPr>
            <w:tcW w:w="1800" w:type="dxa"/>
            <w:vAlign w:val="bottom"/>
          </w:tcPr>
          <w:p w14:paraId="26CEDA02" w14:textId="15D691F1" w:rsidR="00F91FE9" w:rsidRDefault="00F91FE9" w:rsidP="00F91FE9">
            <w:pPr>
              <w:rPr>
                <w:b/>
                <w:bCs/>
              </w:rPr>
            </w:pPr>
            <w:r>
              <w:rPr>
                <w:rFonts w:ascii="Aptos Narrow" w:hAnsi="Aptos Narrow"/>
                <w:color w:val="000000"/>
                <w:sz w:val="22"/>
                <w:szCs w:val="22"/>
              </w:rPr>
              <w:t>0.2</w:t>
            </w:r>
          </w:p>
        </w:tc>
      </w:tr>
      <w:tr w:rsidR="00F91FE9" w14:paraId="1B540EC5" w14:textId="77777777" w:rsidTr="002B464E">
        <w:tc>
          <w:tcPr>
            <w:tcW w:w="4770" w:type="dxa"/>
            <w:vAlign w:val="bottom"/>
          </w:tcPr>
          <w:p w14:paraId="32E0BE49" w14:textId="63A9764F" w:rsidR="00F91FE9" w:rsidRDefault="00F91FE9" w:rsidP="00F91FE9">
            <w:pPr>
              <w:rPr>
                <w:b/>
                <w:bCs/>
              </w:rPr>
            </w:pPr>
            <w:r>
              <w:rPr>
                <w:rFonts w:ascii="Aptos Narrow" w:hAnsi="Aptos Narrow"/>
                <w:color w:val="000000"/>
                <w:sz w:val="22"/>
                <w:szCs w:val="22"/>
              </w:rPr>
              <w:t>Paper &amp; Forest Products</w:t>
            </w:r>
          </w:p>
        </w:tc>
        <w:tc>
          <w:tcPr>
            <w:tcW w:w="1620" w:type="dxa"/>
            <w:vAlign w:val="bottom"/>
          </w:tcPr>
          <w:p w14:paraId="72F0D4B4" w14:textId="57CD6C45" w:rsidR="00F91FE9" w:rsidRDefault="00F91FE9" w:rsidP="00F91FE9">
            <w:pPr>
              <w:rPr>
                <w:b/>
                <w:bCs/>
              </w:rPr>
            </w:pPr>
            <w:r>
              <w:rPr>
                <w:rFonts w:ascii="Aptos Narrow" w:hAnsi="Aptos Narrow"/>
                <w:color w:val="000000"/>
                <w:sz w:val="22"/>
                <w:szCs w:val="22"/>
              </w:rPr>
              <w:t>70</w:t>
            </w:r>
          </w:p>
        </w:tc>
        <w:tc>
          <w:tcPr>
            <w:tcW w:w="1800" w:type="dxa"/>
            <w:vAlign w:val="bottom"/>
          </w:tcPr>
          <w:p w14:paraId="1C1CE398" w14:textId="03D810A3" w:rsidR="00F91FE9" w:rsidRDefault="00F91FE9" w:rsidP="00F91FE9">
            <w:pPr>
              <w:rPr>
                <w:b/>
                <w:bCs/>
              </w:rPr>
            </w:pPr>
            <w:r>
              <w:rPr>
                <w:rFonts w:ascii="Aptos Narrow" w:hAnsi="Aptos Narrow"/>
                <w:color w:val="000000"/>
                <w:sz w:val="22"/>
                <w:szCs w:val="22"/>
              </w:rPr>
              <w:t>0.2</w:t>
            </w:r>
          </w:p>
        </w:tc>
      </w:tr>
      <w:tr w:rsidR="00F91FE9" w14:paraId="0121C132" w14:textId="77777777" w:rsidTr="002B464E">
        <w:tc>
          <w:tcPr>
            <w:tcW w:w="4770" w:type="dxa"/>
            <w:vAlign w:val="bottom"/>
          </w:tcPr>
          <w:p w14:paraId="02C75929" w14:textId="1302E501" w:rsidR="00F91FE9" w:rsidRDefault="00F91FE9" w:rsidP="00F91FE9">
            <w:pPr>
              <w:rPr>
                <w:b/>
                <w:bCs/>
              </w:rPr>
            </w:pPr>
            <w:r>
              <w:rPr>
                <w:rFonts w:ascii="Aptos Narrow" w:hAnsi="Aptos Narrow"/>
                <w:color w:val="000000"/>
                <w:sz w:val="22"/>
                <w:szCs w:val="22"/>
              </w:rPr>
              <w:t>Office Equipment</w:t>
            </w:r>
          </w:p>
        </w:tc>
        <w:tc>
          <w:tcPr>
            <w:tcW w:w="1620" w:type="dxa"/>
            <w:vAlign w:val="bottom"/>
          </w:tcPr>
          <w:p w14:paraId="34B43936" w14:textId="125CDF76" w:rsidR="00F91FE9" w:rsidRDefault="00F91FE9" w:rsidP="00F91FE9">
            <w:pPr>
              <w:rPr>
                <w:b/>
                <w:bCs/>
              </w:rPr>
            </w:pPr>
            <w:r>
              <w:rPr>
                <w:rFonts w:ascii="Aptos Narrow" w:hAnsi="Aptos Narrow"/>
                <w:color w:val="000000"/>
                <w:sz w:val="22"/>
                <w:szCs w:val="22"/>
              </w:rPr>
              <w:t>70</w:t>
            </w:r>
          </w:p>
        </w:tc>
        <w:tc>
          <w:tcPr>
            <w:tcW w:w="1800" w:type="dxa"/>
            <w:vAlign w:val="bottom"/>
          </w:tcPr>
          <w:p w14:paraId="010392C2" w14:textId="44FCADE7" w:rsidR="00F91FE9" w:rsidRDefault="00F91FE9" w:rsidP="00F91FE9">
            <w:pPr>
              <w:rPr>
                <w:b/>
                <w:bCs/>
              </w:rPr>
            </w:pPr>
            <w:r>
              <w:rPr>
                <w:rFonts w:ascii="Aptos Narrow" w:hAnsi="Aptos Narrow"/>
                <w:color w:val="000000"/>
                <w:sz w:val="22"/>
                <w:szCs w:val="22"/>
              </w:rPr>
              <w:t>0.2</w:t>
            </w:r>
          </w:p>
        </w:tc>
      </w:tr>
      <w:tr w:rsidR="00F91FE9" w14:paraId="021AE71B" w14:textId="77777777" w:rsidTr="002B464E">
        <w:tc>
          <w:tcPr>
            <w:tcW w:w="4770" w:type="dxa"/>
            <w:vAlign w:val="bottom"/>
          </w:tcPr>
          <w:p w14:paraId="06FD4ECB" w14:textId="2CA85781" w:rsidR="00F91FE9" w:rsidRDefault="00F91FE9" w:rsidP="00F91FE9">
            <w:pPr>
              <w:rPr>
                <w:b/>
                <w:bCs/>
              </w:rPr>
            </w:pPr>
            <w:r>
              <w:rPr>
                <w:rFonts w:ascii="Aptos Narrow" w:hAnsi="Aptos Narrow"/>
                <w:color w:val="000000"/>
                <w:sz w:val="22"/>
                <w:szCs w:val="22"/>
              </w:rPr>
              <w:t>Household Goods</w:t>
            </w:r>
          </w:p>
        </w:tc>
        <w:tc>
          <w:tcPr>
            <w:tcW w:w="1620" w:type="dxa"/>
            <w:vAlign w:val="bottom"/>
          </w:tcPr>
          <w:p w14:paraId="3EC4867E" w14:textId="57DB48FF" w:rsidR="00F91FE9" w:rsidRDefault="00F91FE9" w:rsidP="00F91FE9">
            <w:pPr>
              <w:rPr>
                <w:b/>
                <w:bCs/>
              </w:rPr>
            </w:pPr>
            <w:r>
              <w:rPr>
                <w:rFonts w:ascii="Aptos Narrow" w:hAnsi="Aptos Narrow"/>
                <w:color w:val="000000"/>
                <w:sz w:val="22"/>
                <w:szCs w:val="22"/>
              </w:rPr>
              <w:t>70</w:t>
            </w:r>
          </w:p>
        </w:tc>
        <w:tc>
          <w:tcPr>
            <w:tcW w:w="1800" w:type="dxa"/>
            <w:vAlign w:val="bottom"/>
          </w:tcPr>
          <w:p w14:paraId="14685894" w14:textId="791A695A" w:rsidR="00F91FE9" w:rsidRDefault="00F91FE9" w:rsidP="00F91FE9">
            <w:pPr>
              <w:rPr>
                <w:b/>
                <w:bCs/>
              </w:rPr>
            </w:pPr>
            <w:r>
              <w:rPr>
                <w:rFonts w:ascii="Aptos Narrow" w:hAnsi="Aptos Narrow"/>
                <w:color w:val="000000"/>
                <w:sz w:val="22"/>
                <w:szCs w:val="22"/>
              </w:rPr>
              <w:t>0.2</w:t>
            </w:r>
          </w:p>
        </w:tc>
      </w:tr>
      <w:tr w:rsidR="00F91FE9" w14:paraId="0A15B7E1" w14:textId="77777777" w:rsidTr="002B464E">
        <w:tc>
          <w:tcPr>
            <w:tcW w:w="4770" w:type="dxa"/>
            <w:vAlign w:val="bottom"/>
          </w:tcPr>
          <w:p w14:paraId="5D20B945" w14:textId="054891A4" w:rsidR="00F91FE9" w:rsidRDefault="00F91FE9" w:rsidP="00F91FE9">
            <w:pPr>
              <w:rPr>
                <w:b/>
                <w:bCs/>
              </w:rPr>
            </w:pPr>
            <w:r>
              <w:rPr>
                <w:rFonts w:ascii="Aptos Narrow" w:hAnsi="Aptos Narrow"/>
                <w:color w:val="000000"/>
                <w:sz w:val="22"/>
                <w:szCs w:val="22"/>
              </w:rPr>
              <w:t>Construction &amp; Engineering</w:t>
            </w:r>
          </w:p>
        </w:tc>
        <w:tc>
          <w:tcPr>
            <w:tcW w:w="1620" w:type="dxa"/>
            <w:vAlign w:val="bottom"/>
          </w:tcPr>
          <w:p w14:paraId="4B706A54" w14:textId="2AA9D79C" w:rsidR="00F91FE9" w:rsidRDefault="00F91FE9" w:rsidP="00F91FE9">
            <w:pPr>
              <w:rPr>
                <w:b/>
                <w:bCs/>
              </w:rPr>
            </w:pPr>
            <w:r>
              <w:rPr>
                <w:rFonts w:ascii="Aptos Narrow" w:hAnsi="Aptos Narrow"/>
                <w:color w:val="000000"/>
                <w:sz w:val="22"/>
                <w:szCs w:val="22"/>
              </w:rPr>
              <w:t>70</w:t>
            </w:r>
          </w:p>
        </w:tc>
        <w:tc>
          <w:tcPr>
            <w:tcW w:w="1800" w:type="dxa"/>
            <w:vAlign w:val="bottom"/>
          </w:tcPr>
          <w:p w14:paraId="32ABF654" w14:textId="6A5275ED" w:rsidR="00F91FE9" w:rsidRDefault="00F91FE9" w:rsidP="00F91FE9">
            <w:pPr>
              <w:rPr>
                <w:b/>
                <w:bCs/>
              </w:rPr>
            </w:pPr>
            <w:r>
              <w:rPr>
                <w:rFonts w:ascii="Aptos Narrow" w:hAnsi="Aptos Narrow"/>
                <w:color w:val="000000"/>
                <w:sz w:val="22"/>
                <w:szCs w:val="22"/>
              </w:rPr>
              <w:t>0.2</w:t>
            </w:r>
          </w:p>
        </w:tc>
      </w:tr>
      <w:tr w:rsidR="00F91FE9" w14:paraId="5E8EE129" w14:textId="77777777" w:rsidTr="002B464E">
        <w:tc>
          <w:tcPr>
            <w:tcW w:w="4770" w:type="dxa"/>
            <w:vAlign w:val="bottom"/>
          </w:tcPr>
          <w:p w14:paraId="7E3BF186" w14:textId="7882ECDF" w:rsidR="00F91FE9" w:rsidRDefault="00F91FE9" w:rsidP="00F91FE9">
            <w:pPr>
              <w:rPr>
                <w:b/>
                <w:bCs/>
              </w:rPr>
            </w:pPr>
            <w:r>
              <w:rPr>
                <w:rFonts w:ascii="Aptos Narrow" w:hAnsi="Aptos Narrow"/>
                <w:color w:val="000000"/>
                <w:sz w:val="22"/>
                <w:szCs w:val="22"/>
              </w:rPr>
              <w:t>Software &amp; IT Services</w:t>
            </w:r>
          </w:p>
        </w:tc>
        <w:tc>
          <w:tcPr>
            <w:tcW w:w="1620" w:type="dxa"/>
            <w:vAlign w:val="bottom"/>
          </w:tcPr>
          <w:p w14:paraId="5CADAA1F" w14:textId="24678F59" w:rsidR="00F91FE9" w:rsidRDefault="00F91FE9" w:rsidP="00F91FE9">
            <w:pPr>
              <w:rPr>
                <w:b/>
                <w:bCs/>
              </w:rPr>
            </w:pPr>
            <w:r>
              <w:rPr>
                <w:rFonts w:ascii="Aptos Narrow" w:hAnsi="Aptos Narrow"/>
                <w:color w:val="000000"/>
                <w:sz w:val="22"/>
                <w:szCs w:val="22"/>
              </w:rPr>
              <w:t>4,900</w:t>
            </w:r>
          </w:p>
        </w:tc>
        <w:tc>
          <w:tcPr>
            <w:tcW w:w="1800" w:type="dxa"/>
            <w:vAlign w:val="bottom"/>
          </w:tcPr>
          <w:p w14:paraId="0D645EA0" w14:textId="3765B6FA" w:rsidR="00F91FE9" w:rsidRDefault="00F91FE9" w:rsidP="00F91FE9">
            <w:pPr>
              <w:rPr>
                <w:b/>
                <w:bCs/>
              </w:rPr>
            </w:pPr>
            <w:r>
              <w:rPr>
                <w:rFonts w:ascii="Aptos Narrow" w:hAnsi="Aptos Narrow"/>
                <w:color w:val="000000"/>
                <w:sz w:val="22"/>
                <w:szCs w:val="22"/>
              </w:rPr>
              <w:t>12.5</w:t>
            </w:r>
          </w:p>
        </w:tc>
      </w:tr>
    </w:tbl>
    <w:p w14:paraId="69C2622A" w14:textId="77777777" w:rsidR="00F20B78" w:rsidRDefault="00F20B78"/>
    <w:p w14:paraId="4B7FE3C6" w14:textId="33193992" w:rsidR="00653DBC" w:rsidRDefault="00F20B78" w:rsidP="00F20B78">
      <w:pPr>
        <w:spacing w:line="480" w:lineRule="auto"/>
      </w:pPr>
      <w:r w:rsidRPr="00F20B78">
        <w:t xml:space="preserve">The Sector variable is dominated by Software &amp; IT Services, which accounts for 12.5% of the dataset, followed by Residential &amp; Commercial REIT (5.18%) and Machinery, Equipment &amp; Components (4.82%). The remaining sectors are more evenly distributed, </w:t>
      </w:r>
      <w:r w:rsidRPr="00F20B78">
        <w:lastRenderedPageBreak/>
        <w:t>with many contributing less than 4% each. This indicates a concentration of data in a few key sectors.</w:t>
      </w:r>
    </w:p>
    <w:p w14:paraId="32C071C8" w14:textId="5182D55C" w:rsidR="00C74E13" w:rsidRPr="00C74E13" w:rsidRDefault="00C74E13" w:rsidP="00C74E13">
      <w:pPr>
        <w:pStyle w:val="Caption"/>
        <w:keepNext/>
        <w:rPr>
          <w:color w:val="auto"/>
        </w:rPr>
      </w:pPr>
      <w:r w:rsidRPr="00C74E13">
        <w:rPr>
          <w:color w:val="auto"/>
        </w:rPr>
        <w:t xml:space="preserve">Table </w:t>
      </w:r>
      <w:r w:rsidRPr="00C74E13">
        <w:rPr>
          <w:color w:val="auto"/>
        </w:rPr>
        <w:fldChar w:fldCharType="begin"/>
      </w:r>
      <w:r w:rsidRPr="00C74E13">
        <w:rPr>
          <w:color w:val="auto"/>
        </w:rPr>
        <w:instrText xml:space="preserve"> SEQ Table \* ARABIC </w:instrText>
      </w:r>
      <w:r w:rsidRPr="00C74E13">
        <w:rPr>
          <w:color w:val="auto"/>
        </w:rPr>
        <w:fldChar w:fldCharType="separate"/>
      </w:r>
      <w:r w:rsidRPr="00C74E13">
        <w:rPr>
          <w:noProof/>
          <w:color w:val="auto"/>
        </w:rPr>
        <w:t>2</w:t>
      </w:r>
      <w:r w:rsidRPr="00C74E13">
        <w:rPr>
          <w:color w:val="auto"/>
        </w:rPr>
        <w:fldChar w:fldCharType="end"/>
      </w:r>
      <w:r w:rsidRPr="00C74E13">
        <w:rPr>
          <w:color w:val="auto"/>
        </w:rPr>
        <w:t>: Quarter Summary</w:t>
      </w:r>
      <w:r>
        <w:rPr>
          <w:color w:val="auto"/>
        </w:rPr>
        <w:t xml:space="preserve">: </w:t>
      </w:r>
      <w:r w:rsidRPr="00C74E13">
        <w:rPr>
          <w:color w:val="auto"/>
        </w:rPr>
        <w:t>The Quarter variable is evenly distributed across all four quarters</w:t>
      </w:r>
    </w:p>
    <w:tbl>
      <w:tblPr>
        <w:tblStyle w:val="TableGrid"/>
        <w:tblW w:w="0" w:type="auto"/>
        <w:tblLook w:val="04A0" w:firstRow="1" w:lastRow="0" w:firstColumn="1" w:lastColumn="0" w:noHBand="0" w:noVBand="1"/>
      </w:tblPr>
      <w:tblGrid>
        <w:gridCol w:w="3116"/>
        <w:gridCol w:w="3117"/>
        <w:gridCol w:w="3117"/>
      </w:tblGrid>
      <w:tr w:rsidR="00C74E13" w14:paraId="3EE16D5F" w14:textId="77777777" w:rsidTr="0070539D">
        <w:tc>
          <w:tcPr>
            <w:tcW w:w="3116" w:type="dxa"/>
            <w:vAlign w:val="bottom"/>
          </w:tcPr>
          <w:p w14:paraId="79CBDE4E" w14:textId="039FF894" w:rsidR="00C74E13" w:rsidRPr="00C74E13" w:rsidRDefault="00C74E13" w:rsidP="00C74E13">
            <w:pPr>
              <w:spacing w:line="480" w:lineRule="auto"/>
              <w:rPr>
                <w:b/>
                <w:bCs/>
              </w:rPr>
            </w:pPr>
            <w:r w:rsidRPr="00C74E13">
              <w:rPr>
                <w:rFonts w:ascii="Aptos Narrow" w:hAnsi="Aptos Narrow"/>
                <w:b/>
                <w:bCs/>
                <w:color w:val="000000"/>
                <w:sz w:val="22"/>
                <w:szCs w:val="22"/>
              </w:rPr>
              <w:t>Quarter</w:t>
            </w:r>
          </w:p>
        </w:tc>
        <w:tc>
          <w:tcPr>
            <w:tcW w:w="3117" w:type="dxa"/>
            <w:vAlign w:val="bottom"/>
          </w:tcPr>
          <w:p w14:paraId="1D1C45E8" w14:textId="2B1005AE" w:rsidR="00C74E13" w:rsidRPr="00C74E13" w:rsidRDefault="00C74E13" w:rsidP="00C74E13">
            <w:pPr>
              <w:spacing w:line="480" w:lineRule="auto"/>
              <w:rPr>
                <w:b/>
                <w:bCs/>
              </w:rPr>
            </w:pPr>
            <w:r w:rsidRPr="00C74E13">
              <w:rPr>
                <w:rFonts w:ascii="Aptos Narrow" w:hAnsi="Aptos Narrow"/>
                <w:b/>
                <w:bCs/>
                <w:color w:val="000000"/>
                <w:sz w:val="22"/>
                <w:szCs w:val="22"/>
              </w:rPr>
              <w:t>Frequency</w:t>
            </w:r>
          </w:p>
        </w:tc>
        <w:tc>
          <w:tcPr>
            <w:tcW w:w="3117" w:type="dxa"/>
            <w:vAlign w:val="bottom"/>
          </w:tcPr>
          <w:p w14:paraId="60B29A97" w14:textId="20B6BBBB" w:rsidR="00C74E13" w:rsidRPr="00C74E13" w:rsidRDefault="00C74E13" w:rsidP="00C74E13">
            <w:pPr>
              <w:spacing w:line="480" w:lineRule="auto"/>
              <w:rPr>
                <w:b/>
                <w:bCs/>
              </w:rPr>
            </w:pPr>
            <w:r w:rsidRPr="00C74E13">
              <w:rPr>
                <w:rFonts w:ascii="Aptos Narrow" w:hAnsi="Aptos Narrow"/>
                <w:b/>
                <w:bCs/>
                <w:color w:val="000000"/>
                <w:sz w:val="22"/>
                <w:szCs w:val="22"/>
              </w:rPr>
              <w:t>Percentage (%)</w:t>
            </w:r>
          </w:p>
        </w:tc>
      </w:tr>
      <w:tr w:rsidR="00C74E13" w14:paraId="04013C58" w14:textId="77777777" w:rsidTr="0070539D">
        <w:tc>
          <w:tcPr>
            <w:tcW w:w="3116" w:type="dxa"/>
            <w:vAlign w:val="bottom"/>
          </w:tcPr>
          <w:p w14:paraId="692D992B" w14:textId="1D4CAE68" w:rsidR="00C74E13" w:rsidRDefault="00C74E13" w:rsidP="00C74E13">
            <w:pPr>
              <w:spacing w:line="480" w:lineRule="auto"/>
            </w:pPr>
            <w:r>
              <w:rPr>
                <w:rFonts w:ascii="Aptos Narrow" w:hAnsi="Aptos Narrow"/>
                <w:color w:val="000000"/>
                <w:sz w:val="22"/>
                <w:szCs w:val="22"/>
              </w:rPr>
              <w:t>Q3</w:t>
            </w:r>
          </w:p>
        </w:tc>
        <w:tc>
          <w:tcPr>
            <w:tcW w:w="3117" w:type="dxa"/>
            <w:vAlign w:val="bottom"/>
          </w:tcPr>
          <w:p w14:paraId="155A07A7" w14:textId="21CB8B79" w:rsidR="00C74E13" w:rsidRDefault="00C74E13" w:rsidP="00C74E13">
            <w:pPr>
              <w:spacing w:line="480" w:lineRule="auto"/>
            </w:pPr>
            <w:r>
              <w:rPr>
                <w:rFonts w:ascii="Aptos Narrow" w:hAnsi="Aptos Narrow"/>
                <w:color w:val="000000"/>
                <w:sz w:val="22"/>
                <w:szCs w:val="22"/>
              </w:rPr>
              <w:t>10080</w:t>
            </w:r>
          </w:p>
        </w:tc>
        <w:tc>
          <w:tcPr>
            <w:tcW w:w="3117" w:type="dxa"/>
            <w:vAlign w:val="bottom"/>
          </w:tcPr>
          <w:p w14:paraId="39E43CE7" w14:textId="18B26392" w:rsidR="00C74E13" w:rsidRDefault="00C74E13" w:rsidP="00C74E13">
            <w:pPr>
              <w:spacing w:line="480" w:lineRule="auto"/>
            </w:pPr>
            <w:r>
              <w:rPr>
                <w:rFonts w:ascii="Aptos Narrow" w:hAnsi="Aptos Narrow"/>
                <w:color w:val="000000"/>
                <w:sz w:val="22"/>
                <w:szCs w:val="22"/>
              </w:rPr>
              <w:t>25.7149</w:t>
            </w:r>
          </w:p>
        </w:tc>
      </w:tr>
      <w:tr w:rsidR="00C74E13" w14:paraId="60AC648C" w14:textId="77777777" w:rsidTr="0070539D">
        <w:tc>
          <w:tcPr>
            <w:tcW w:w="3116" w:type="dxa"/>
            <w:vAlign w:val="bottom"/>
          </w:tcPr>
          <w:p w14:paraId="3E74A7F4" w14:textId="0EA29DE0" w:rsidR="00C74E13" w:rsidRDefault="00C74E13" w:rsidP="00C74E13">
            <w:pPr>
              <w:spacing w:line="480" w:lineRule="auto"/>
            </w:pPr>
            <w:r>
              <w:rPr>
                <w:rFonts w:ascii="Aptos Narrow" w:hAnsi="Aptos Narrow"/>
                <w:color w:val="000000"/>
                <w:sz w:val="22"/>
                <w:szCs w:val="22"/>
              </w:rPr>
              <w:t>Q2</w:t>
            </w:r>
          </w:p>
        </w:tc>
        <w:tc>
          <w:tcPr>
            <w:tcW w:w="3117" w:type="dxa"/>
            <w:vAlign w:val="bottom"/>
          </w:tcPr>
          <w:p w14:paraId="1C5C0705" w14:textId="0F8F58F2" w:rsidR="00C74E13" w:rsidRDefault="00C74E13" w:rsidP="00C74E13">
            <w:pPr>
              <w:spacing w:line="480" w:lineRule="auto"/>
            </w:pPr>
            <w:r>
              <w:rPr>
                <w:rFonts w:ascii="Aptos Narrow" w:hAnsi="Aptos Narrow"/>
                <w:color w:val="000000"/>
                <w:sz w:val="22"/>
                <w:szCs w:val="22"/>
              </w:rPr>
              <w:t>10080</w:t>
            </w:r>
          </w:p>
        </w:tc>
        <w:tc>
          <w:tcPr>
            <w:tcW w:w="3117" w:type="dxa"/>
            <w:vAlign w:val="bottom"/>
          </w:tcPr>
          <w:p w14:paraId="11861A52" w14:textId="0953E2BB" w:rsidR="00C74E13" w:rsidRDefault="00C74E13" w:rsidP="00C74E13">
            <w:pPr>
              <w:spacing w:line="480" w:lineRule="auto"/>
            </w:pPr>
            <w:r>
              <w:rPr>
                <w:rFonts w:ascii="Aptos Narrow" w:hAnsi="Aptos Narrow"/>
                <w:color w:val="000000"/>
                <w:sz w:val="22"/>
                <w:szCs w:val="22"/>
              </w:rPr>
              <w:t>25.7149</w:t>
            </w:r>
          </w:p>
        </w:tc>
      </w:tr>
      <w:tr w:rsidR="00C74E13" w14:paraId="24873373" w14:textId="77777777" w:rsidTr="0070539D">
        <w:tc>
          <w:tcPr>
            <w:tcW w:w="3116" w:type="dxa"/>
            <w:vAlign w:val="bottom"/>
          </w:tcPr>
          <w:p w14:paraId="509A47DE" w14:textId="722DD6DA" w:rsidR="00C74E13" w:rsidRDefault="00C74E13" w:rsidP="00C74E13">
            <w:pPr>
              <w:spacing w:line="480" w:lineRule="auto"/>
            </w:pPr>
            <w:r>
              <w:rPr>
                <w:rFonts w:ascii="Aptos Narrow" w:hAnsi="Aptos Narrow"/>
                <w:color w:val="000000"/>
                <w:sz w:val="22"/>
                <w:szCs w:val="22"/>
              </w:rPr>
              <w:t>Q4</w:t>
            </w:r>
          </w:p>
        </w:tc>
        <w:tc>
          <w:tcPr>
            <w:tcW w:w="3117" w:type="dxa"/>
            <w:vAlign w:val="bottom"/>
          </w:tcPr>
          <w:p w14:paraId="49C3F6E6" w14:textId="63986EDE" w:rsidR="00C74E13" w:rsidRDefault="00C74E13" w:rsidP="00C74E13">
            <w:pPr>
              <w:spacing w:line="480" w:lineRule="auto"/>
            </w:pPr>
            <w:r>
              <w:rPr>
                <w:rFonts w:ascii="Aptos Narrow" w:hAnsi="Aptos Narrow"/>
                <w:color w:val="000000"/>
                <w:sz w:val="22"/>
                <w:szCs w:val="22"/>
              </w:rPr>
              <w:t>9520</w:t>
            </w:r>
          </w:p>
        </w:tc>
        <w:tc>
          <w:tcPr>
            <w:tcW w:w="3117" w:type="dxa"/>
            <w:vAlign w:val="bottom"/>
          </w:tcPr>
          <w:p w14:paraId="7DE3BAEE" w14:textId="69E21649" w:rsidR="00C74E13" w:rsidRDefault="00C74E13" w:rsidP="00C74E13">
            <w:pPr>
              <w:spacing w:line="480" w:lineRule="auto"/>
            </w:pPr>
            <w:r>
              <w:rPr>
                <w:rFonts w:ascii="Aptos Narrow" w:hAnsi="Aptos Narrow"/>
                <w:color w:val="000000"/>
                <w:sz w:val="22"/>
                <w:szCs w:val="22"/>
              </w:rPr>
              <w:t>24.2863</w:t>
            </w:r>
          </w:p>
        </w:tc>
      </w:tr>
      <w:tr w:rsidR="00C74E13" w14:paraId="072380EC" w14:textId="77777777" w:rsidTr="0070539D">
        <w:tc>
          <w:tcPr>
            <w:tcW w:w="3116" w:type="dxa"/>
            <w:vAlign w:val="bottom"/>
          </w:tcPr>
          <w:p w14:paraId="71CD8756" w14:textId="217DCDFB" w:rsidR="00C74E13" w:rsidRDefault="00C74E13" w:rsidP="00C74E13">
            <w:pPr>
              <w:spacing w:line="480" w:lineRule="auto"/>
            </w:pPr>
            <w:r>
              <w:rPr>
                <w:rFonts w:ascii="Aptos Narrow" w:hAnsi="Aptos Narrow"/>
                <w:color w:val="000000"/>
                <w:sz w:val="22"/>
                <w:szCs w:val="22"/>
              </w:rPr>
              <w:t>Q1</w:t>
            </w:r>
          </w:p>
        </w:tc>
        <w:tc>
          <w:tcPr>
            <w:tcW w:w="3117" w:type="dxa"/>
            <w:vAlign w:val="bottom"/>
          </w:tcPr>
          <w:p w14:paraId="74CDCFCC" w14:textId="7253D964" w:rsidR="00C74E13" w:rsidRDefault="00C74E13" w:rsidP="00C74E13">
            <w:pPr>
              <w:spacing w:line="480" w:lineRule="auto"/>
            </w:pPr>
            <w:r>
              <w:rPr>
                <w:rFonts w:ascii="Aptos Narrow" w:hAnsi="Aptos Narrow"/>
                <w:color w:val="000000"/>
                <w:sz w:val="22"/>
                <w:szCs w:val="22"/>
              </w:rPr>
              <w:t>9519</w:t>
            </w:r>
          </w:p>
        </w:tc>
        <w:tc>
          <w:tcPr>
            <w:tcW w:w="3117" w:type="dxa"/>
            <w:vAlign w:val="bottom"/>
          </w:tcPr>
          <w:p w14:paraId="16A9B222" w14:textId="15C7CEE9" w:rsidR="00C74E13" w:rsidRDefault="00C74E13" w:rsidP="00C74E13">
            <w:pPr>
              <w:spacing w:line="480" w:lineRule="auto"/>
            </w:pPr>
            <w:r>
              <w:rPr>
                <w:rFonts w:ascii="Aptos Narrow" w:hAnsi="Aptos Narrow"/>
                <w:color w:val="000000"/>
                <w:sz w:val="22"/>
                <w:szCs w:val="22"/>
              </w:rPr>
              <w:t>24.2838</w:t>
            </w:r>
          </w:p>
        </w:tc>
      </w:tr>
    </w:tbl>
    <w:p w14:paraId="72D05AAA" w14:textId="77777777" w:rsidR="00C74E13" w:rsidRDefault="00C74E13" w:rsidP="00C74E13"/>
    <w:p w14:paraId="0D3649A4" w14:textId="781C2D0D" w:rsidR="00C74E13" w:rsidRDefault="00C74E13" w:rsidP="00C74E13">
      <w:r w:rsidRPr="00F87D12">
        <w:t xml:space="preserve">Q3 and Q2 each </w:t>
      </w:r>
      <w:proofErr w:type="gramStart"/>
      <w:r w:rsidRPr="00F87D12">
        <w:t>accounting</w:t>
      </w:r>
      <w:proofErr w:type="gramEnd"/>
      <w:r w:rsidRPr="00F87D12">
        <w:t xml:space="preserve"> for 25.71% of the data, while Q4 and Q1 contribute slightly less at 24.29% and 24.28%, respectively. This suggests that the dataset captures data consistently across time periods.</w:t>
      </w:r>
    </w:p>
    <w:p w14:paraId="65ADAA4F" w14:textId="77777777" w:rsidR="00F20B78" w:rsidRDefault="00F20B78"/>
    <w:p w14:paraId="4CFF4049" w14:textId="77777777" w:rsidR="00653DBC" w:rsidRDefault="00653DBC" w:rsidP="00653DBC">
      <w:pPr>
        <w:sectPr w:rsidR="00653DBC" w:rsidSect="00653DBC">
          <w:pgSz w:w="12240" w:h="15840"/>
          <w:pgMar w:top="1440" w:right="1440" w:bottom="1440" w:left="1440" w:header="720" w:footer="720" w:gutter="0"/>
          <w:cols w:space="720"/>
          <w:docGrid w:linePitch="360"/>
        </w:sectPr>
      </w:pPr>
    </w:p>
    <w:p w14:paraId="2C3894CC" w14:textId="1B4929B0" w:rsidR="002B464E" w:rsidRPr="002B464E" w:rsidRDefault="002B464E" w:rsidP="002B464E">
      <w:pPr>
        <w:pStyle w:val="Caption"/>
        <w:keepNext/>
        <w:rPr>
          <w:color w:val="auto"/>
        </w:rPr>
      </w:pPr>
      <w:r w:rsidRPr="002B464E">
        <w:rPr>
          <w:color w:val="auto"/>
        </w:rPr>
        <w:lastRenderedPageBreak/>
        <w:t xml:space="preserve">Table </w:t>
      </w:r>
      <w:r w:rsidRPr="002B464E">
        <w:rPr>
          <w:color w:val="auto"/>
        </w:rPr>
        <w:fldChar w:fldCharType="begin"/>
      </w:r>
      <w:r w:rsidRPr="002B464E">
        <w:rPr>
          <w:color w:val="auto"/>
        </w:rPr>
        <w:instrText xml:space="preserve"> SEQ Table \* ARABIC </w:instrText>
      </w:r>
      <w:r w:rsidRPr="002B464E">
        <w:rPr>
          <w:color w:val="auto"/>
        </w:rPr>
        <w:fldChar w:fldCharType="separate"/>
      </w:r>
      <w:r w:rsidR="00C74E13">
        <w:rPr>
          <w:noProof/>
          <w:color w:val="auto"/>
        </w:rPr>
        <w:t>3</w:t>
      </w:r>
      <w:r w:rsidRPr="002B464E">
        <w:rPr>
          <w:color w:val="auto"/>
        </w:rPr>
        <w:fldChar w:fldCharType="end"/>
      </w:r>
      <w:r w:rsidRPr="002B464E">
        <w:rPr>
          <w:color w:val="auto"/>
        </w:rPr>
        <w:t>: Summary statistics for numerical variables</w:t>
      </w:r>
    </w:p>
    <w:tbl>
      <w:tblPr>
        <w:tblStyle w:val="TableGrid"/>
        <w:tblW w:w="13321" w:type="dxa"/>
        <w:tblInd w:w="-5" w:type="dxa"/>
        <w:tblLook w:val="04A0" w:firstRow="1" w:lastRow="0" w:firstColumn="1" w:lastColumn="0" w:noHBand="0" w:noVBand="1"/>
      </w:tblPr>
      <w:tblGrid>
        <w:gridCol w:w="1399"/>
        <w:gridCol w:w="825"/>
        <w:gridCol w:w="1130"/>
        <w:gridCol w:w="1252"/>
        <w:gridCol w:w="1495"/>
        <w:gridCol w:w="1009"/>
        <w:gridCol w:w="1009"/>
        <w:gridCol w:w="1130"/>
        <w:gridCol w:w="1495"/>
        <w:gridCol w:w="1203"/>
        <w:gridCol w:w="1374"/>
      </w:tblGrid>
      <w:tr w:rsidR="002B464E" w14:paraId="67530441" w14:textId="77777777" w:rsidTr="002B464E">
        <w:tc>
          <w:tcPr>
            <w:tcW w:w="1399" w:type="dxa"/>
            <w:vAlign w:val="bottom"/>
          </w:tcPr>
          <w:p w14:paraId="48E1AF19" w14:textId="77777777" w:rsidR="002B464E" w:rsidRPr="002B464E" w:rsidRDefault="002B464E" w:rsidP="00653DBC"/>
        </w:tc>
        <w:tc>
          <w:tcPr>
            <w:tcW w:w="825" w:type="dxa"/>
            <w:vAlign w:val="bottom"/>
          </w:tcPr>
          <w:p w14:paraId="15072122" w14:textId="7358C159" w:rsidR="002B464E" w:rsidRPr="002B464E" w:rsidRDefault="002B464E" w:rsidP="00653DBC">
            <w:r w:rsidRPr="002B464E">
              <w:rPr>
                <w:rFonts w:ascii="Aptos Narrow" w:hAnsi="Aptos Narrow"/>
                <w:b/>
                <w:bCs/>
                <w:color w:val="000000"/>
              </w:rPr>
              <w:t>count</w:t>
            </w:r>
          </w:p>
        </w:tc>
        <w:tc>
          <w:tcPr>
            <w:tcW w:w="1130" w:type="dxa"/>
            <w:vAlign w:val="bottom"/>
          </w:tcPr>
          <w:p w14:paraId="4D8EE107" w14:textId="727DC245" w:rsidR="002B464E" w:rsidRPr="002B464E" w:rsidRDefault="002B464E" w:rsidP="00653DBC">
            <w:r w:rsidRPr="002B464E">
              <w:rPr>
                <w:rFonts w:ascii="Aptos Narrow" w:hAnsi="Aptos Narrow"/>
                <w:b/>
                <w:bCs/>
                <w:color w:val="000000"/>
              </w:rPr>
              <w:t>mean</w:t>
            </w:r>
          </w:p>
        </w:tc>
        <w:tc>
          <w:tcPr>
            <w:tcW w:w="1252" w:type="dxa"/>
            <w:vAlign w:val="bottom"/>
          </w:tcPr>
          <w:p w14:paraId="7D5BB4E9" w14:textId="63004692" w:rsidR="002B464E" w:rsidRPr="002B464E" w:rsidRDefault="002B464E" w:rsidP="00653DBC">
            <w:r w:rsidRPr="002B464E">
              <w:rPr>
                <w:rFonts w:ascii="Aptos Narrow" w:hAnsi="Aptos Narrow"/>
                <w:b/>
                <w:bCs/>
                <w:color w:val="000000"/>
              </w:rPr>
              <w:t>std</w:t>
            </w:r>
          </w:p>
        </w:tc>
        <w:tc>
          <w:tcPr>
            <w:tcW w:w="1495" w:type="dxa"/>
            <w:vAlign w:val="bottom"/>
          </w:tcPr>
          <w:p w14:paraId="42385A03" w14:textId="4880A392" w:rsidR="002B464E" w:rsidRPr="002B464E" w:rsidRDefault="002B464E" w:rsidP="00653DBC">
            <w:r w:rsidRPr="002B464E">
              <w:rPr>
                <w:rFonts w:ascii="Aptos Narrow" w:hAnsi="Aptos Narrow"/>
                <w:b/>
                <w:bCs/>
                <w:color w:val="000000"/>
              </w:rPr>
              <w:t>min</w:t>
            </w:r>
          </w:p>
        </w:tc>
        <w:tc>
          <w:tcPr>
            <w:tcW w:w="1009" w:type="dxa"/>
            <w:vAlign w:val="bottom"/>
          </w:tcPr>
          <w:p w14:paraId="06E1F93D" w14:textId="239655B1" w:rsidR="002B464E" w:rsidRPr="002B464E" w:rsidRDefault="002B464E" w:rsidP="00653DBC">
            <w:r w:rsidRPr="002B464E">
              <w:rPr>
                <w:rFonts w:ascii="Aptos Narrow" w:hAnsi="Aptos Narrow"/>
                <w:b/>
                <w:bCs/>
                <w:color w:val="000000"/>
              </w:rPr>
              <w:t>0.25</w:t>
            </w:r>
          </w:p>
        </w:tc>
        <w:tc>
          <w:tcPr>
            <w:tcW w:w="1009" w:type="dxa"/>
            <w:vAlign w:val="bottom"/>
          </w:tcPr>
          <w:p w14:paraId="26234BF7" w14:textId="2853004C" w:rsidR="002B464E" w:rsidRPr="002B464E" w:rsidRDefault="002B464E" w:rsidP="00653DBC">
            <w:r w:rsidRPr="002B464E">
              <w:rPr>
                <w:rFonts w:ascii="Aptos Narrow" w:hAnsi="Aptos Narrow"/>
                <w:b/>
                <w:bCs/>
                <w:color w:val="000000"/>
              </w:rPr>
              <w:t>0.5</w:t>
            </w:r>
          </w:p>
        </w:tc>
        <w:tc>
          <w:tcPr>
            <w:tcW w:w="1130" w:type="dxa"/>
            <w:vAlign w:val="bottom"/>
          </w:tcPr>
          <w:p w14:paraId="3325FC0D" w14:textId="78BE3DA2" w:rsidR="002B464E" w:rsidRPr="002B464E" w:rsidRDefault="002B464E" w:rsidP="00653DBC">
            <w:r w:rsidRPr="002B464E">
              <w:rPr>
                <w:rFonts w:ascii="Aptos Narrow" w:hAnsi="Aptos Narrow"/>
                <w:b/>
                <w:bCs/>
                <w:color w:val="000000"/>
              </w:rPr>
              <w:t>0.75</w:t>
            </w:r>
          </w:p>
        </w:tc>
        <w:tc>
          <w:tcPr>
            <w:tcW w:w="1495" w:type="dxa"/>
            <w:vAlign w:val="bottom"/>
          </w:tcPr>
          <w:p w14:paraId="534356D6" w14:textId="40E1598F" w:rsidR="002B464E" w:rsidRPr="002B464E" w:rsidRDefault="002B464E" w:rsidP="00653DBC">
            <w:r w:rsidRPr="002B464E">
              <w:rPr>
                <w:rFonts w:ascii="Aptos Narrow" w:hAnsi="Aptos Narrow"/>
                <w:b/>
                <w:bCs/>
                <w:color w:val="000000"/>
              </w:rPr>
              <w:t>max</w:t>
            </w:r>
          </w:p>
        </w:tc>
        <w:tc>
          <w:tcPr>
            <w:tcW w:w="1203" w:type="dxa"/>
            <w:vAlign w:val="bottom"/>
          </w:tcPr>
          <w:p w14:paraId="596740F5" w14:textId="42B5EF99" w:rsidR="002B464E" w:rsidRPr="002B464E" w:rsidRDefault="002B464E" w:rsidP="00653DBC">
            <w:r w:rsidRPr="002B464E">
              <w:rPr>
                <w:rFonts w:ascii="Aptos Narrow" w:hAnsi="Aptos Narrow"/>
                <w:b/>
                <w:bCs/>
                <w:color w:val="000000"/>
              </w:rPr>
              <w:t>Skewness</w:t>
            </w:r>
          </w:p>
        </w:tc>
        <w:tc>
          <w:tcPr>
            <w:tcW w:w="1374" w:type="dxa"/>
            <w:vAlign w:val="bottom"/>
          </w:tcPr>
          <w:p w14:paraId="6933E273" w14:textId="4C4AB7E0" w:rsidR="002B464E" w:rsidRPr="002B464E" w:rsidRDefault="002B464E" w:rsidP="00653DBC">
            <w:r w:rsidRPr="002B464E">
              <w:rPr>
                <w:rFonts w:ascii="Aptos Narrow" w:hAnsi="Aptos Narrow"/>
                <w:b/>
                <w:bCs/>
                <w:color w:val="000000"/>
              </w:rPr>
              <w:t>Kurtosis</w:t>
            </w:r>
          </w:p>
        </w:tc>
      </w:tr>
      <w:tr w:rsidR="002B464E" w14:paraId="34D993F8" w14:textId="77777777" w:rsidTr="002B464E">
        <w:tc>
          <w:tcPr>
            <w:tcW w:w="1399" w:type="dxa"/>
            <w:vAlign w:val="bottom"/>
          </w:tcPr>
          <w:p w14:paraId="76D72620" w14:textId="7AAF1A16" w:rsidR="002B464E" w:rsidRPr="002B464E" w:rsidRDefault="002B464E" w:rsidP="00653DBC">
            <w:r w:rsidRPr="002B464E">
              <w:rPr>
                <w:rFonts w:ascii="Aptos Narrow" w:hAnsi="Aptos Narrow"/>
                <w:b/>
                <w:bCs/>
                <w:color w:val="000000"/>
              </w:rPr>
              <w:t>Market Value (%)</w:t>
            </w:r>
          </w:p>
        </w:tc>
        <w:tc>
          <w:tcPr>
            <w:tcW w:w="825" w:type="dxa"/>
            <w:vAlign w:val="bottom"/>
          </w:tcPr>
          <w:p w14:paraId="36DE84C6" w14:textId="57C7DA6F" w:rsidR="002B464E" w:rsidRPr="002B464E" w:rsidRDefault="002B464E" w:rsidP="00653DBC">
            <w:r w:rsidRPr="002B464E">
              <w:rPr>
                <w:rFonts w:ascii="Aptos Narrow" w:hAnsi="Aptos Narrow"/>
                <w:color w:val="000000"/>
              </w:rPr>
              <w:t>39199</w:t>
            </w:r>
          </w:p>
        </w:tc>
        <w:tc>
          <w:tcPr>
            <w:tcW w:w="1130" w:type="dxa"/>
            <w:vAlign w:val="bottom"/>
          </w:tcPr>
          <w:p w14:paraId="1198702E" w14:textId="75495931" w:rsidR="002B464E" w:rsidRPr="002B464E" w:rsidRDefault="002B464E" w:rsidP="00653DBC">
            <w:r w:rsidRPr="002B464E">
              <w:rPr>
                <w:rFonts w:ascii="Aptos Narrow" w:hAnsi="Aptos Narrow"/>
                <w:color w:val="000000"/>
              </w:rPr>
              <w:t>0.1995</w:t>
            </w:r>
          </w:p>
        </w:tc>
        <w:tc>
          <w:tcPr>
            <w:tcW w:w="1252" w:type="dxa"/>
            <w:vAlign w:val="bottom"/>
          </w:tcPr>
          <w:p w14:paraId="20145CCB" w14:textId="1890CAC6" w:rsidR="002B464E" w:rsidRPr="002B464E" w:rsidRDefault="002B464E" w:rsidP="00653DBC">
            <w:r w:rsidRPr="002B464E">
              <w:rPr>
                <w:rFonts w:ascii="Aptos Narrow" w:hAnsi="Aptos Narrow"/>
                <w:color w:val="000000"/>
              </w:rPr>
              <w:t>0.3808</w:t>
            </w:r>
          </w:p>
        </w:tc>
        <w:tc>
          <w:tcPr>
            <w:tcW w:w="1495" w:type="dxa"/>
            <w:vAlign w:val="bottom"/>
          </w:tcPr>
          <w:p w14:paraId="4838A78B" w14:textId="2A850C45" w:rsidR="002B464E" w:rsidRPr="002B464E" w:rsidRDefault="002B464E" w:rsidP="00653DBC">
            <w:r w:rsidRPr="002B464E">
              <w:rPr>
                <w:rFonts w:ascii="Aptos Narrow" w:hAnsi="Aptos Narrow"/>
                <w:color w:val="000000"/>
              </w:rPr>
              <w:t>0.0010</w:t>
            </w:r>
          </w:p>
        </w:tc>
        <w:tc>
          <w:tcPr>
            <w:tcW w:w="1009" w:type="dxa"/>
            <w:vAlign w:val="bottom"/>
          </w:tcPr>
          <w:p w14:paraId="40806A7E" w14:textId="737BD88C" w:rsidR="002B464E" w:rsidRPr="002B464E" w:rsidRDefault="002B464E" w:rsidP="00653DBC">
            <w:r w:rsidRPr="002B464E">
              <w:rPr>
                <w:rFonts w:ascii="Aptos Narrow" w:hAnsi="Aptos Narrow"/>
                <w:color w:val="000000"/>
              </w:rPr>
              <w:t>0.0851</w:t>
            </w:r>
          </w:p>
        </w:tc>
        <w:tc>
          <w:tcPr>
            <w:tcW w:w="1009" w:type="dxa"/>
            <w:vAlign w:val="bottom"/>
          </w:tcPr>
          <w:p w14:paraId="19824C4D" w14:textId="414D41F1" w:rsidR="002B464E" w:rsidRPr="002B464E" w:rsidRDefault="002B464E" w:rsidP="00653DBC">
            <w:r w:rsidRPr="002B464E">
              <w:rPr>
                <w:rFonts w:ascii="Aptos Narrow" w:hAnsi="Aptos Narrow"/>
                <w:color w:val="000000"/>
              </w:rPr>
              <w:t>0.1515</w:t>
            </w:r>
          </w:p>
        </w:tc>
        <w:tc>
          <w:tcPr>
            <w:tcW w:w="1130" w:type="dxa"/>
            <w:vAlign w:val="bottom"/>
          </w:tcPr>
          <w:p w14:paraId="36B5E85C" w14:textId="0C5D2736" w:rsidR="002B464E" w:rsidRPr="002B464E" w:rsidRDefault="002B464E" w:rsidP="00653DBC">
            <w:r w:rsidRPr="002B464E">
              <w:rPr>
                <w:rFonts w:ascii="Aptos Narrow" w:hAnsi="Aptos Narrow"/>
                <w:color w:val="000000"/>
              </w:rPr>
              <w:t>0.2054</w:t>
            </w:r>
          </w:p>
        </w:tc>
        <w:tc>
          <w:tcPr>
            <w:tcW w:w="1495" w:type="dxa"/>
            <w:vAlign w:val="bottom"/>
          </w:tcPr>
          <w:p w14:paraId="7B9FE8B6" w14:textId="1F29E04D" w:rsidR="002B464E" w:rsidRPr="002B464E" w:rsidRDefault="002B464E" w:rsidP="00653DBC">
            <w:r w:rsidRPr="002B464E">
              <w:rPr>
                <w:rFonts w:ascii="Aptos Narrow" w:hAnsi="Aptos Narrow"/>
                <w:color w:val="000000"/>
              </w:rPr>
              <w:t>17.5487</w:t>
            </w:r>
          </w:p>
        </w:tc>
        <w:tc>
          <w:tcPr>
            <w:tcW w:w="1203" w:type="dxa"/>
            <w:vAlign w:val="bottom"/>
          </w:tcPr>
          <w:p w14:paraId="40AF7F69" w14:textId="122EE8EE" w:rsidR="002B464E" w:rsidRPr="002B464E" w:rsidRDefault="002B464E" w:rsidP="00653DBC">
            <w:r w:rsidRPr="002B464E">
              <w:rPr>
                <w:rFonts w:ascii="Aptos Narrow" w:hAnsi="Aptos Narrow"/>
                <w:color w:val="000000"/>
              </w:rPr>
              <w:t>22.3221</w:t>
            </w:r>
          </w:p>
        </w:tc>
        <w:tc>
          <w:tcPr>
            <w:tcW w:w="1374" w:type="dxa"/>
            <w:vAlign w:val="bottom"/>
          </w:tcPr>
          <w:p w14:paraId="27B7AB33" w14:textId="2AAF6E39" w:rsidR="002B464E" w:rsidRPr="002B464E" w:rsidRDefault="002B464E" w:rsidP="00653DBC">
            <w:r w:rsidRPr="002B464E">
              <w:rPr>
                <w:rFonts w:ascii="Aptos Narrow" w:hAnsi="Aptos Narrow"/>
                <w:color w:val="000000"/>
              </w:rPr>
              <w:t>788.8478</w:t>
            </w:r>
          </w:p>
        </w:tc>
      </w:tr>
      <w:tr w:rsidR="002B464E" w14:paraId="385B1270" w14:textId="77777777" w:rsidTr="002B464E">
        <w:tc>
          <w:tcPr>
            <w:tcW w:w="1399" w:type="dxa"/>
            <w:vAlign w:val="bottom"/>
          </w:tcPr>
          <w:p w14:paraId="1A0E63E4" w14:textId="34CA2B8A" w:rsidR="002B464E" w:rsidRPr="002B464E" w:rsidRDefault="002B464E" w:rsidP="00653DBC">
            <w:r w:rsidRPr="002B464E">
              <w:rPr>
                <w:rFonts w:ascii="Aptos Narrow" w:hAnsi="Aptos Narrow"/>
                <w:b/>
                <w:bCs/>
                <w:color w:val="000000"/>
              </w:rPr>
              <w:t>P/E</w:t>
            </w:r>
          </w:p>
        </w:tc>
        <w:tc>
          <w:tcPr>
            <w:tcW w:w="825" w:type="dxa"/>
            <w:vAlign w:val="bottom"/>
          </w:tcPr>
          <w:p w14:paraId="351AF0A7" w14:textId="364759C6" w:rsidR="002B464E" w:rsidRPr="002B464E" w:rsidRDefault="002B464E" w:rsidP="00653DBC">
            <w:r w:rsidRPr="002B464E">
              <w:rPr>
                <w:rFonts w:ascii="Aptos Narrow" w:hAnsi="Aptos Narrow"/>
                <w:color w:val="000000"/>
              </w:rPr>
              <w:t>39199</w:t>
            </w:r>
          </w:p>
        </w:tc>
        <w:tc>
          <w:tcPr>
            <w:tcW w:w="1130" w:type="dxa"/>
            <w:vAlign w:val="bottom"/>
          </w:tcPr>
          <w:p w14:paraId="658F13CD" w14:textId="78A7A52B" w:rsidR="002B464E" w:rsidRPr="002B464E" w:rsidRDefault="002B464E" w:rsidP="00653DBC">
            <w:r w:rsidRPr="002B464E">
              <w:rPr>
                <w:rFonts w:ascii="Aptos Narrow" w:hAnsi="Aptos Narrow"/>
                <w:color w:val="000000"/>
              </w:rPr>
              <w:t>40.3603</w:t>
            </w:r>
          </w:p>
        </w:tc>
        <w:tc>
          <w:tcPr>
            <w:tcW w:w="1252" w:type="dxa"/>
            <w:vAlign w:val="bottom"/>
          </w:tcPr>
          <w:p w14:paraId="3CF79735" w14:textId="708DBDB9" w:rsidR="002B464E" w:rsidRPr="002B464E" w:rsidRDefault="002B464E" w:rsidP="00653DBC">
            <w:r w:rsidRPr="002B464E">
              <w:rPr>
                <w:rFonts w:ascii="Aptos Narrow" w:hAnsi="Aptos Narrow"/>
                <w:color w:val="000000"/>
              </w:rPr>
              <w:t>546.4104</w:t>
            </w:r>
          </w:p>
        </w:tc>
        <w:tc>
          <w:tcPr>
            <w:tcW w:w="1495" w:type="dxa"/>
            <w:vAlign w:val="bottom"/>
          </w:tcPr>
          <w:p w14:paraId="0170B023" w14:textId="09221F7D" w:rsidR="002B464E" w:rsidRPr="002B464E" w:rsidRDefault="002B464E" w:rsidP="00653DBC">
            <w:r w:rsidRPr="002B464E">
              <w:rPr>
                <w:rFonts w:ascii="Aptos Narrow" w:hAnsi="Aptos Narrow"/>
                <w:color w:val="000000"/>
              </w:rPr>
              <w:t>0.3024</w:t>
            </w:r>
          </w:p>
        </w:tc>
        <w:tc>
          <w:tcPr>
            <w:tcW w:w="1009" w:type="dxa"/>
            <w:vAlign w:val="bottom"/>
          </w:tcPr>
          <w:p w14:paraId="5B21E70F" w14:textId="1B92DA8C" w:rsidR="002B464E" w:rsidRPr="002B464E" w:rsidRDefault="002B464E" w:rsidP="00653DBC">
            <w:r w:rsidRPr="002B464E">
              <w:rPr>
                <w:rFonts w:ascii="Aptos Narrow" w:hAnsi="Aptos Narrow"/>
                <w:color w:val="000000"/>
              </w:rPr>
              <w:t>15.5430</w:t>
            </w:r>
          </w:p>
        </w:tc>
        <w:tc>
          <w:tcPr>
            <w:tcW w:w="1009" w:type="dxa"/>
            <w:vAlign w:val="bottom"/>
          </w:tcPr>
          <w:p w14:paraId="3EAA1B11" w14:textId="2FE73834" w:rsidR="002B464E" w:rsidRPr="002B464E" w:rsidRDefault="002B464E" w:rsidP="00653DBC">
            <w:r w:rsidRPr="002B464E">
              <w:rPr>
                <w:rFonts w:ascii="Aptos Narrow" w:hAnsi="Aptos Narrow"/>
                <w:color w:val="000000"/>
              </w:rPr>
              <w:t>22.8503</w:t>
            </w:r>
          </w:p>
        </w:tc>
        <w:tc>
          <w:tcPr>
            <w:tcW w:w="1130" w:type="dxa"/>
            <w:vAlign w:val="bottom"/>
          </w:tcPr>
          <w:p w14:paraId="1EDD40B5" w14:textId="1BB25A4C" w:rsidR="002B464E" w:rsidRPr="002B464E" w:rsidRDefault="002B464E" w:rsidP="00653DBC">
            <w:r w:rsidRPr="002B464E">
              <w:rPr>
                <w:rFonts w:ascii="Aptos Narrow" w:hAnsi="Aptos Narrow"/>
                <w:color w:val="000000"/>
              </w:rPr>
              <w:t>40.0490</w:t>
            </w:r>
          </w:p>
        </w:tc>
        <w:tc>
          <w:tcPr>
            <w:tcW w:w="1495" w:type="dxa"/>
            <w:vAlign w:val="bottom"/>
          </w:tcPr>
          <w:p w14:paraId="290817F4" w14:textId="192AD1DB" w:rsidR="002B464E" w:rsidRPr="002B464E" w:rsidRDefault="002B464E" w:rsidP="00653DBC">
            <w:r w:rsidRPr="002B464E">
              <w:rPr>
                <w:rFonts w:ascii="Aptos Narrow" w:hAnsi="Aptos Narrow"/>
                <w:color w:val="000000"/>
              </w:rPr>
              <w:t>85278.5046</w:t>
            </w:r>
          </w:p>
        </w:tc>
        <w:tc>
          <w:tcPr>
            <w:tcW w:w="1203" w:type="dxa"/>
            <w:vAlign w:val="bottom"/>
          </w:tcPr>
          <w:p w14:paraId="368BA7F5" w14:textId="0A631365" w:rsidR="002B464E" w:rsidRPr="002B464E" w:rsidRDefault="002B464E" w:rsidP="00653DBC">
            <w:r w:rsidRPr="002B464E">
              <w:rPr>
                <w:rFonts w:ascii="Aptos Narrow" w:hAnsi="Aptos Narrow"/>
                <w:color w:val="000000"/>
              </w:rPr>
              <w:t>118.0390</w:t>
            </w:r>
          </w:p>
        </w:tc>
        <w:tc>
          <w:tcPr>
            <w:tcW w:w="1374" w:type="dxa"/>
            <w:vAlign w:val="bottom"/>
          </w:tcPr>
          <w:p w14:paraId="26B74450" w14:textId="0E0A4036" w:rsidR="002B464E" w:rsidRPr="002B464E" w:rsidRDefault="002B464E" w:rsidP="00653DBC">
            <w:r w:rsidRPr="002B464E">
              <w:rPr>
                <w:rFonts w:ascii="Aptos Narrow" w:hAnsi="Aptos Narrow"/>
                <w:color w:val="000000"/>
              </w:rPr>
              <w:t>16617.0112</w:t>
            </w:r>
          </w:p>
        </w:tc>
      </w:tr>
      <w:tr w:rsidR="002B464E" w14:paraId="32EAE5FD" w14:textId="77777777" w:rsidTr="002B464E">
        <w:tc>
          <w:tcPr>
            <w:tcW w:w="1399" w:type="dxa"/>
            <w:vAlign w:val="bottom"/>
          </w:tcPr>
          <w:p w14:paraId="18DF166D" w14:textId="621A4636" w:rsidR="002B464E" w:rsidRPr="002B464E" w:rsidRDefault="002B464E" w:rsidP="00653DBC">
            <w:r w:rsidRPr="002B464E">
              <w:rPr>
                <w:rFonts w:ascii="Aptos Narrow" w:hAnsi="Aptos Narrow"/>
                <w:b/>
                <w:bCs/>
                <w:color w:val="000000"/>
              </w:rPr>
              <w:t>P/CF</w:t>
            </w:r>
          </w:p>
        </w:tc>
        <w:tc>
          <w:tcPr>
            <w:tcW w:w="825" w:type="dxa"/>
            <w:vAlign w:val="bottom"/>
          </w:tcPr>
          <w:p w14:paraId="416C0EDE" w14:textId="383B6A39" w:rsidR="002B464E" w:rsidRPr="002B464E" w:rsidRDefault="002B464E" w:rsidP="00653DBC">
            <w:r w:rsidRPr="002B464E">
              <w:rPr>
                <w:rFonts w:ascii="Aptos Narrow" w:hAnsi="Aptos Narrow"/>
                <w:color w:val="000000"/>
              </w:rPr>
              <w:t>39199</w:t>
            </w:r>
          </w:p>
        </w:tc>
        <w:tc>
          <w:tcPr>
            <w:tcW w:w="1130" w:type="dxa"/>
            <w:vAlign w:val="bottom"/>
          </w:tcPr>
          <w:p w14:paraId="6983281F" w14:textId="36B8F0C7" w:rsidR="002B464E" w:rsidRPr="002B464E" w:rsidRDefault="002B464E" w:rsidP="00653DBC">
            <w:r w:rsidRPr="002B464E">
              <w:rPr>
                <w:rFonts w:ascii="Aptos Narrow" w:hAnsi="Aptos Narrow"/>
                <w:color w:val="000000"/>
              </w:rPr>
              <w:t>22.8484</w:t>
            </w:r>
          </w:p>
        </w:tc>
        <w:tc>
          <w:tcPr>
            <w:tcW w:w="1252" w:type="dxa"/>
            <w:vAlign w:val="bottom"/>
          </w:tcPr>
          <w:p w14:paraId="67A7266B" w14:textId="5C6B3975" w:rsidR="002B464E" w:rsidRPr="002B464E" w:rsidRDefault="002B464E" w:rsidP="00653DBC">
            <w:r w:rsidRPr="002B464E">
              <w:rPr>
                <w:rFonts w:ascii="Aptos Narrow" w:hAnsi="Aptos Narrow"/>
                <w:color w:val="000000"/>
              </w:rPr>
              <w:t>352.9619</w:t>
            </w:r>
          </w:p>
        </w:tc>
        <w:tc>
          <w:tcPr>
            <w:tcW w:w="1495" w:type="dxa"/>
            <w:vAlign w:val="bottom"/>
          </w:tcPr>
          <w:p w14:paraId="1279CC10" w14:textId="3A6140B5" w:rsidR="002B464E" w:rsidRPr="002B464E" w:rsidRDefault="002B464E" w:rsidP="00653DBC">
            <w:r w:rsidRPr="002B464E">
              <w:rPr>
                <w:rFonts w:ascii="Aptos Narrow" w:hAnsi="Aptos Narrow"/>
                <w:color w:val="000000"/>
              </w:rPr>
              <w:t>0.0576</w:t>
            </w:r>
          </w:p>
        </w:tc>
        <w:tc>
          <w:tcPr>
            <w:tcW w:w="1009" w:type="dxa"/>
            <w:vAlign w:val="bottom"/>
          </w:tcPr>
          <w:p w14:paraId="65963895" w14:textId="48FE1C1E" w:rsidR="002B464E" w:rsidRPr="002B464E" w:rsidRDefault="002B464E" w:rsidP="00653DBC">
            <w:r w:rsidRPr="002B464E">
              <w:rPr>
                <w:rFonts w:ascii="Aptos Narrow" w:hAnsi="Aptos Narrow"/>
                <w:color w:val="000000"/>
              </w:rPr>
              <w:t>9.2398</w:t>
            </w:r>
          </w:p>
        </w:tc>
        <w:tc>
          <w:tcPr>
            <w:tcW w:w="1009" w:type="dxa"/>
            <w:vAlign w:val="bottom"/>
          </w:tcPr>
          <w:p w14:paraId="4F05A3DD" w14:textId="5096A544" w:rsidR="002B464E" w:rsidRPr="002B464E" w:rsidRDefault="002B464E" w:rsidP="00653DBC">
            <w:r w:rsidRPr="002B464E">
              <w:rPr>
                <w:rFonts w:ascii="Aptos Narrow" w:hAnsi="Aptos Narrow"/>
                <w:color w:val="000000"/>
              </w:rPr>
              <w:t>15.5651</w:t>
            </w:r>
          </w:p>
        </w:tc>
        <w:tc>
          <w:tcPr>
            <w:tcW w:w="1130" w:type="dxa"/>
            <w:vAlign w:val="bottom"/>
          </w:tcPr>
          <w:p w14:paraId="266C392B" w14:textId="75882703" w:rsidR="002B464E" w:rsidRPr="002B464E" w:rsidRDefault="002B464E" w:rsidP="00653DBC">
            <w:r w:rsidRPr="002B464E">
              <w:rPr>
                <w:rFonts w:ascii="Aptos Narrow" w:hAnsi="Aptos Narrow"/>
                <w:color w:val="000000"/>
              </w:rPr>
              <w:t>23.1049</w:t>
            </w:r>
          </w:p>
        </w:tc>
        <w:tc>
          <w:tcPr>
            <w:tcW w:w="1495" w:type="dxa"/>
            <w:vAlign w:val="bottom"/>
          </w:tcPr>
          <w:p w14:paraId="20D9DEF8" w14:textId="52AA8168" w:rsidR="002B464E" w:rsidRPr="002B464E" w:rsidRDefault="002B464E" w:rsidP="00653DBC">
            <w:r w:rsidRPr="002B464E">
              <w:rPr>
                <w:rFonts w:ascii="Aptos Narrow" w:hAnsi="Aptos Narrow"/>
                <w:color w:val="000000"/>
              </w:rPr>
              <w:t>58987.6499</w:t>
            </w:r>
          </w:p>
        </w:tc>
        <w:tc>
          <w:tcPr>
            <w:tcW w:w="1203" w:type="dxa"/>
            <w:vAlign w:val="bottom"/>
          </w:tcPr>
          <w:p w14:paraId="614B9A59" w14:textId="37D5587E" w:rsidR="002B464E" w:rsidRPr="002B464E" w:rsidRDefault="002B464E" w:rsidP="00653DBC">
            <w:r w:rsidRPr="002B464E">
              <w:rPr>
                <w:rFonts w:ascii="Aptos Narrow" w:hAnsi="Aptos Narrow"/>
                <w:color w:val="000000"/>
              </w:rPr>
              <w:t>135.6257</w:t>
            </w:r>
          </w:p>
        </w:tc>
        <w:tc>
          <w:tcPr>
            <w:tcW w:w="1374" w:type="dxa"/>
            <w:vAlign w:val="bottom"/>
          </w:tcPr>
          <w:p w14:paraId="2C6D2266" w14:textId="2D295139" w:rsidR="002B464E" w:rsidRPr="002B464E" w:rsidRDefault="002B464E" w:rsidP="00653DBC">
            <w:r w:rsidRPr="002B464E">
              <w:rPr>
                <w:rFonts w:ascii="Aptos Narrow" w:hAnsi="Aptos Narrow"/>
                <w:color w:val="000000"/>
              </w:rPr>
              <w:t>21018.5483</w:t>
            </w:r>
          </w:p>
        </w:tc>
      </w:tr>
      <w:tr w:rsidR="002B464E" w14:paraId="5C554228" w14:textId="77777777" w:rsidTr="002B464E">
        <w:tc>
          <w:tcPr>
            <w:tcW w:w="1399" w:type="dxa"/>
            <w:vAlign w:val="bottom"/>
          </w:tcPr>
          <w:p w14:paraId="7885EADB" w14:textId="03BD7C61" w:rsidR="002B464E" w:rsidRPr="002B464E" w:rsidRDefault="002B464E" w:rsidP="00653DBC">
            <w:r w:rsidRPr="002B464E">
              <w:rPr>
                <w:rFonts w:ascii="Aptos Narrow" w:hAnsi="Aptos Narrow"/>
                <w:b/>
                <w:bCs/>
                <w:color w:val="000000"/>
              </w:rPr>
              <w:t>P/B</w:t>
            </w:r>
          </w:p>
        </w:tc>
        <w:tc>
          <w:tcPr>
            <w:tcW w:w="825" w:type="dxa"/>
            <w:vAlign w:val="bottom"/>
          </w:tcPr>
          <w:p w14:paraId="448FCC7E" w14:textId="594CCEDF" w:rsidR="002B464E" w:rsidRPr="002B464E" w:rsidRDefault="002B464E" w:rsidP="00653DBC">
            <w:r w:rsidRPr="002B464E">
              <w:rPr>
                <w:rFonts w:ascii="Aptos Narrow" w:hAnsi="Aptos Narrow"/>
                <w:color w:val="000000"/>
              </w:rPr>
              <w:t>39199</w:t>
            </w:r>
          </w:p>
        </w:tc>
        <w:tc>
          <w:tcPr>
            <w:tcW w:w="1130" w:type="dxa"/>
            <w:vAlign w:val="bottom"/>
          </w:tcPr>
          <w:p w14:paraId="5BA4DE34" w14:textId="603803AC" w:rsidR="002B464E" w:rsidRPr="002B464E" w:rsidRDefault="002B464E" w:rsidP="00653DBC">
            <w:r w:rsidRPr="002B464E">
              <w:rPr>
                <w:rFonts w:ascii="Aptos Narrow" w:hAnsi="Aptos Narrow"/>
                <w:color w:val="000000"/>
              </w:rPr>
              <w:t>9.1153</w:t>
            </w:r>
          </w:p>
        </w:tc>
        <w:tc>
          <w:tcPr>
            <w:tcW w:w="1252" w:type="dxa"/>
            <w:vAlign w:val="bottom"/>
          </w:tcPr>
          <w:p w14:paraId="5EED6853" w14:textId="57B3B595" w:rsidR="002B464E" w:rsidRPr="002B464E" w:rsidRDefault="002B464E" w:rsidP="00653DBC">
            <w:r w:rsidRPr="002B464E">
              <w:rPr>
                <w:rFonts w:ascii="Aptos Narrow" w:hAnsi="Aptos Narrow"/>
                <w:color w:val="000000"/>
              </w:rPr>
              <w:t>110.4801</w:t>
            </w:r>
          </w:p>
        </w:tc>
        <w:tc>
          <w:tcPr>
            <w:tcW w:w="1495" w:type="dxa"/>
            <w:vAlign w:val="bottom"/>
          </w:tcPr>
          <w:p w14:paraId="54C82685" w14:textId="43393394" w:rsidR="002B464E" w:rsidRPr="002B464E" w:rsidRDefault="002B464E" w:rsidP="00653DBC">
            <w:r w:rsidRPr="002B464E">
              <w:rPr>
                <w:rFonts w:ascii="Aptos Narrow" w:hAnsi="Aptos Narrow"/>
                <w:color w:val="000000"/>
              </w:rPr>
              <w:t>0.1136</w:t>
            </w:r>
          </w:p>
        </w:tc>
        <w:tc>
          <w:tcPr>
            <w:tcW w:w="1009" w:type="dxa"/>
            <w:vAlign w:val="bottom"/>
          </w:tcPr>
          <w:p w14:paraId="1D7AAB83" w14:textId="368C439B" w:rsidR="002B464E" w:rsidRPr="002B464E" w:rsidRDefault="002B464E" w:rsidP="00653DBC">
            <w:r w:rsidRPr="002B464E">
              <w:rPr>
                <w:rFonts w:ascii="Aptos Narrow" w:hAnsi="Aptos Narrow"/>
                <w:color w:val="000000"/>
              </w:rPr>
              <w:t>2.0544</w:t>
            </w:r>
          </w:p>
        </w:tc>
        <w:tc>
          <w:tcPr>
            <w:tcW w:w="1009" w:type="dxa"/>
            <w:vAlign w:val="bottom"/>
          </w:tcPr>
          <w:p w14:paraId="06128959" w14:textId="3044A7E9" w:rsidR="002B464E" w:rsidRPr="002B464E" w:rsidRDefault="002B464E" w:rsidP="00653DBC">
            <w:r w:rsidRPr="002B464E">
              <w:rPr>
                <w:rFonts w:ascii="Aptos Narrow" w:hAnsi="Aptos Narrow"/>
                <w:color w:val="000000"/>
              </w:rPr>
              <w:t>3.8230</w:t>
            </w:r>
          </w:p>
        </w:tc>
        <w:tc>
          <w:tcPr>
            <w:tcW w:w="1130" w:type="dxa"/>
            <w:vAlign w:val="bottom"/>
          </w:tcPr>
          <w:p w14:paraId="102BDD1F" w14:textId="3DE3DAD4" w:rsidR="002B464E" w:rsidRPr="002B464E" w:rsidRDefault="002B464E" w:rsidP="00653DBC">
            <w:r w:rsidRPr="002B464E">
              <w:rPr>
                <w:rFonts w:ascii="Aptos Narrow" w:hAnsi="Aptos Narrow"/>
                <w:color w:val="000000"/>
              </w:rPr>
              <w:t>9.1975</w:t>
            </w:r>
          </w:p>
        </w:tc>
        <w:tc>
          <w:tcPr>
            <w:tcW w:w="1495" w:type="dxa"/>
            <w:vAlign w:val="bottom"/>
          </w:tcPr>
          <w:p w14:paraId="7DCEB42B" w14:textId="0CBE151E" w:rsidR="002B464E" w:rsidRPr="002B464E" w:rsidRDefault="002B464E" w:rsidP="00653DBC">
            <w:r w:rsidRPr="002B464E">
              <w:rPr>
                <w:rFonts w:ascii="Aptos Narrow" w:hAnsi="Aptos Narrow"/>
                <w:color w:val="000000"/>
              </w:rPr>
              <w:t>15144.2615</w:t>
            </w:r>
          </w:p>
        </w:tc>
        <w:tc>
          <w:tcPr>
            <w:tcW w:w="1203" w:type="dxa"/>
            <w:vAlign w:val="bottom"/>
          </w:tcPr>
          <w:p w14:paraId="7DE2C184" w14:textId="004952C2" w:rsidR="002B464E" w:rsidRPr="002B464E" w:rsidRDefault="002B464E" w:rsidP="00653DBC">
            <w:r w:rsidRPr="002B464E">
              <w:rPr>
                <w:rFonts w:ascii="Aptos Narrow" w:hAnsi="Aptos Narrow"/>
                <w:color w:val="000000"/>
              </w:rPr>
              <w:t>88.3260</w:t>
            </w:r>
          </w:p>
        </w:tc>
        <w:tc>
          <w:tcPr>
            <w:tcW w:w="1374" w:type="dxa"/>
            <w:vAlign w:val="bottom"/>
          </w:tcPr>
          <w:p w14:paraId="7F26D45E" w14:textId="33EB6A02" w:rsidR="002B464E" w:rsidRPr="002B464E" w:rsidRDefault="002B464E" w:rsidP="00653DBC">
            <w:r w:rsidRPr="002B464E">
              <w:rPr>
                <w:rFonts w:ascii="Aptos Narrow" w:hAnsi="Aptos Narrow"/>
                <w:color w:val="000000"/>
              </w:rPr>
              <w:t>10175.9129</w:t>
            </w:r>
          </w:p>
        </w:tc>
      </w:tr>
      <w:tr w:rsidR="002B464E" w14:paraId="3FB72C64" w14:textId="77777777" w:rsidTr="002B464E">
        <w:tc>
          <w:tcPr>
            <w:tcW w:w="1399" w:type="dxa"/>
            <w:vAlign w:val="bottom"/>
          </w:tcPr>
          <w:p w14:paraId="4DD7EB19" w14:textId="070FBA26" w:rsidR="002B464E" w:rsidRPr="002B464E" w:rsidRDefault="002B464E" w:rsidP="00653DBC">
            <w:r w:rsidRPr="002B464E">
              <w:rPr>
                <w:rFonts w:ascii="Aptos Narrow" w:hAnsi="Aptos Narrow"/>
                <w:b/>
                <w:bCs/>
                <w:color w:val="000000"/>
              </w:rPr>
              <w:t>Debt/Equity</w:t>
            </w:r>
          </w:p>
        </w:tc>
        <w:tc>
          <w:tcPr>
            <w:tcW w:w="825" w:type="dxa"/>
            <w:vAlign w:val="bottom"/>
          </w:tcPr>
          <w:p w14:paraId="6F62ED81" w14:textId="18194638" w:rsidR="002B464E" w:rsidRPr="002B464E" w:rsidRDefault="002B464E" w:rsidP="00653DBC">
            <w:r w:rsidRPr="002B464E">
              <w:rPr>
                <w:rFonts w:ascii="Aptos Narrow" w:hAnsi="Aptos Narrow"/>
                <w:color w:val="000000"/>
              </w:rPr>
              <w:t>39199</w:t>
            </w:r>
          </w:p>
        </w:tc>
        <w:tc>
          <w:tcPr>
            <w:tcW w:w="1130" w:type="dxa"/>
            <w:vAlign w:val="bottom"/>
          </w:tcPr>
          <w:p w14:paraId="413E5C62" w14:textId="66351360" w:rsidR="002B464E" w:rsidRPr="002B464E" w:rsidRDefault="002B464E" w:rsidP="00653DBC">
            <w:r w:rsidRPr="002B464E">
              <w:rPr>
                <w:rFonts w:ascii="Aptos Narrow" w:hAnsi="Aptos Narrow"/>
                <w:color w:val="000000"/>
              </w:rPr>
              <w:t>211.1947</w:t>
            </w:r>
          </w:p>
        </w:tc>
        <w:tc>
          <w:tcPr>
            <w:tcW w:w="1252" w:type="dxa"/>
            <w:vAlign w:val="bottom"/>
          </w:tcPr>
          <w:p w14:paraId="106AF272" w14:textId="200D26FA" w:rsidR="002B464E" w:rsidRPr="002B464E" w:rsidRDefault="002B464E" w:rsidP="00653DBC">
            <w:r w:rsidRPr="002B464E">
              <w:rPr>
                <w:rFonts w:ascii="Aptos Narrow" w:hAnsi="Aptos Narrow"/>
                <w:color w:val="000000"/>
              </w:rPr>
              <w:t>3396.1508</w:t>
            </w:r>
          </w:p>
        </w:tc>
        <w:tc>
          <w:tcPr>
            <w:tcW w:w="1495" w:type="dxa"/>
            <w:vAlign w:val="bottom"/>
          </w:tcPr>
          <w:p w14:paraId="71E3C6E5" w14:textId="298C3AA9" w:rsidR="002B464E" w:rsidRPr="002B464E" w:rsidRDefault="002B464E" w:rsidP="00653DBC">
            <w:r w:rsidRPr="002B464E">
              <w:rPr>
                <w:rFonts w:ascii="Aptos Narrow" w:hAnsi="Aptos Narrow"/>
                <w:color w:val="000000"/>
              </w:rPr>
              <w:t>0.0000</w:t>
            </w:r>
          </w:p>
        </w:tc>
        <w:tc>
          <w:tcPr>
            <w:tcW w:w="1009" w:type="dxa"/>
            <w:vAlign w:val="bottom"/>
          </w:tcPr>
          <w:p w14:paraId="4A5223F8" w14:textId="0BCA9249" w:rsidR="002B464E" w:rsidRPr="002B464E" w:rsidRDefault="002B464E" w:rsidP="00653DBC">
            <w:r w:rsidRPr="002B464E">
              <w:rPr>
                <w:rFonts w:ascii="Aptos Narrow" w:hAnsi="Aptos Narrow"/>
                <w:color w:val="000000"/>
              </w:rPr>
              <w:t>39.9607</w:t>
            </w:r>
          </w:p>
        </w:tc>
        <w:tc>
          <w:tcPr>
            <w:tcW w:w="1009" w:type="dxa"/>
            <w:vAlign w:val="bottom"/>
          </w:tcPr>
          <w:p w14:paraId="4C3AC6C5" w14:textId="353345E4" w:rsidR="002B464E" w:rsidRPr="002B464E" w:rsidRDefault="002B464E" w:rsidP="00653DBC">
            <w:r w:rsidRPr="002B464E">
              <w:rPr>
                <w:rFonts w:ascii="Aptos Narrow" w:hAnsi="Aptos Narrow"/>
                <w:color w:val="000000"/>
              </w:rPr>
              <w:t>88.4201</w:t>
            </w:r>
          </w:p>
        </w:tc>
        <w:tc>
          <w:tcPr>
            <w:tcW w:w="1130" w:type="dxa"/>
            <w:vAlign w:val="bottom"/>
          </w:tcPr>
          <w:p w14:paraId="05E86011" w14:textId="11470450" w:rsidR="002B464E" w:rsidRPr="002B464E" w:rsidRDefault="002B464E" w:rsidP="00653DBC">
            <w:r w:rsidRPr="002B464E">
              <w:rPr>
                <w:rFonts w:ascii="Aptos Narrow" w:hAnsi="Aptos Narrow"/>
                <w:color w:val="000000"/>
              </w:rPr>
              <w:t>211.0715</w:t>
            </w:r>
          </w:p>
        </w:tc>
        <w:tc>
          <w:tcPr>
            <w:tcW w:w="1495" w:type="dxa"/>
            <w:vAlign w:val="bottom"/>
          </w:tcPr>
          <w:p w14:paraId="3EBA2040" w14:textId="17B056A7" w:rsidR="002B464E" w:rsidRPr="002B464E" w:rsidRDefault="002B464E" w:rsidP="00653DBC">
            <w:r w:rsidRPr="002B464E">
              <w:rPr>
                <w:rFonts w:ascii="Aptos Narrow" w:hAnsi="Aptos Narrow"/>
                <w:color w:val="000000"/>
              </w:rPr>
              <w:t>481004.9332</w:t>
            </w:r>
          </w:p>
        </w:tc>
        <w:tc>
          <w:tcPr>
            <w:tcW w:w="1203" w:type="dxa"/>
            <w:vAlign w:val="bottom"/>
          </w:tcPr>
          <w:p w14:paraId="05741A4F" w14:textId="0659DDD7" w:rsidR="002B464E" w:rsidRPr="002B464E" w:rsidRDefault="002B464E" w:rsidP="00653DBC">
            <w:r w:rsidRPr="002B464E">
              <w:rPr>
                <w:rFonts w:ascii="Aptos Narrow" w:hAnsi="Aptos Narrow"/>
                <w:color w:val="000000"/>
              </w:rPr>
              <w:t>117.7311</w:t>
            </w:r>
          </w:p>
        </w:tc>
        <w:tc>
          <w:tcPr>
            <w:tcW w:w="1374" w:type="dxa"/>
            <w:vAlign w:val="bottom"/>
          </w:tcPr>
          <w:p w14:paraId="5222011F" w14:textId="5B0E60D2" w:rsidR="002B464E" w:rsidRPr="002B464E" w:rsidRDefault="002B464E" w:rsidP="00653DBC">
            <w:r w:rsidRPr="002B464E">
              <w:rPr>
                <w:rFonts w:ascii="Aptos Narrow" w:hAnsi="Aptos Narrow"/>
                <w:color w:val="000000"/>
              </w:rPr>
              <w:t>15441.8814</w:t>
            </w:r>
          </w:p>
        </w:tc>
      </w:tr>
      <w:tr w:rsidR="002B464E" w14:paraId="3891F325" w14:textId="77777777" w:rsidTr="002B464E">
        <w:tc>
          <w:tcPr>
            <w:tcW w:w="1399" w:type="dxa"/>
            <w:vAlign w:val="bottom"/>
          </w:tcPr>
          <w:p w14:paraId="712ED65C" w14:textId="4A21E66B" w:rsidR="002B464E" w:rsidRPr="002B464E" w:rsidRDefault="002B464E" w:rsidP="00653DBC">
            <w:r w:rsidRPr="002B464E">
              <w:rPr>
                <w:rFonts w:ascii="Aptos Narrow" w:hAnsi="Aptos Narrow"/>
                <w:b/>
                <w:bCs/>
                <w:color w:val="000000"/>
              </w:rPr>
              <w:t>ROE</w:t>
            </w:r>
          </w:p>
        </w:tc>
        <w:tc>
          <w:tcPr>
            <w:tcW w:w="825" w:type="dxa"/>
            <w:vAlign w:val="bottom"/>
          </w:tcPr>
          <w:p w14:paraId="2CE2860D" w14:textId="1375899A" w:rsidR="002B464E" w:rsidRPr="002B464E" w:rsidRDefault="002B464E" w:rsidP="00653DBC">
            <w:r w:rsidRPr="002B464E">
              <w:rPr>
                <w:rFonts w:ascii="Aptos Narrow" w:hAnsi="Aptos Narrow"/>
                <w:color w:val="000000"/>
              </w:rPr>
              <w:t>39199</w:t>
            </w:r>
          </w:p>
        </w:tc>
        <w:tc>
          <w:tcPr>
            <w:tcW w:w="1130" w:type="dxa"/>
            <w:vAlign w:val="bottom"/>
          </w:tcPr>
          <w:p w14:paraId="093D79AB" w14:textId="0DE83C52" w:rsidR="002B464E" w:rsidRPr="002B464E" w:rsidRDefault="002B464E" w:rsidP="00653DBC">
            <w:r w:rsidRPr="002B464E">
              <w:rPr>
                <w:rFonts w:ascii="Aptos Narrow" w:hAnsi="Aptos Narrow"/>
                <w:color w:val="000000"/>
              </w:rPr>
              <w:t>20.5654</w:t>
            </w:r>
          </w:p>
        </w:tc>
        <w:tc>
          <w:tcPr>
            <w:tcW w:w="1252" w:type="dxa"/>
            <w:vAlign w:val="bottom"/>
          </w:tcPr>
          <w:p w14:paraId="1671398A" w14:textId="4BE34CCE" w:rsidR="002B464E" w:rsidRPr="002B464E" w:rsidRDefault="002B464E" w:rsidP="00653DBC">
            <w:r w:rsidRPr="002B464E">
              <w:rPr>
                <w:rFonts w:ascii="Aptos Narrow" w:hAnsi="Aptos Narrow"/>
                <w:color w:val="000000"/>
              </w:rPr>
              <w:t>54.8810</w:t>
            </w:r>
          </w:p>
        </w:tc>
        <w:tc>
          <w:tcPr>
            <w:tcW w:w="1495" w:type="dxa"/>
            <w:vAlign w:val="bottom"/>
          </w:tcPr>
          <w:p w14:paraId="10B92140" w14:textId="12CB216A" w:rsidR="002B464E" w:rsidRPr="002B464E" w:rsidRDefault="002B464E" w:rsidP="00653DBC">
            <w:r w:rsidRPr="002B464E">
              <w:rPr>
                <w:rFonts w:ascii="Aptos Narrow" w:hAnsi="Aptos Narrow"/>
                <w:color w:val="000000"/>
              </w:rPr>
              <w:t>-5167.3996</w:t>
            </w:r>
          </w:p>
        </w:tc>
        <w:tc>
          <w:tcPr>
            <w:tcW w:w="1009" w:type="dxa"/>
            <w:vAlign w:val="bottom"/>
          </w:tcPr>
          <w:p w14:paraId="293D5DFB" w14:textId="0D5B3EE4" w:rsidR="002B464E" w:rsidRPr="002B464E" w:rsidRDefault="002B464E" w:rsidP="00653DBC">
            <w:r w:rsidRPr="002B464E">
              <w:rPr>
                <w:rFonts w:ascii="Aptos Narrow" w:hAnsi="Aptos Narrow"/>
                <w:color w:val="000000"/>
              </w:rPr>
              <w:t>9.5613</w:t>
            </w:r>
          </w:p>
        </w:tc>
        <w:tc>
          <w:tcPr>
            <w:tcW w:w="1009" w:type="dxa"/>
            <w:vAlign w:val="bottom"/>
          </w:tcPr>
          <w:p w14:paraId="324B35D5" w14:textId="0C404D38" w:rsidR="002B464E" w:rsidRPr="002B464E" w:rsidRDefault="002B464E" w:rsidP="00653DBC">
            <w:r w:rsidRPr="002B464E">
              <w:rPr>
                <w:rFonts w:ascii="Aptos Narrow" w:hAnsi="Aptos Narrow"/>
                <w:color w:val="000000"/>
              </w:rPr>
              <w:t>18.0599</w:t>
            </w:r>
          </w:p>
        </w:tc>
        <w:tc>
          <w:tcPr>
            <w:tcW w:w="1130" w:type="dxa"/>
            <w:vAlign w:val="bottom"/>
          </w:tcPr>
          <w:p w14:paraId="0A5D0972" w14:textId="1BC37A6A" w:rsidR="002B464E" w:rsidRPr="002B464E" w:rsidRDefault="002B464E" w:rsidP="00653DBC">
            <w:r w:rsidRPr="002B464E">
              <w:rPr>
                <w:rFonts w:ascii="Aptos Narrow" w:hAnsi="Aptos Narrow"/>
                <w:color w:val="000000"/>
              </w:rPr>
              <w:t>23.0435</w:t>
            </w:r>
          </w:p>
        </w:tc>
        <w:tc>
          <w:tcPr>
            <w:tcW w:w="1495" w:type="dxa"/>
            <w:vAlign w:val="bottom"/>
          </w:tcPr>
          <w:p w14:paraId="2E3FFE75" w14:textId="5AB05D12" w:rsidR="002B464E" w:rsidRPr="002B464E" w:rsidRDefault="002B464E" w:rsidP="00653DBC">
            <w:r w:rsidRPr="002B464E">
              <w:rPr>
                <w:rFonts w:ascii="Aptos Narrow" w:hAnsi="Aptos Narrow"/>
                <w:color w:val="000000"/>
              </w:rPr>
              <w:t>2065.2670</w:t>
            </w:r>
          </w:p>
        </w:tc>
        <w:tc>
          <w:tcPr>
            <w:tcW w:w="1203" w:type="dxa"/>
            <w:vAlign w:val="bottom"/>
          </w:tcPr>
          <w:p w14:paraId="68119024" w14:textId="0AAF8BC2" w:rsidR="002B464E" w:rsidRPr="002B464E" w:rsidRDefault="002B464E" w:rsidP="00653DBC">
            <w:r w:rsidRPr="002B464E">
              <w:rPr>
                <w:rFonts w:ascii="Aptos Narrow" w:hAnsi="Aptos Narrow"/>
                <w:color w:val="000000"/>
              </w:rPr>
              <w:t>-11.7281</w:t>
            </w:r>
          </w:p>
        </w:tc>
        <w:tc>
          <w:tcPr>
            <w:tcW w:w="1374" w:type="dxa"/>
            <w:vAlign w:val="bottom"/>
          </w:tcPr>
          <w:p w14:paraId="04D3936B" w14:textId="5E965BBE" w:rsidR="002B464E" w:rsidRPr="002B464E" w:rsidRDefault="002B464E" w:rsidP="00653DBC">
            <w:r w:rsidRPr="002B464E">
              <w:rPr>
                <w:rFonts w:ascii="Aptos Narrow" w:hAnsi="Aptos Narrow"/>
                <w:color w:val="000000"/>
              </w:rPr>
              <w:t>2306.1249</w:t>
            </w:r>
          </w:p>
        </w:tc>
      </w:tr>
      <w:tr w:rsidR="002B464E" w14:paraId="63261B4A" w14:textId="77777777" w:rsidTr="002B464E">
        <w:tc>
          <w:tcPr>
            <w:tcW w:w="1399" w:type="dxa"/>
            <w:vAlign w:val="bottom"/>
          </w:tcPr>
          <w:p w14:paraId="5229A9F5" w14:textId="48790BD9" w:rsidR="002B464E" w:rsidRPr="002B464E" w:rsidRDefault="002B464E" w:rsidP="00653DBC">
            <w:r w:rsidRPr="002B464E">
              <w:rPr>
                <w:rFonts w:ascii="Aptos Narrow" w:hAnsi="Aptos Narrow"/>
                <w:b/>
                <w:bCs/>
                <w:color w:val="000000"/>
              </w:rPr>
              <w:t>ROA</w:t>
            </w:r>
          </w:p>
        </w:tc>
        <w:tc>
          <w:tcPr>
            <w:tcW w:w="825" w:type="dxa"/>
            <w:vAlign w:val="bottom"/>
          </w:tcPr>
          <w:p w14:paraId="2369FBD7" w14:textId="328D00D3" w:rsidR="002B464E" w:rsidRPr="002B464E" w:rsidRDefault="002B464E" w:rsidP="00653DBC">
            <w:r w:rsidRPr="002B464E">
              <w:rPr>
                <w:rFonts w:ascii="Aptos Narrow" w:hAnsi="Aptos Narrow"/>
                <w:color w:val="000000"/>
              </w:rPr>
              <w:t>39199</w:t>
            </w:r>
          </w:p>
        </w:tc>
        <w:tc>
          <w:tcPr>
            <w:tcW w:w="1130" w:type="dxa"/>
            <w:vAlign w:val="bottom"/>
          </w:tcPr>
          <w:p w14:paraId="33EF26CC" w14:textId="5E8FC2A6" w:rsidR="002B464E" w:rsidRPr="002B464E" w:rsidRDefault="002B464E" w:rsidP="00653DBC">
            <w:r w:rsidRPr="002B464E">
              <w:rPr>
                <w:rFonts w:ascii="Aptos Narrow" w:hAnsi="Aptos Narrow"/>
                <w:color w:val="000000"/>
              </w:rPr>
              <w:t>6.5920</w:t>
            </w:r>
          </w:p>
        </w:tc>
        <w:tc>
          <w:tcPr>
            <w:tcW w:w="1252" w:type="dxa"/>
            <w:vAlign w:val="bottom"/>
          </w:tcPr>
          <w:p w14:paraId="78B022B8" w14:textId="346A53DA" w:rsidR="002B464E" w:rsidRPr="002B464E" w:rsidRDefault="002B464E" w:rsidP="00653DBC">
            <w:r w:rsidRPr="002B464E">
              <w:rPr>
                <w:rFonts w:ascii="Aptos Narrow" w:hAnsi="Aptos Narrow"/>
                <w:color w:val="000000"/>
              </w:rPr>
              <w:t>8.6610</w:t>
            </w:r>
          </w:p>
        </w:tc>
        <w:tc>
          <w:tcPr>
            <w:tcW w:w="1495" w:type="dxa"/>
            <w:vAlign w:val="bottom"/>
          </w:tcPr>
          <w:p w14:paraId="1830D90B" w14:textId="4C96CF4A" w:rsidR="002B464E" w:rsidRPr="002B464E" w:rsidRDefault="002B464E" w:rsidP="00653DBC">
            <w:r w:rsidRPr="002B464E">
              <w:rPr>
                <w:rFonts w:ascii="Aptos Narrow" w:hAnsi="Aptos Narrow"/>
                <w:color w:val="000000"/>
              </w:rPr>
              <w:t>-121.6287</w:t>
            </w:r>
          </w:p>
        </w:tc>
        <w:tc>
          <w:tcPr>
            <w:tcW w:w="1009" w:type="dxa"/>
            <w:vAlign w:val="bottom"/>
          </w:tcPr>
          <w:p w14:paraId="25033990" w14:textId="6DA1A040" w:rsidR="002B464E" w:rsidRPr="002B464E" w:rsidRDefault="002B464E" w:rsidP="00653DBC">
            <w:r w:rsidRPr="002B464E">
              <w:rPr>
                <w:rFonts w:ascii="Aptos Narrow" w:hAnsi="Aptos Narrow"/>
                <w:color w:val="000000"/>
              </w:rPr>
              <w:t>2.7654</w:t>
            </w:r>
          </w:p>
        </w:tc>
        <w:tc>
          <w:tcPr>
            <w:tcW w:w="1009" w:type="dxa"/>
            <w:vAlign w:val="bottom"/>
          </w:tcPr>
          <w:p w14:paraId="07C4167E" w14:textId="1419EB03" w:rsidR="002B464E" w:rsidRPr="002B464E" w:rsidRDefault="002B464E" w:rsidP="00653DBC">
            <w:r w:rsidRPr="002B464E">
              <w:rPr>
                <w:rFonts w:ascii="Aptos Narrow" w:hAnsi="Aptos Narrow"/>
                <w:color w:val="000000"/>
              </w:rPr>
              <w:t>6.6202</w:t>
            </w:r>
          </w:p>
        </w:tc>
        <w:tc>
          <w:tcPr>
            <w:tcW w:w="1130" w:type="dxa"/>
            <w:vAlign w:val="bottom"/>
          </w:tcPr>
          <w:p w14:paraId="089F96B3" w14:textId="221B20B6" w:rsidR="002B464E" w:rsidRPr="002B464E" w:rsidRDefault="002B464E" w:rsidP="00653DBC">
            <w:r w:rsidRPr="002B464E">
              <w:rPr>
                <w:rFonts w:ascii="Aptos Narrow" w:hAnsi="Aptos Narrow"/>
                <w:color w:val="000000"/>
              </w:rPr>
              <w:t>9.5230</w:t>
            </w:r>
          </w:p>
        </w:tc>
        <w:tc>
          <w:tcPr>
            <w:tcW w:w="1495" w:type="dxa"/>
            <w:vAlign w:val="bottom"/>
          </w:tcPr>
          <w:p w14:paraId="6D6509F8" w14:textId="1A08FA2A" w:rsidR="002B464E" w:rsidRPr="002B464E" w:rsidRDefault="002B464E" w:rsidP="00653DBC">
            <w:r w:rsidRPr="002B464E">
              <w:rPr>
                <w:rFonts w:ascii="Aptos Narrow" w:hAnsi="Aptos Narrow"/>
                <w:color w:val="000000"/>
              </w:rPr>
              <w:t>129.4297</w:t>
            </w:r>
          </w:p>
        </w:tc>
        <w:tc>
          <w:tcPr>
            <w:tcW w:w="1203" w:type="dxa"/>
            <w:vAlign w:val="bottom"/>
          </w:tcPr>
          <w:p w14:paraId="583C7118" w14:textId="5A7E4CAD" w:rsidR="002B464E" w:rsidRPr="002B464E" w:rsidRDefault="002B464E" w:rsidP="00653DBC">
            <w:r w:rsidRPr="002B464E">
              <w:rPr>
                <w:rFonts w:ascii="Aptos Narrow" w:hAnsi="Aptos Narrow"/>
                <w:color w:val="000000"/>
              </w:rPr>
              <w:t>-0.0729</w:t>
            </w:r>
          </w:p>
        </w:tc>
        <w:tc>
          <w:tcPr>
            <w:tcW w:w="1374" w:type="dxa"/>
            <w:vAlign w:val="bottom"/>
          </w:tcPr>
          <w:p w14:paraId="21CB8541" w14:textId="3868514D" w:rsidR="002B464E" w:rsidRPr="002B464E" w:rsidRDefault="002B464E" w:rsidP="00653DBC">
            <w:r w:rsidRPr="002B464E">
              <w:rPr>
                <w:rFonts w:ascii="Aptos Narrow" w:hAnsi="Aptos Narrow"/>
                <w:color w:val="000000"/>
              </w:rPr>
              <w:t>30.8666</w:t>
            </w:r>
          </w:p>
        </w:tc>
      </w:tr>
      <w:tr w:rsidR="002B464E" w14:paraId="59131039" w14:textId="77777777" w:rsidTr="002B464E">
        <w:tc>
          <w:tcPr>
            <w:tcW w:w="1399" w:type="dxa"/>
            <w:vAlign w:val="bottom"/>
          </w:tcPr>
          <w:p w14:paraId="47F1DDFE" w14:textId="4CCAE01E" w:rsidR="002B464E" w:rsidRPr="002B464E" w:rsidRDefault="002B464E" w:rsidP="00653DBC">
            <w:r w:rsidRPr="002B464E">
              <w:rPr>
                <w:rFonts w:ascii="Aptos Narrow" w:hAnsi="Aptos Narrow"/>
                <w:b/>
                <w:bCs/>
                <w:color w:val="000000"/>
              </w:rPr>
              <w:t>Profit Margin</w:t>
            </w:r>
          </w:p>
        </w:tc>
        <w:tc>
          <w:tcPr>
            <w:tcW w:w="825" w:type="dxa"/>
            <w:vAlign w:val="bottom"/>
          </w:tcPr>
          <w:p w14:paraId="24DE39A2" w14:textId="344D120F" w:rsidR="002B464E" w:rsidRPr="002B464E" w:rsidRDefault="002B464E" w:rsidP="00653DBC">
            <w:r w:rsidRPr="002B464E">
              <w:rPr>
                <w:rFonts w:ascii="Aptos Narrow" w:hAnsi="Aptos Narrow"/>
                <w:color w:val="000000"/>
              </w:rPr>
              <w:t>39199</w:t>
            </w:r>
          </w:p>
        </w:tc>
        <w:tc>
          <w:tcPr>
            <w:tcW w:w="1130" w:type="dxa"/>
            <w:vAlign w:val="bottom"/>
          </w:tcPr>
          <w:p w14:paraId="7C55C5F4" w14:textId="124ADD3B" w:rsidR="002B464E" w:rsidRPr="002B464E" w:rsidRDefault="002B464E" w:rsidP="00653DBC">
            <w:r w:rsidRPr="002B464E">
              <w:rPr>
                <w:rFonts w:ascii="Aptos Narrow" w:hAnsi="Aptos Narrow"/>
                <w:color w:val="000000"/>
              </w:rPr>
              <w:t>7.9526</w:t>
            </w:r>
          </w:p>
        </w:tc>
        <w:tc>
          <w:tcPr>
            <w:tcW w:w="1252" w:type="dxa"/>
            <w:vAlign w:val="bottom"/>
          </w:tcPr>
          <w:p w14:paraId="01981423" w14:textId="29BFDFB2" w:rsidR="002B464E" w:rsidRPr="002B464E" w:rsidRDefault="002B464E" w:rsidP="00653DBC">
            <w:r w:rsidRPr="002B464E">
              <w:rPr>
                <w:rFonts w:ascii="Aptos Narrow" w:hAnsi="Aptos Narrow"/>
                <w:color w:val="000000"/>
              </w:rPr>
              <w:t>121.9557</w:t>
            </w:r>
          </w:p>
        </w:tc>
        <w:tc>
          <w:tcPr>
            <w:tcW w:w="1495" w:type="dxa"/>
            <w:vAlign w:val="bottom"/>
          </w:tcPr>
          <w:p w14:paraId="424924CF" w14:textId="268C2CD5" w:rsidR="002B464E" w:rsidRPr="002B464E" w:rsidRDefault="002B464E" w:rsidP="00653DBC">
            <w:r w:rsidRPr="002B464E">
              <w:rPr>
                <w:rFonts w:ascii="Aptos Narrow" w:hAnsi="Aptos Narrow"/>
                <w:color w:val="000000"/>
              </w:rPr>
              <w:t>-14870.6981</w:t>
            </w:r>
          </w:p>
        </w:tc>
        <w:tc>
          <w:tcPr>
            <w:tcW w:w="1009" w:type="dxa"/>
            <w:vAlign w:val="bottom"/>
          </w:tcPr>
          <w:p w14:paraId="0B15E57B" w14:textId="2EBD9118" w:rsidR="002B464E" w:rsidRPr="002B464E" w:rsidRDefault="002B464E" w:rsidP="00653DBC">
            <w:r w:rsidRPr="002B464E">
              <w:rPr>
                <w:rFonts w:ascii="Aptos Narrow" w:hAnsi="Aptos Narrow"/>
                <w:color w:val="000000"/>
              </w:rPr>
              <w:t>5.9438</w:t>
            </w:r>
          </w:p>
        </w:tc>
        <w:tc>
          <w:tcPr>
            <w:tcW w:w="1009" w:type="dxa"/>
            <w:vAlign w:val="bottom"/>
          </w:tcPr>
          <w:p w14:paraId="62115B2D" w14:textId="3456605E" w:rsidR="002B464E" w:rsidRPr="002B464E" w:rsidRDefault="002B464E" w:rsidP="00653DBC">
            <w:r w:rsidRPr="002B464E">
              <w:rPr>
                <w:rFonts w:ascii="Aptos Narrow" w:hAnsi="Aptos Narrow"/>
                <w:color w:val="000000"/>
              </w:rPr>
              <w:t>9.0841</w:t>
            </w:r>
          </w:p>
        </w:tc>
        <w:tc>
          <w:tcPr>
            <w:tcW w:w="1130" w:type="dxa"/>
            <w:vAlign w:val="bottom"/>
          </w:tcPr>
          <w:p w14:paraId="4EE3AFBA" w14:textId="6E6682C1" w:rsidR="002B464E" w:rsidRPr="002B464E" w:rsidRDefault="002B464E" w:rsidP="00653DBC">
            <w:r w:rsidRPr="002B464E">
              <w:rPr>
                <w:rFonts w:ascii="Aptos Narrow" w:hAnsi="Aptos Narrow"/>
                <w:color w:val="000000"/>
              </w:rPr>
              <w:t>15.9124</w:t>
            </w:r>
          </w:p>
        </w:tc>
        <w:tc>
          <w:tcPr>
            <w:tcW w:w="1495" w:type="dxa"/>
            <w:vAlign w:val="bottom"/>
          </w:tcPr>
          <w:p w14:paraId="0FD95F5F" w14:textId="0B61D3BB" w:rsidR="002B464E" w:rsidRPr="002B464E" w:rsidRDefault="002B464E" w:rsidP="00653DBC">
            <w:r w:rsidRPr="002B464E">
              <w:rPr>
                <w:rFonts w:ascii="Aptos Narrow" w:hAnsi="Aptos Narrow"/>
                <w:color w:val="000000"/>
              </w:rPr>
              <w:t>179.8998</w:t>
            </w:r>
          </w:p>
        </w:tc>
        <w:tc>
          <w:tcPr>
            <w:tcW w:w="1203" w:type="dxa"/>
            <w:vAlign w:val="bottom"/>
          </w:tcPr>
          <w:p w14:paraId="212C6919" w14:textId="198072FE" w:rsidR="002B464E" w:rsidRPr="002B464E" w:rsidRDefault="002B464E" w:rsidP="00653DBC">
            <w:r w:rsidRPr="002B464E">
              <w:rPr>
                <w:rFonts w:ascii="Aptos Narrow" w:hAnsi="Aptos Narrow"/>
                <w:color w:val="000000"/>
              </w:rPr>
              <w:t>-76.8068</w:t>
            </w:r>
          </w:p>
        </w:tc>
        <w:tc>
          <w:tcPr>
            <w:tcW w:w="1374" w:type="dxa"/>
            <w:vAlign w:val="bottom"/>
          </w:tcPr>
          <w:p w14:paraId="3FC8B6A7" w14:textId="6F339D8A" w:rsidR="002B464E" w:rsidRPr="002B464E" w:rsidRDefault="002B464E" w:rsidP="00653DBC">
            <w:r w:rsidRPr="002B464E">
              <w:rPr>
                <w:rFonts w:ascii="Aptos Narrow" w:hAnsi="Aptos Narrow"/>
                <w:color w:val="000000"/>
              </w:rPr>
              <w:t>7459.0506</w:t>
            </w:r>
          </w:p>
        </w:tc>
      </w:tr>
      <w:tr w:rsidR="002B464E" w14:paraId="4702A5BA" w14:textId="77777777" w:rsidTr="002B464E">
        <w:tc>
          <w:tcPr>
            <w:tcW w:w="1399" w:type="dxa"/>
            <w:vAlign w:val="bottom"/>
          </w:tcPr>
          <w:p w14:paraId="4B624375" w14:textId="7F99DE07" w:rsidR="002B464E" w:rsidRPr="002B464E" w:rsidRDefault="002B464E" w:rsidP="00653DBC">
            <w:r w:rsidRPr="002B464E">
              <w:rPr>
                <w:rFonts w:ascii="Aptos Narrow" w:hAnsi="Aptos Narrow"/>
                <w:b/>
                <w:bCs/>
                <w:color w:val="000000"/>
              </w:rPr>
              <w:t>FCF Gr</w:t>
            </w:r>
          </w:p>
        </w:tc>
        <w:tc>
          <w:tcPr>
            <w:tcW w:w="825" w:type="dxa"/>
            <w:vAlign w:val="bottom"/>
          </w:tcPr>
          <w:p w14:paraId="13C2B6CC" w14:textId="6C5FE222" w:rsidR="002B464E" w:rsidRPr="002B464E" w:rsidRDefault="002B464E" w:rsidP="00653DBC">
            <w:r w:rsidRPr="002B464E">
              <w:rPr>
                <w:rFonts w:ascii="Aptos Narrow" w:hAnsi="Aptos Narrow"/>
                <w:color w:val="000000"/>
              </w:rPr>
              <w:t>39199</w:t>
            </w:r>
          </w:p>
        </w:tc>
        <w:tc>
          <w:tcPr>
            <w:tcW w:w="1130" w:type="dxa"/>
            <w:vAlign w:val="bottom"/>
          </w:tcPr>
          <w:p w14:paraId="2FEB7B0A" w14:textId="1D98783B" w:rsidR="002B464E" w:rsidRPr="002B464E" w:rsidRDefault="002B464E" w:rsidP="00653DBC">
            <w:r w:rsidRPr="002B464E">
              <w:rPr>
                <w:rFonts w:ascii="Aptos Narrow" w:hAnsi="Aptos Narrow"/>
                <w:color w:val="000000"/>
              </w:rPr>
              <w:t>35.3141</w:t>
            </w:r>
          </w:p>
        </w:tc>
        <w:tc>
          <w:tcPr>
            <w:tcW w:w="1252" w:type="dxa"/>
            <w:vAlign w:val="bottom"/>
          </w:tcPr>
          <w:p w14:paraId="77DBFAAF" w14:textId="7D848B82" w:rsidR="002B464E" w:rsidRPr="002B464E" w:rsidRDefault="002B464E" w:rsidP="00653DBC">
            <w:r w:rsidRPr="002B464E">
              <w:rPr>
                <w:rFonts w:ascii="Aptos Narrow" w:hAnsi="Aptos Narrow"/>
                <w:color w:val="000000"/>
              </w:rPr>
              <w:t>2656.3780</w:t>
            </w:r>
          </w:p>
        </w:tc>
        <w:tc>
          <w:tcPr>
            <w:tcW w:w="1495" w:type="dxa"/>
            <w:vAlign w:val="bottom"/>
          </w:tcPr>
          <w:p w14:paraId="4D2CF36D" w14:textId="619A8536" w:rsidR="002B464E" w:rsidRPr="002B464E" w:rsidRDefault="002B464E" w:rsidP="00653DBC">
            <w:r w:rsidRPr="002B464E">
              <w:rPr>
                <w:rFonts w:ascii="Aptos Narrow" w:hAnsi="Aptos Narrow"/>
                <w:color w:val="000000"/>
              </w:rPr>
              <w:t>-349956.3125</w:t>
            </w:r>
          </w:p>
        </w:tc>
        <w:tc>
          <w:tcPr>
            <w:tcW w:w="1009" w:type="dxa"/>
            <w:vAlign w:val="bottom"/>
          </w:tcPr>
          <w:p w14:paraId="50836D25" w14:textId="00DD9ED7" w:rsidR="002B464E" w:rsidRPr="002B464E" w:rsidRDefault="002B464E" w:rsidP="00653DBC">
            <w:r w:rsidRPr="002B464E">
              <w:rPr>
                <w:rFonts w:ascii="Aptos Narrow" w:hAnsi="Aptos Narrow"/>
                <w:color w:val="000000"/>
              </w:rPr>
              <w:t>-11.8360</w:t>
            </w:r>
          </w:p>
        </w:tc>
        <w:tc>
          <w:tcPr>
            <w:tcW w:w="1009" w:type="dxa"/>
            <w:vAlign w:val="bottom"/>
          </w:tcPr>
          <w:p w14:paraId="5CFF0865" w14:textId="54848136" w:rsidR="002B464E" w:rsidRPr="002B464E" w:rsidRDefault="002B464E" w:rsidP="00653DBC">
            <w:r w:rsidRPr="002B464E">
              <w:rPr>
                <w:rFonts w:ascii="Aptos Narrow" w:hAnsi="Aptos Narrow"/>
                <w:color w:val="000000"/>
              </w:rPr>
              <w:t>34.8348</w:t>
            </w:r>
          </w:p>
        </w:tc>
        <w:tc>
          <w:tcPr>
            <w:tcW w:w="1130" w:type="dxa"/>
            <w:vAlign w:val="bottom"/>
          </w:tcPr>
          <w:p w14:paraId="3EF1F05F" w14:textId="7FABA34C" w:rsidR="002B464E" w:rsidRPr="002B464E" w:rsidRDefault="002B464E" w:rsidP="00653DBC">
            <w:r w:rsidRPr="002B464E">
              <w:rPr>
                <w:rFonts w:ascii="Aptos Narrow" w:hAnsi="Aptos Narrow"/>
                <w:color w:val="000000"/>
              </w:rPr>
              <w:t>34.8348</w:t>
            </w:r>
          </w:p>
        </w:tc>
        <w:tc>
          <w:tcPr>
            <w:tcW w:w="1495" w:type="dxa"/>
            <w:vAlign w:val="bottom"/>
          </w:tcPr>
          <w:p w14:paraId="629F32A5" w14:textId="22304231" w:rsidR="002B464E" w:rsidRPr="002B464E" w:rsidRDefault="002B464E" w:rsidP="00653DBC">
            <w:r w:rsidRPr="002B464E">
              <w:rPr>
                <w:rFonts w:ascii="Aptos Narrow" w:hAnsi="Aptos Narrow"/>
                <w:color w:val="000000"/>
              </w:rPr>
              <w:t>137717.8125</w:t>
            </w:r>
          </w:p>
        </w:tc>
        <w:tc>
          <w:tcPr>
            <w:tcW w:w="1203" w:type="dxa"/>
            <w:vAlign w:val="bottom"/>
          </w:tcPr>
          <w:p w14:paraId="1066BE62" w14:textId="268A4DD2" w:rsidR="002B464E" w:rsidRPr="002B464E" w:rsidRDefault="002B464E" w:rsidP="00653DBC">
            <w:r w:rsidRPr="002B464E">
              <w:rPr>
                <w:rFonts w:ascii="Aptos Narrow" w:hAnsi="Aptos Narrow"/>
                <w:color w:val="000000"/>
              </w:rPr>
              <w:t>-56.4565</w:t>
            </w:r>
          </w:p>
        </w:tc>
        <w:tc>
          <w:tcPr>
            <w:tcW w:w="1374" w:type="dxa"/>
            <w:vAlign w:val="bottom"/>
          </w:tcPr>
          <w:p w14:paraId="50A2724B" w14:textId="5E6B06CC" w:rsidR="002B464E" w:rsidRPr="002B464E" w:rsidRDefault="002B464E" w:rsidP="00653DBC">
            <w:r w:rsidRPr="002B464E">
              <w:rPr>
                <w:rFonts w:ascii="Aptos Narrow" w:hAnsi="Aptos Narrow"/>
                <w:color w:val="000000"/>
              </w:rPr>
              <w:t>8336.7584</w:t>
            </w:r>
          </w:p>
        </w:tc>
      </w:tr>
      <w:tr w:rsidR="002B464E" w14:paraId="32C58E02" w14:textId="77777777" w:rsidTr="002B464E">
        <w:tc>
          <w:tcPr>
            <w:tcW w:w="1399" w:type="dxa"/>
            <w:vAlign w:val="bottom"/>
          </w:tcPr>
          <w:p w14:paraId="4B9CB99F" w14:textId="0DC174C2" w:rsidR="002B464E" w:rsidRPr="002B464E" w:rsidRDefault="002B464E" w:rsidP="00653DBC">
            <w:r w:rsidRPr="002B464E">
              <w:rPr>
                <w:rFonts w:ascii="Aptos Narrow" w:hAnsi="Aptos Narrow"/>
                <w:b/>
                <w:bCs/>
                <w:color w:val="000000"/>
              </w:rPr>
              <w:t>EBITDA Gr</w:t>
            </w:r>
          </w:p>
        </w:tc>
        <w:tc>
          <w:tcPr>
            <w:tcW w:w="825" w:type="dxa"/>
            <w:vAlign w:val="bottom"/>
          </w:tcPr>
          <w:p w14:paraId="5689D590" w14:textId="5B6B618C" w:rsidR="002B464E" w:rsidRPr="002B464E" w:rsidRDefault="002B464E" w:rsidP="00653DBC">
            <w:r w:rsidRPr="002B464E">
              <w:rPr>
                <w:rFonts w:ascii="Aptos Narrow" w:hAnsi="Aptos Narrow"/>
                <w:color w:val="000000"/>
              </w:rPr>
              <w:t>39199</w:t>
            </w:r>
          </w:p>
        </w:tc>
        <w:tc>
          <w:tcPr>
            <w:tcW w:w="1130" w:type="dxa"/>
            <w:vAlign w:val="bottom"/>
          </w:tcPr>
          <w:p w14:paraId="00D2D620" w14:textId="6C67E892" w:rsidR="002B464E" w:rsidRPr="002B464E" w:rsidRDefault="002B464E" w:rsidP="00653DBC">
            <w:r w:rsidRPr="002B464E">
              <w:rPr>
                <w:rFonts w:ascii="Aptos Narrow" w:hAnsi="Aptos Narrow"/>
                <w:color w:val="000000"/>
              </w:rPr>
              <w:t>31.0364</w:t>
            </w:r>
          </w:p>
        </w:tc>
        <w:tc>
          <w:tcPr>
            <w:tcW w:w="1252" w:type="dxa"/>
            <w:vAlign w:val="bottom"/>
          </w:tcPr>
          <w:p w14:paraId="336D30D0" w14:textId="0F080CA7" w:rsidR="002B464E" w:rsidRPr="002B464E" w:rsidRDefault="002B464E" w:rsidP="00653DBC">
            <w:r w:rsidRPr="002B464E">
              <w:rPr>
                <w:rFonts w:ascii="Aptos Narrow" w:hAnsi="Aptos Narrow"/>
                <w:color w:val="000000"/>
              </w:rPr>
              <w:t>604.6570</w:t>
            </w:r>
          </w:p>
        </w:tc>
        <w:tc>
          <w:tcPr>
            <w:tcW w:w="1495" w:type="dxa"/>
            <w:vAlign w:val="bottom"/>
          </w:tcPr>
          <w:p w14:paraId="7EF67553" w14:textId="472551DC" w:rsidR="002B464E" w:rsidRPr="002B464E" w:rsidRDefault="002B464E" w:rsidP="00653DBC">
            <w:r w:rsidRPr="002B464E">
              <w:rPr>
                <w:rFonts w:ascii="Aptos Narrow" w:hAnsi="Aptos Narrow"/>
                <w:color w:val="000000"/>
              </w:rPr>
              <w:t>-60612.1622</w:t>
            </w:r>
          </w:p>
        </w:tc>
        <w:tc>
          <w:tcPr>
            <w:tcW w:w="1009" w:type="dxa"/>
            <w:vAlign w:val="bottom"/>
          </w:tcPr>
          <w:p w14:paraId="4FFFEDB8" w14:textId="1E538302" w:rsidR="002B464E" w:rsidRPr="002B464E" w:rsidRDefault="002B464E" w:rsidP="00653DBC">
            <w:r w:rsidRPr="002B464E">
              <w:rPr>
                <w:rFonts w:ascii="Aptos Narrow" w:hAnsi="Aptos Narrow"/>
                <w:color w:val="000000"/>
              </w:rPr>
              <w:t>-0.0036</w:t>
            </w:r>
          </w:p>
        </w:tc>
        <w:tc>
          <w:tcPr>
            <w:tcW w:w="1009" w:type="dxa"/>
            <w:vAlign w:val="bottom"/>
          </w:tcPr>
          <w:p w14:paraId="284F981E" w14:textId="131BE049" w:rsidR="002B464E" w:rsidRPr="002B464E" w:rsidRDefault="002B464E" w:rsidP="00653DBC">
            <w:r w:rsidRPr="002B464E">
              <w:rPr>
                <w:rFonts w:ascii="Aptos Narrow" w:hAnsi="Aptos Narrow"/>
                <w:color w:val="000000"/>
              </w:rPr>
              <w:t>13.7099</w:t>
            </w:r>
          </w:p>
        </w:tc>
        <w:tc>
          <w:tcPr>
            <w:tcW w:w="1130" w:type="dxa"/>
            <w:vAlign w:val="bottom"/>
          </w:tcPr>
          <w:p w14:paraId="108B7C6F" w14:textId="2DFE341D" w:rsidR="002B464E" w:rsidRPr="002B464E" w:rsidRDefault="002B464E" w:rsidP="00653DBC">
            <w:r w:rsidRPr="002B464E">
              <w:rPr>
                <w:rFonts w:ascii="Aptos Narrow" w:hAnsi="Aptos Narrow"/>
                <w:color w:val="000000"/>
              </w:rPr>
              <w:t>31.3041</w:t>
            </w:r>
          </w:p>
        </w:tc>
        <w:tc>
          <w:tcPr>
            <w:tcW w:w="1495" w:type="dxa"/>
            <w:vAlign w:val="bottom"/>
          </w:tcPr>
          <w:p w14:paraId="52317761" w14:textId="13622B4F" w:rsidR="002B464E" w:rsidRPr="002B464E" w:rsidRDefault="002B464E" w:rsidP="00653DBC">
            <w:r w:rsidRPr="002B464E">
              <w:rPr>
                <w:rFonts w:ascii="Aptos Narrow" w:hAnsi="Aptos Narrow"/>
                <w:color w:val="000000"/>
              </w:rPr>
              <w:t>38525.8352</w:t>
            </w:r>
          </w:p>
        </w:tc>
        <w:tc>
          <w:tcPr>
            <w:tcW w:w="1203" w:type="dxa"/>
            <w:vAlign w:val="bottom"/>
          </w:tcPr>
          <w:p w14:paraId="4EBDA1E6" w14:textId="5E2436D4" w:rsidR="002B464E" w:rsidRPr="002B464E" w:rsidRDefault="002B464E" w:rsidP="00653DBC">
            <w:r w:rsidRPr="002B464E">
              <w:rPr>
                <w:rFonts w:ascii="Aptos Narrow" w:hAnsi="Aptos Narrow"/>
                <w:color w:val="000000"/>
              </w:rPr>
              <w:t>-9.2304</w:t>
            </w:r>
          </w:p>
        </w:tc>
        <w:tc>
          <w:tcPr>
            <w:tcW w:w="1374" w:type="dxa"/>
            <w:vAlign w:val="bottom"/>
          </w:tcPr>
          <w:p w14:paraId="5BF8D057" w14:textId="0CF7CEA5" w:rsidR="002B464E" w:rsidRPr="002B464E" w:rsidRDefault="002B464E" w:rsidP="00653DBC">
            <w:r w:rsidRPr="002B464E">
              <w:rPr>
                <w:rFonts w:ascii="Aptos Narrow" w:hAnsi="Aptos Narrow"/>
                <w:color w:val="000000"/>
              </w:rPr>
              <w:t>4227.8228</w:t>
            </w:r>
          </w:p>
        </w:tc>
      </w:tr>
    </w:tbl>
    <w:p w14:paraId="5C9173E3" w14:textId="77777777" w:rsidR="00653DBC" w:rsidRDefault="00653DBC"/>
    <w:p w14:paraId="77520BC7" w14:textId="32E7751A" w:rsidR="002B464E" w:rsidRDefault="002B464E" w:rsidP="00C74E13">
      <w:pPr>
        <w:spacing w:line="480" w:lineRule="auto"/>
        <w:sectPr w:rsidR="002B464E" w:rsidSect="00653DBC">
          <w:pgSz w:w="15840" w:h="12240" w:orient="landscape"/>
          <w:pgMar w:top="1440" w:right="1440" w:bottom="1440" w:left="1440" w:header="720" w:footer="720" w:gutter="0"/>
          <w:cols w:space="720"/>
          <w:docGrid w:linePitch="360"/>
        </w:sectPr>
      </w:pPr>
      <w:r w:rsidRPr="00630C9D">
        <w:t xml:space="preserve">The table provides descriptive statistics for all numeric variables, including measures of central tendency (mean, median), spread (standard deviation, min, max), and distribution shape (skewness, kurtosis). </w:t>
      </w:r>
      <w:r w:rsidRPr="00F87D12">
        <w:t xml:space="preserve">Variables </w:t>
      </w:r>
      <w:proofErr w:type="gramStart"/>
      <w:r w:rsidRPr="00F87D12">
        <w:t>like</w:t>
      </w:r>
      <w:r>
        <w:t xml:space="preserve"> </w:t>
      </w:r>
      <w:r w:rsidRPr="00F87D12">
        <w:t> P</w:t>
      </w:r>
      <w:proofErr w:type="gramEnd"/>
      <w:r w:rsidRPr="00F87D12">
        <w:t>/E, P/CF, and Debt/Equity are highly right-skewed with extreme outliers, as indicated by their high skewness and kurtosis values. In contrast, variables like GDP CYOY Index and CPI YOY Index exhibit relatively normal distributions with low skewness and kurtosis.</w:t>
      </w:r>
    </w:p>
    <w:p w14:paraId="5BCDADD8" w14:textId="1C282292" w:rsidR="00322741" w:rsidRDefault="00322741" w:rsidP="00322741">
      <w:pPr>
        <w:pStyle w:val="Heading1"/>
        <w:rPr>
          <w:color w:val="auto"/>
        </w:rPr>
      </w:pPr>
      <w:r>
        <w:rPr>
          <w:color w:val="auto"/>
        </w:rPr>
        <w:lastRenderedPageBreak/>
        <w:t>Discussion</w:t>
      </w:r>
    </w:p>
    <w:p w14:paraId="4B883BFB" w14:textId="186041A7" w:rsidR="002847C9" w:rsidRPr="002847C9" w:rsidRDefault="002847C9" w:rsidP="007D5233">
      <w:pPr>
        <w:spacing w:line="480" w:lineRule="auto"/>
      </w:pPr>
      <w:r>
        <w:t xml:space="preserve">Exploring </w:t>
      </w:r>
      <w:r w:rsidRPr="002847C9">
        <w:t xml:space="preserve">sector-specific trends </w:t>
      </w:r>
      <w:r>
        <w:t xml:space="preserve">were </w:t>
      </w:r>
      <w:r w:rsidRPr="002847C9">
        <w:t xml:space="preserve">revealed through our visualizations and summary statistics. </w:t>
      </w:r>
      <w:r>
        <w:t xml:space="preserve">Examining the correlation matrix and presented </w:t>
      </w:r>
      <w:r w:rsidRPr="002847C9">
        <w:t>metrics</w:t>
      </w:r>
      <w:r>
        <w:t xml:space="preserve"> provided</w:t>
      </w:r>
      <w:r w:rsidRPr="002847C9">
        <w:t xml:space="preserve"> </w:t>
      </w:r>
      <w:r>
        <w:t xml:space="preserve">initial </w:t>
      </w:r>
      <w:r w:rsidRPr="002847C9">
        <w:t>insights into investor behavior during key market events and uncover patterns that may inform future investment preferences.</w:t>
      </w:r>
    </w:p>
    <w:p w14:paraId="61A4C1FC" w14:textId="6DEAF4DC" w:rsidR="002D4609" w:rsidRDefault="004446E7" w:rsidP="007D5233">
      <w:pPr>
        <w:spacing w:line="480" w:lineRule="auto"/>
      </w:pPr>
      <w:r>
        <w:fldChar w:fldCharType="begin"/>
      </w:r>
      <w:r>
        <w:instrText xml:space="preserve"> REF _Ref194870111 \h </w:instrText>
      </w:r>
      <w:r w:rsidR="007D5233">
        <w:instrText xml:space="preserve"> \* MERGEFORMAT </w:instrText>
      </w:r>
      <w:r>
        <w:fldChar w:fldCharType="separate"/>
      </w:r>
      <w:r w:rsidRPr="004035D2">
        <w:t xml:space="preserve">Figure </w:t>
      </w:r>
      <w:r w:rsidRPr="004035D2">
        <w:rPr>
          <w:noProof/>
        </w:rPr>
        <w:t>4</w:t>
      </w:r>
      <w:r w:rsidRPr="004035D2">
        <w:t>: Average P/E Ratio over years</w:t>
      </w:r>
      <w:r>
        <w:fldChar w:fldCharType="end"/>
      </w:r>
      <w:r w:rsidR="002D4609">
        <w:t xml:space="preserve"> exhibits a technology Sector Spike in P/E Ratios (2020)</w:t>
      </w:r>
      <w:r w:rsidR="00F07581">
        <w:t xml:space="preserve">. </w:t>
      </w:r>
      <w:r w:rsidR="002D4609">
        <w:t>During the pandemic, the technology sector experienced a surge in demand due to remote work, e-commerce, and digital transformation. Implication for Predictions: Investors may continue to favor technology stocks during periods of innovation or economic uncertainty, especially if similar conditions (e.g., increased reliance on technology) arise in the future.</w:t>
      </w:r>
    </w:p>
    <w:p w14:paraId="3F975618" w14:textId="1ABCC59F" w:rsidR="00F07581" w:rsidRDefault="00F07581" w:rsidP="007D5233">
      <w:pPr>
        <w:spacing w:line="480" w:lineRule="auto"/>
      </w:pPr>
      <w:r w:rsidRPr="00F07581">
        <w:t>The Software &amp; IT Services sector is the most popular</w:t>
      </w:r>
      <w:r>
        <w:t xml:space="preserve"> in </w:t>
      </w:r>
      <w:r>
        <w:fldChar w:fldCharType="begin"/>
      </w:r>
      <w:r>
        <w:instrText xml:space="preserve"> REF _Ref194870187 \h </w:instrText>
      </w:r>
      <w:r w:rsidR="007D5233">
        <w:instrText xml:space="preserve"> \* MERGEFORMAT </w:instrText>
      </w:r>
      <w:r>
        <w:fldChar w:fldCharType="separate"/>
      </w:r>
      <w:r w:rsidRPr="004035D2">
        <w:t xml:space="preserve">Figure </w:t>
      </w:r>
      <w:r w:rsidRPr="004035D2">
        <w:rPr>
          <w:noProof/>
        </w:rPr>
        <w:t>5</w:t>
      </w:r>
      <w:r w:rsidRPr="004035D2">
        <w:t>: Distribution of top sectors</w:t>
      </w:r>
      <w:r>
        <w:fldChar w:fldCharType="end"/>
      </w:r>
      <w:r w:rsidRPr="00F07581">
        <w:t>, reflecting strong investor preference for technology stocks, especially in growth-driven markets. Additionally, the dominance of the "Other" category suggests diverse investor interest in smaller or less-defined sectors, warranting further analysis to uncover specific trends or niche opportunities.</w:t>
      </w:r>
      <w:r>
        <w:t xml:space="preserve"> This aligns with </w:t>
      </w:r>
      <w:r>
        <w:fldChar w:fldCharType="begin"/>
      </w:r>
      <w:r>
        <w:instrText xml:space="preserve"> REF _Ref194870237 \h </w:instrText>
      </w:r>
      <w:r w:rsidR="007D5233">
        <w:instrText xml:space="preserve"> \* MERGEFORMAT </w:instrText>
      </w:r>
      <w:r>
        <w:fldChar w:fldCharType="separate"/>
      </w:r>
      <w:r w:rsidRPr="00F91FE9">
        <w:t xml:space="preserve">Table </w:t>
      </w:r>
      <w:r>
        <w:rPr>
          <w:noProof/>
        </w:rPr>
        <w:t>1</w:t>
      </w:r>
      <w:r w:rsidRPr="00F91FE9">
        <w:t xml:space="preserve">: Summary Statistics for </w:t>
      </w:r>
      <w:r>
        <w:t>Categorical</w:t>
      </w:r>
      <w:r w:rsidRPr="00F91FE9">
        <w:t xml:space="preserve"> Variables</w:t>
      </w:r>
      <w:r>
        <w:fldChar w:fldCharType="end"/>
      </w:r>
      <w:r>
        <w:t xml:space="preserve">, reflecting the market’s preference for technology stocks. </w:t>
      </w:r>
      <w:r w:rsidRPr="00F07581">
        <w:t>Additionally, the dominance of the "Other" category suggests diverse interest in less-defined sectors or limitations in the thoroughness of our data.</w:t>
      </w:r>
    </w:p>
    <w:p w14:paraId="411766AC" w14:textId="1B04B134" w:rsidR="008A422E" w:rsidRPr="008A422E" w:rsidRDefault="008A422E" w:rsidP="008A422E">
      <w:pPr>
        <w:pStyle w:val="Heading2"/>
        <w:rPr>
          <w:color w:val="auto"/>
        </w:rPr>
      </w:pPr>
      <w:r>
        <w:rPr>
          <w:color w:val="auto"/>
        </w:rPr>
        <w:lastRenderedPageBreak/>
        <w:t>Next Steps</w:t>
      </w:r>
    </w:p>
    <w:p w14:paraId="6B569C9C" w14:textId="118D827A" w:rsidR="008A422E" w:rsidRPr="008A422E" w:rsidRDefault="008A422E" w:rsidP="007D5233">
      <w:pPr>
        <w:spacing w:line="480" w:lineRule="auto"/>
      </w:pPr>
      <w:r w:rsidRPr="008A422E">
        <w:t>Th</w:t>
      </w:r>
      <w:r>
        <w:t>is</w:t>
      </w:r>
      <w:r w:rsidRPr="008A422E">
        <w:t xml:space="preserve"> workflow begins with finalizing the dataset and addressing any missing data through imputation as needed. Numerical variables will be normalized</w:t>
      </w:r>
      <w:r>
        <w:t xml:space="preserve"> to ensure consistent scaling for modeling. Outliers will be handled to reduce their impact on the model (e.g., using </w:t>
      </w:r>
      <w:proofErr w:type="spellStart"/>
      <w:r>
        <w:t>winsorization</w:t>
      </w:r>
      <w:proofErr w:type="spellEnd"/>
      <w:r>
        <w:t xml:space="preserve"> or capping). Encoding categorical variables (e.g., Sector, Quarter) using one-hot encoding or label encoding. </w:t>
      </w:r>
      <w:r w:rsidRPr="008A422E">
        <w:t>The data will then be split into training and testing sets using an 80/20 ratio.</w:t>
      </w:r>
    </w:p>
    <w:p w14:paraId="70E91969" w14:textId="77777777" w:rsidR="00973774" w:rsidRDefault="008A422E" w:rsidP="007D5233">
      <w:pPr>
        <w:spacing w:line="480" w:lineRule="auto"/>
      </w:pPr>
      <w:r w:rsidRPr="008A422E">
        <w:t xml:space="preserve">For modeling, we will start with a logistic regression model as our baseline due to its interpretability and effectiveness as a benchmark. Next, we will implement a random forest classifier, which is well-suited for capturing non-linear relationships and offers feature importance measures. Finally, we will explore gradient boosted trees using either </w:t>
      </w:r>
      <w:proofErr w:type="spellStart"/>
      <w:r w:rsidRPr="008A422E">
        <w:t>XGBoost</w:t>
      </w:r>
      <w:proofErr w:type="spellEnd"/>
      <w:r w:rsidRPr="008A422E">
        <w:t xml:space="preserve"> or </w:t>
      </w:r>
      <w:proofErr w:type="spellStart"/>
      <w:r w:rsidRPr="008A422E">
        <w:t>LightGBM</w:t>
      </w:r>
      <w:proofErr w:type="spellEnd"/>
      <w:r w:rsidRPr="008A422E">
        <w:t xml:space="preserve"> to optimize performance. Model evaluation will include confusion matrices, ROC-AUC curves, and SHAP values to ensure both performance and interpretability are addressed throughout the process.</w:t>
      </w:r>
    </w:p>
    <w:p w14:paraId="466D5FF5" w14:textId="45CE94B9" w:rsidR="005C6B30" w:rsidRDefault="00973774" w:rsidP="007D5233">
      <w:pPr>
        <w:spacing w:line="480" w:lineRule="auto"/>
      </w:pPr>
      <w:r w:rsidRPr="00973774">
        <w:t>Team Lambda has decided to stay on course with our current analysis plan</w:t>
      </w:r>
      <w:r>
        <w:t>.</w:t>
      </w:r>
      <w:r w:rsidR="006C01DD">
        <w:t xml:space="preserve"> We are</w:t>
      </w:r>
      <w:r w:rsidRPr="00973774">
        <w:t xml:space="preserve"> confident that the outlined steps and modeling approach provide a solid foundation for addressing our research question.</w:t>
      </w:r>
      <w:r w:rsidR="005C6B30">
        <w:br w:type="page"/>
      </w:r>
    </w:p>
    <w:p w14:paraId="5BDE0B49" w14:textId="52A4D854" w:rsidR="00A26E29" w:rsidRDefault="00A26E29" w:rsidP="00A26E29">
      <w:pPr>
        <w:pStyle w:val="Heading1"/>
        <w:rPr>
          <w:color w:val="auto"/>
        </w:rPr>
      </w:pPr>
      <w:r>
        <w:rPr>
          <w:color w:val="auto"/>
        </w:rPr>
        <w:lastRenderedPageBreak/>
        <w:t>Appendix</w:t>
      </w:r>
    </w:p>
    <w:p w14:paraId="1B6B07B7" w14:textId="6D0D27AB" w:rsidR="00A26E29" w:rsidRDefault="00A26E29" w:rsidP="00A26E29">
      <w:r>
        <w:t>References:</w:t>
      </w:r>
    </w:p>
    <w:p w14:paraId="69E43868" w14:textId="30E11C3C" w:rsidR="00A26E29" w:rsidRPr="00A26E29" w:rsidRDefault="00A26E29" w:rsidP="00A26E29">
      <w:r w:rsidRPr="00A26E29">
        <w:t xml:space="preserve">Buffett, W., &amp; Cunningham, L. A. (2020). </w:t>
      </w:r>
      <w:r w:rsidRPr="00A26E29">
        <w:rPr>
          <w:i/>
          <w:iCs/>
        </w:rPr>
        <w:t>The Essays of Warren Buffett: Lessons for Corporate America</w:t>
      </w:r>
      <w:r w:rsidRPr="00A26E29">
        <w:t>. The Cunningham Group.</w:t>
      </w:r>
    </w:p>
    <w:p w14:paraId="7354D554" w14:textId="744E0D3C" w:rsidR="00A26E29" w:rsidRPr="00A26E29" w:rsidRDefault="00A26E29" w:rsidP="00A26E29">
      <w:r w:rsidRPr="00A26E29">
        <w:t xml:space="preserve">Fischer, T., &amp; Krauss, C. (2018). Deep learning with long short-term memory networks for financial market predictions. </w:t>
      </w:r>
      <w:r w:rsidRPr="00A26E29">
        <w:rPr>
          <w:i/>
          <w:iCs/>
        </w:rPr>
        <w:t>European Journal of Operational Research, 270(2)</w:t>
      </w:r>
      <w:r w:rsidRPr="00A26E29">
        <w:t>, 654-669.</w:t>
      </w:r>
    </w:p>
    <w:p w14:paraId="1888F8C5" w14:textId="6F71F456" w:rsidR="00A26E29" w:rsidRDefault="00A26E29" w:rsidP="00A26E29">
      <w:r w:rsidRPr="00A26E29">
        <w:t xml:space="preserve">Hagstrom, R. G. (2013). </w:t>
      </w:r>
      <w:r w:rsidRPr="00A26E29">
        <w:rPr>
          <w:i/>
          <w:iCs/>
        </w:rPr>
        <w:t>The Warren Buffett Way</w:t>
      </w:r>
      <w:r w:rsidRPr="00A26E29">
        <w:t>. Wiley.</w:t>
      </w:r>
    </w:p>
    <w:p w14:paraId="0F7AAB8B" w14:textId="77777777" w:rsidR="00AF1E0E" w:rsidRDefault="00AF1E0E" w:rsidP="00A26E29"/>
    <w:p w14:paraId="1E10EC4B" w14:textId="339BD269" w:rsidR="00B327B3" w:rsidRPr="008942C9" w:rsidRDefault="00B327B3" w:rsidP="008942C9">
      <w:pPr>
        <w:pStyle w:val="Heading2"/>
        <w:rPr>
          <w:color w:val="auto"/>
        </w:rPr>
      </w:pPr>
      <w:r w:rsidRPr="008942C9">
        <w:rPr>
          <w:color w:val="auto"/>
        </w:rPr>
        <w:t>Data Dictionary</w:t>
      </w:r>
    </w:p>
    <w:tbl>
      <w:tblPr>
        <w:tblStyle w:val="TableGrid"/>
        <w:tblW w:w="0" w:type="auto"/>
        <w:tblLook w:val="04A0" w:firstRow="1" w:lastRow="0" w:firstColumn="1" w:lastColumn="0" w:noHBand="0" w:noVBand="1"/>
      </w:tblPr>
      <w:tblGrid>
        <w:gridCol w:w="1672"/>
        <w:gridCol w:w="7678"/>
      </w:tblGrid>
      <w:tr w:rsidR="00AF1E0E" w:rsidRPr="00AF1E0E" w14:paraId="4852EFC3" w14:textId="77777777" w:rsidTr="00AF1E0E">
        <w:trPr>
          <w:trHeight w:val="290"/>
        </w:trPr>
        <w:tc>
          <w:tcPr>
            <w:tcW w:w="1980" w:type="dxa"/>
            <w:noWrap/>
            <w:hideMark/>
          </w:tcPr>
          <w:p w14:paraId="4DAC1FEA" w14:textId="77777777" w:rsidR="00AF1E0E" w:rsidRPr="00AF1E0E" w:rsidRDefault="00AF1E0E">
            <w:r w:rsidRPr="00AF1E0E">
              <w:t>Column Name</w:t>
            </w:r>
          </w:p>
        </w:tc>
        <w:tc>
          <w:tcPr>
            <w:tcW w:w="9257" w:type="dxa"/>
            <w:noWrap/>
            <w:hideMark/>
          </w:tcPr>
          <w:p w14:paraId="5F512DB2" w14:textId="77777777" w:rsidR="00AF1E0E" w:rsidRPr="00AF1E0E" w:rsidRDefault="00AF1E0E">
            <w:r w:rsidRPr="00AF1E0E">
              <w:t>Description</w:t>
            </w:r>
          </w:p>
        </w:tc>
      </w:tr>
      <w:tr w:rsidR="00AF1E0E" w:rsidRPr="00AF1E0E" w14:paraId="0D6B5D20" w14:textId="77777777" w:rsidTr="00AF1E0E">
        <w:trPr>
          <w:trHeight w:val="290"/>
        </w:trPr>
        <w:tc>
          <w:tcPr>
            <w:tcW w:w="1980" w:type="dxa"/>
            <w:noWrap/>
            <w:hideMark/>
          </w:tcPr>
          <w:p w14:paraId="30C4ED79" w14:textId="77777777" w:rsidR="00AF1E0E" w:rsidRPr="00AF1E0E" w:rsidRDefault="00AF1E0E">
            <w:r w:rsidRPr="00AF1E0E">
              <w:t>Market Value (%)</w:t>
            </w:r>
          </w:p>
        </w:tc>
        <w:tc>
          <w:tcPr>
            <w:tcW w:w="9257" w:type="dxa"/>
            <w:noWrap/>
            <w:hideMark/>
          </w:tcPr>
          <w:p w14:paraId="0DD70870" w14:textId="77777777" w:rsidR="00AF1E0E" w:rsidRPr="00AF1E0E" w:rsidRDefault="00AF1E0E">
            <w:r w:rsidRPr="00AF1E0E">
              <w:t>The stock's weight in the portfolio, indicating its relative importance.</w:t>
            </w:r>
          </w:p>
        </w:tc>
      </w:tr>
      <w:tr w:rsidR="00AF1E0E" w:rsidRPr="00AF1E0E" w14:paraId="501F8D6F" w14:textId="77777777" w:rsidTr="00AF1E0E">
        <w:trPr>
          <w:trHeight w:val="290"/>
        </w:trPr>
        <w:tc>
          <w:tcPr>
            <w:tcW w:w="1980" w:type="dxa"/>
            <w:noWrap/>
            <w:hideMark/>
          </w:tcPr>
          <w:p w14:paraId="6AE03D16" w14:textId="77777777" w:rsidR="00AF1E0E" w:rsidRPr="00AF1E0E" w:rsidRDefault="00AF1E0E">
            <w:r w:rsidRPr="00AF1E0E">
              <w:t>P/E</w:t>
            </w:r>
          </w:p>
        </w:tc>
        <w:tc>
          <w:tcPr>
            <w:tcW w:w="9257" w:type="dxa"/>
            <w:noWrap/>
            <w:hideMark/>
          </w:tcPr>
          <w:p w14:paraId="37945221" w14:textId="77777777" w:rsidR="00AF1E0E" w:rsidRPr="00AF1E0E" w:rsidRDefault="00AF1E0E">
            <w:r w:rsidRPr="00AF1E0E">
              <w:t>Price-to-Earnings ratio, a valuation metric showing how much investors pay per unit of earnings.</w:t>
            </w:r>
          </w:p>
        </w:tc>
      </w:tr>
      <w:tr w:rsidR="00AF1E0E" w:rsidRPr="00AF1E0E" w14:paraId="1031B209" w14:textId="77777777" w:rsidTr="00AF1E0E">
        <w:trPr>
          <w:trHeight w:val="290"/>
        </w:trPr>
        <w:tc>
          <w:tcPr>
            <w:tcW w:w="1980" w:type="dxa"/>
            <w:noWrap/>
            <w:hideMark/>
          </w:tcPr>
          <w:p w14:paraId="6581C62C" w14:textId="77777777" w:rsidR="00AF1E0E" w:rsidRPr="00AF1E0E" w:rsidRDefault="00AF1E0E">
            <w:r w:rsidRPr="00AF1E0E">
              <w:t>P/CF</w:t>
            </w:r>
          </w:p>
        </w:tc>
        <w:tc>
          <w:tcPr>
            <w:tcW w:w="9257" w:type="dxa"/>
            <w:noWrap/>
            <w:hideMark/>
          </w:tcPr>
          <w:p w14:paraId="3E9C6093" w14:textId="77777777" w:rsidR="00AF1E0E" w:rsidRPr="00AF1E0E" w:rsidRDefault="00AF1E0E">
            <w:r w:rsidRPr="00AF1E0E">
              <w:t>Price-to-Cash Flow ratio, a valuation metric showing the stock price relative to cash flow.</w:t>
            </w:r>
          </w:p>
        </w:tc>
      </w:tr>
      <w:tr w:rsidR="00AF1E0E" w:rsidRPr="00AF1E0E" w14:paraId="16B4D8A7" w14:textId="77777777" w:rsidTr="00AF1E0E">
        <w:trPr>
          <w:trHeight w:val="290"/>
        </w:trPr>
        <w:tc>
          <w:tcPr>
            <w:tcW w:w="1980" w:type="dxa"/>
            <w:noWrap/>
            <w:hideMark/>
          </w:tcPr>
          <w:p w14:paraId="5D87B372" w14:textId="77777777" w:rsidR="00AF1E0E" w:rsidRPr="00AF1E0E" w:rsidRDefault="00AF1E0E">
            <w:r w:rsidRPr="00AF1E0E">
              <w:t>P/B</w:t>
            </w:r>
          </w:p>
        </w:tc>
        <w:tc>
          <w:tcPr>
            <w:tcW w:w="9257" w:type="dxa"/>
            <w:noWrap/>
            <w:hideMark/>
          </w:tcPr>
          <w:p w14:paraId="39FC14C0" w14:textId="77777777" w:rsidR="00AF1E0E" w:rsidRPr="00AF1E0E" w:rsidRDefault="00AF1E0E">
            <w:r w:rsidRPr="00AF1E0E">
              <w:t>Price-to-Book ratio, a valuation metric comparing the stock price to book value.</w:t>
            </w:r>
          </w:p>
        </w:tc>
      </w:tr>
      <w:tr w:rsidR="00AF1E0E" w:rsidRPr="00AF1E0E" w14:paraId="6172E7F2" w14:textId="77777777" w:rsidTr="00AF1E0E">
        <w:trPr>
          <w:trHeight w:val="290"/>
        </w:trPr>
        <w:tc>
          <w:tcPr>
            <w:tcW w:w="1980" w:type="dxa"/>
            <w:noWrap/>
            <w:hideMark/>
          </w:tcPr>
          <w:p w14:paraId="32E83C69" w14:textId="77777777" w:rsidR="00AF1E0E" w:rsidRPr="00AF1E0E" w:rsidRDefault="00AF1E0E">
            <w:r w:rsidRPr="00AF1E0E">
              <w:t>Debt/Equity</w:t>
            </w:r>
          </w:p>
        </w:tc>
        <w:tc>
          <w:tcPr>
            <w:tcW w:w="9257" w:type="dxa"/>
            <w:noWrap/>
            <w:hideMark/>
          </w:tcPr>
          <w:p w14:paraId="12625566" w14:textId="77777777" w:rsidR="00AF1E0E" w:rsidRPr="00AF1E0E" w:rsidRDefault="00AF1E0E">
            <w:r w:rsidRPr="00AF1E0E">
              <w:t>Financial leverage ratio, showing the proportion of debt relative to equity.</w:t>
            </w:r>
          </w:p>
        </w:tc>
      </w:tr>
      <w:tr w:rsidR="00AF1E0E" w:rsidRPr="00AF1E0E" w14:paraId="3C055B71" w14:textId="77777777" w:rsidTr="00AF1E0E">
        <w:trPr>
          <w:trHeight w:val="290"/>
        </w:trPr>
        <w:tc>
          <w:tcPr>
            <w:tcW w:w="1980" w:type="dxa"/>
            <w:noWrap/>
            <w:hideMark/>
          </w:tcPr>
          <w:p w14:paraId="10390A1B" w14:textId="77777777" w:rsidR="00AF1E0E" w:rsidRPr="00AF1E0E" w:rsidRDefault="00AF1E0E">
            <w:r w:rsidRPr="00AF1E0E">
              <w:t>ROE</w:t>
            </w:r>
          </w:p>
        </w:tc>
        <w:tc>
          <w:tcPr>
            <w:tcW w:w="9257" w:type="dxa"/>
            <w:noWrap/>
            <w:hideMark/>
          </w:tcPr>
          <w:p w14:paraId="77456374" w14:textId="77777777" w:rsidR="00AF1E0E" w:rsidRPr="00AF1E0E" w:rsidRDefault="00AF1E0E">
            <w:r w:rsidRPr="00AF1E0E">
              <w:t>Return on Equity, a profitability metric indicating how efficiently equity generates returns.</w:t>
            </w:r>
          </w:p>
        </w:tc>
      </w:tr>
      <w:tr w:rsidR="00AF1E0E" w:rsidRPr="00AF1E0E" w14:paraId="3E3BE9E3" w14:textId="77777777" w:rsidTr="00AF1E0E">
        <w:trPr>
          <w:trHeight w:val="290"/>
        </w:trPr>
        <w:tc>
          <w:tcPr>
            <w:tcW w:w="1980" w:type="dxa"/>
            <w:noWrap/>
            <w:hideMark/>
          </w:tcPr>
          <w:p w14:paraId="3491D318" w14:textId="77777777" w:rsidR="00AF1E0E" w:rsidRPr="00AF1E0E" w:rsidRDefault="00AF1E0E">
            <w:r w:rsidRPr="00AF1E0E">
              <w:t>ROA</w:t>
            </w:r>
          </w:p>
        </w:tc>
        <w:tc>
          <w:tcPr>
            <w:tcW w:w="9257" w:type="dxa"/>
            <w:noWrap/>
            <w:hideMark/>
          </w:tcPr>
          <w:p w14:paraId="595C1FC7" w14:textId="77777777" w:rsidR="00AF1E0E" w:rsidRPr="00AF1E0E" w:rsidRDefault="00AF1E0E">
            <w:r w:rsidRPr="00AF1E0E">
              <w:t>Return on Assets, a profitability metric showing how efficiently assets generate returns.</w:t>
            </w:r>
          </w:p>
        </w:tc>
      </w:tr>
      <w:tr w:rsidR="00AF1E0E" w:rsidRPr="00AF1E0E" w14:paraId="2A538912" w14:textId="77777777" w:rsidTr="00AF1E0E">
        <w:trPr>
          <w:trHeight w:val="290"/>
        </w:trPr>
        <w:tc>
          <w:tcPr>
            <w:tcW w:w="1980" w:type="dxa"/>
            <w:noWrap/>
            <w:hideMark/>
          </w:tcPr>
          <w:p w14:paraId="1B888614" w14:textId="77777777" w:rsidR="00AF1E0E" w:rsidRPr="00AF1E0E" w:rsidRDefault="00AF1E0E">
            <w:r w:rsidRPr="00AF1E0E">
              <w:t>Profit Margin</w:t>
            </w:r>
          </w:p>
        </w:tc>
        <w:tc>
          <w:tcPr>
            <w:tcW w:w="9257" w:type="dxa"/>
            <w:noWrap/>
            <w:hideMark/>
          </w:tcPr>
          <w:p w14:paraId="5F8C7439" w14:textId="77777777" w:rsidR="00AF1E0E" w:rsidRPr="00AF1E0E" w:rsidRDefault="00AF1E0E">
            <w:r w:rsidRPr="00AF1E0E">
              <w:t>The percentage of revenue that turns into profit after expenses.</w:t>
            </w:r>
          </w:p>
        </w:tc>
      </w:tr>
      <w:tr w:rsidR="00AF1E0E" w:rsidRPr="00AF1E0E" w14:paraId="1EF677C2" w14:textId="77777777" w:rsidTr="00AF1E0E">
        <w:trPr>
          <w:trHeight w:val="290"/>
        </w:trPr>
        <w:tc>
          <w:tcPr>
            <w:tcW w:w="1980" w:type="dxa"/>
            <w:noWrap/>
            <w:hideMark/>
          </w:tcPr>
          <w:p w14:paraId="61BE53A0" w14:textId="77777777" w:rsidR="00AF1E0E" w:rsidRPr="00AF1E0E" w:rsidRDefault="00AF1E0E">
            <w:r w:rsidRPr="00AF1E0E">
              <w:t>FCF Gr</w:t>
            </w:r>
          </w:p>
        </w:tc>
        <w:tc>
          <w:tcPr>
            <w:tcW w:w="9257" w:type="dxa"/>
            <w:noWrap/>
            <w:hideMark/>
          </w:tcPr>
          <w:p w14:paraId="5D9B0407" w14:textId="77777777" w:rsidR="00AF1E0E" w:rsidRPr="00AF1E0E" w:rsidRDefault="00AF1E0E">
            <w:r w:rsidRPr="00AF1E0E">
              <w:t>Free Cash Flow Growth, indicating the growth rate of free cash flow over time.</w:t>
            </w:r>
          </w:p>
        </w:tc>
      </w:tr>
      <w:tr w:rsidR="00AF1E0E" w:rsidRPr="00AF1E0E" w14:paraId="0B3A5F14" w14:textId="77777777" w:rsidTr="00AF1E0E">
        <w:trPr>
          <w:trHeight w:val="290"/>
        </w:trPr>
        <w:tc>
          <w:tcPr>
            <w:tcW w:w="1980" w:type="dxa"/>
            <w:noWrap/>
            <w:hideMark/>
          </w:tcPr>
          <w:p w14:paraId="705D0093" w14:textId="77777777" w:rsidR="00AF1E0E" w:rsidRPr="00AF1E0E" w:rsidRDefault="00AF1E0E">
            <w:r w:rsidRPr="00AF1E0E">
              <w:t>EBITDA Gr</w:t>
            </w:r>
          </w:p>
        </w:tc>
        <w:tc>
          <w:tcPr>
            <w:tcW w:w="9257" w:type="dxa"/>
            <w:noWrap/>
            <w:hideMark/>
          </w:tcPr>
          <w:p w14:paraId="3AEC02F6" w14:textId="77777777" w:rsidR="00AF1E0E" w:rsidRPr="00AF1E0E" w:rsidRDefault="00AF1E0E">
            <w:r w:rsidRPr="00AF1E0E">
              <w:t>EBITDA Growth, showing the growth rate of earnings before interest, taxes, depreciation, and amortization.</w:t>
            </w:r>
          </w:p>
        </w:tc>
      </w:tr>
      <w:tr w:rsidR="00AF1E0E" w:rsidRPr="00AF1E0E" w14:paraId="634E0890" w14:textId="77777777" w:rsidTr="00AF1E0E">
        <w:trPr>
          <w:trHeight w:val="290"/>
        </w:trPr>
        <w:tc>
          <w:tcPr>
            <w:tcW w:w="1980" w:type="dxa"/>
            <w:noWrap/>
            <w:hideMark/>
          </w:tcPr>
          <w:p w14:paraId="595E2F39" w14:textId="77777777" w:rsidR="00AF1E0E" w:rsidRPr="00AF1E0E" w:rsidRDefault="00AF1E0E">
            <w:r w:rsidRPr="00AF1E0E">
              <w:t>Net Inc Gr</w:t>
            </w:r>
          </w:p>
        </w:tc>
        <w:tc>
          <w:tcPr>
            <w:tcW w:w="9257" w:type="dxa"/>
            <w:noWrap/>
            <w:hideMark/>
          </w:tcPr>
          <w:p w14:paraId="0D4676F3" w14:textId="77777777" w:rsidR="00AF1E0E" w:rsidRPr="00AF1E0E" w:rsidRDefault="00AF1E0E">
            <w:r w:rsidRPr="00AF1E0E">
              <w:t>Net Income Growth, indicating the growth rate of net income over time.</w:t>
            </w:r>
          </w:p>
        </w:tc>
      </w:tr>
      <w:tr w:rsidR="00AF1E0E" w:rsidRPr="00AF1E0E" w14:paraId="736E810A" w14:textId="77777777" w:rsidTr="00AF1E0E">
        <w:trPr>
          <w:trHeight w:val="290"/>
        </w:trPr>
        <w:tc>
          <w:tcPr>
            <w:tcW w:w="1980" w:type="dxa"/>
            <w:noWrap/>
            <w:hideMark/>
          </w:tcPr>
          <w:p w14:paraId="43AB76AC" w14:textId="77777777" w:rsidR="00AF1E0E" w:rsidRPr="00AF1E0E" w:rsidRDefault="00AF1E0E">
            <w:r w:rsidRPr="00AF1E0E">
              <w:t>GDP CYOY Index</w:t>
            </w:r>
          </w:p>
        </w:tc>
        <w:tc>
          <w:tcPr>
            <w:tcW w:w="9257" w:type="dxa"/>
            <w:noWrap/>
            <w:hideMark/>
          </w:tcPr>
          <w:p w14:paraId="23F46FB7" w14:textId="77777777" w:rsidR="00AF1E0E" w:rsidRPr="00AF1E0E" w:rsidRDefault="00AF1E0E">
            <w:r w:rsidRPr="00AF1E0E">
              <w:t xml:space="preserve">Year-over-Year GDP </w:t>
            </w:r>
            <w:proofErr w:type="gramStart"/>
            <w:r w:rsidRPr="00AF1E0E">
              <w:t>growth,</w:t>
            </w:r>
            <w:proofErr w:type="gramEnd"/>
            <w:r w:rsidRPr="00AF1E0E">
              <w:t xml:space="preserve"> reflecting economic growth trends.</w:t>
            </w:r>
          </w:p>
        </w:tc>
      </w:tr>
      <w:tr w:rsidR="00AF1E0E" w:rsidRPr="00AF1E0E" w14:paraId="09248853" w14:textId="77777777" w:rsidTr="00AF1E0E">
        <w:trPr>
          <w:trHeight w:val="290"/>
        </w:trPr>
        <w:tc>
          <w:tcPr>
            <w:tcW w:w="1980" w:type="dxa"/>
            <w:noWrap/>
            <w:hideMark/>
          </w:tcPr>
          <w:p w14:paraId="71595A5C" w14:textId="77777777" w:rsidR="00AF1E0E" w:rsidRPr="00AF1E0E" w:rsidRDefault="00AF1E0E">
            <w:r w:rsidRPr="00AF1E0E">
              <w:t>CPI YOY Index</w:t>
            </w:r>
          </w:p>
        </w:tc>
        <w:tc>
          <w:tcPr>
            <w:tcW w:w="9257" w:type="dxa"/>
            <w:noWrap/>
            <w:hideMark/>
          </w:tcPr>
          <w:p w14:paraId="0BEC73D6" w14:textId="77777777" w:rsidR="00AF1E0E" w:rsidRPr="00AF1E0E" w:rsidRDefault="00AF1E0E">
            <w:r w:rsidRPr="00AF1E0E">
              <w:t>Year-over-Year Consumer Price Index, a measure of inflation.</w:t>
            </w:r>
          </w:p>
        </w:tc>
      </w:tr>
      <w:tr w:rsidR="00AF1E0E" w:rsidRPr="00AF1E0E" w14:paraId="18176E27" w14:textId="77777777" w:rsidTr="00AF1E0E">
        <w:trPr>
          <w:trHeight w:val="290"/>
        </w:trPr>
        <w:tc>
          <w:tcPr>
            <w:tcW w:w="1980" w:type="dxa"/>
            <w:noWrap/>
            <w:hideMark/>
          </w:tcPr>
          <w:p w14:paraId="598E98BD" w14:textId="77777777" w:rsidR="00AF1E0E" w:rsidRPr="00AF1E0E" w:rsidRDefault="00AF1E0E">
            <w:r w:rsidRPr="00AF1E0E">
              <w:t>PPI YOY Index</w:t>
            </w:r>
          </w:p>
        </w:tc>
        <w:tc>
          <w:tcPr>
            <w:tcW w:w="9257" w:type="dxa"/>
            <w:noWrap/>
            <w:hideMark/>
          </w:tcPr>
          <w:p w14:paraId="4E867A87" w14:textId="77777777" w:rsidR="00AF1E0E" w:rsidRPr="00AF1E0E" w:rsidRDefault="00AF1E0E">
            <w:r w:rsidRPr="00AF1E0E">
              <w:t>Year-over-Year Producer Price Index, another measure of inflation.</w:t>
            </w:r>
          </w:p>
        </w:tc>
      </w:tr>
      <w:tr w:rsidR="00AF1E0E" w:rsidRPr="00AF1E0E" w14:paraId="3B3331AF" w14:textId="77777777" w:rsidTr="00AF1E0E">
        <w:trPr>
          <w:trHeight w:val="290"/>
        </w:trPr>
        <w:tc>
          <w:tcPr>
            <w:tcW w:w="1980" w:type="dxa"/>
            <w:noWrap/>
            <w:hideMark/>
          </w:tcPr>
          <w:p w14:paraId="55E9913A" w14:textId="77777777" w:rsidR="00AF1E0E" w:rsidRPr="00AF1E0E" w:rsidRDefault="00AF1E0E">
            <w:r w:rsidRPr="00AF1E0E">
              <w:t>VIX Index</w:t>
            </w:r>
          </w:p>
        </w:tc>
        <w:tc>
          <w:tcPr>
            <w:tcW w:w="9257" w:type="dxa"/>
            <w:noWrap/>
            <w:hideMark/>
          </w:tcPr>
          <w:p w14:paraId="7C754DB6" w14:textId="77777777" w:rsidR="00AF1E0E" w:rsidRPr="00AF1E0E" w:rsidRDefault="00AF1E0E">
            <w:r w:rsidRPr="00AF1E0E">
              <w:t>Volatility Index, reflecting market uncertainty and investor sentiment.</w:t>
            </w:r>
          </w:p>
        </w:tc>
      </w:tr>
      <w:tr w:rsidR="00AF1E0E" w:rsidRPr="00AF1E0E" w14:paraId="2640ED31" w14:textId="77777777" w:rsidTr="00AF1E0E">
        <w:trPr>
          <w:trHeight w:val="290"/>
        </w:trPr>
        <w:tc>
          <w:tcPr>
            <w:tcW w:w="1980" w:type="dxa"/>
            <w:noWrap/>
            <w:hideMark/>
          </w:tcPr>
          <w:p w14:paraId="3605D613" w14:textId="77777777" w:rsidR="00AF1E0E" w:rsidRPr="00AF1E0E" w:rsidRDefault="00AF1E0E">
            <w:r w:rsidRPr="00AF1E0E">
              <w:t>Sector</w:t>
            </w:r>
          </w:p>
        </w:tc>
        <w:tc>
          <w:tcPr>
            <w:tcW w:w="9257" w:type="dxa"/>
            <w:noWrap/>
            <w:hideMark/>
          </w:tcPr>
          <w:p w14:paraId="18F26608" w14:textId="77777777" w:rsidR="00AF1E0E" w:rsidRPr="00AF1E0E" w:rsidRDefault="00AF1E0E">
            <w:r w:rsidRPr="00AF1E0E">
              <w:t>The industry or sector to which the stock belongs.</w:t>
            </w:r>
          </w:p>
        </w:tc>
      </w:tr>
      <w:tr w:rsidR="00AF1E0E" w:rsidRPr="00AF1E0E" w14:paraId="1C867E0D" w14:textId="77777777" w:rsidTr="00AF1E0E">
        <w:trPr>
          <w:trHeight w:val="290"/>
        </w:trPr>
        <w:tc>
          <w:tcPr>
            <w:tcW w:w="1980" w:type="dxa"/>
            <w:noWrap/>
            <w:hideMark/>
          </w:tcPr>
          <w:p w14:paraId="23D831B1" w14:textId="77777777" w:rsidR="00AF1E0E" w:rsidRPr="00AF1E0E" w:rsidRDefault="00AF1E0E">
            <w:r w:rsidRPr="00AF1E0E">
              <w:t>Year</w:t>
            </w:r>
          </w:p>
        </w:tc>
        <w:tc>
          <w:tcPr>
            <w:tcW w:w="9257" w:type="dxa"/>
            <w:noWrap/>
            <w:hideMark/>
          </w:tcPr>
          <w:p w14:paraId="37F71251" w14:textId="77777777" w:rsidR="00AF1E0E" w:rsidRPr="00AF1E0E" w:rsidRDefault="00AF1E0E">
            <w:r w:rsidRPr="00AF1E0E">
              <w:t>The year of the data record, used for time-based analysis.</w:t>
            </w:r>
          </w:p>
        </w:tc>
      </w:tr>
      <w:tr w:rsidR="00AF1E0E" w:rsidRPr="00AF1E0E" w14:paraId="15DC7724" w14:textId="77777777" w:rsidTr="00AF1E0E">
        <w:trPr>
          <w:trHeight w:val="290"/>
        </w:trPr>
        <w:tc>
          <w:tcPr>
            <w:tcW w:w="1980" w:type="dxa"/>
            <w:noWrap/>
            <w:hideMark/>
          </w:tcPr>
          <w:p w14:paraId="6E9E7D48" w14:textId="77777777" w:rsidR="00AF1E0E" w:rsidRPr="00AF1E0E" w:rsidRDefault="00AF1E0E">
            <w:r w:rsidRPr="00AF1E0E">
              <w:lastRenderedPageBreak/>
              <w:t>Quarter</w:t>
            </w:r>
          </w:p>
        </w:tc>
        <w:tc>
          <w:tcPr>
            <w:tcW w:w="9257" w:type="dxa"/>
            <w:noWrap/>
            <w:hideMark/>
          </w:tcPr>
          <w:p w14:paraId="513914B6" w14:textId="77777777" w:rsidR="00AF1E0E" w:rsidRPr="00AF1E0E" w:rsidRDefault="00AF1E0E">
            <w:r w:rsidRPr="00AF1E0E">
              <w:t>The quarter of the year (Q1, Q2, Q3, Q4), capturing seasonality.</w:t>
            </w:r>
          </w:p>
        </w:tc>
      </w:tr>
      <w:tr w:rsidR="00AF1E0E" w:rsidRPr="00AF1E0E" w14:paraId="1CD1CB4C" w14:textId="77777777" w:rsidTr="00AF1E0E">
        <w:trPr>
          <w:trHeight w:val="290"/>
        </w:trPr>
        <w:tc>
          <w:tcPr>
            <w:tcW w:w="1980" w:type="dxa"/>
            <w:noWrap/>
            <w:hideMark/>
          </w:tcPr>
          <w:p w14:paraId="45D35E91" w14:textId="77777777" w:rsidR="00AF1E0E" w:rsidRPr="00AF1E0E" w:rsidRDefault="00AF1E0E">
            <w:r w:rsidRPr="00AF1E0E">
              <w:t>Label</w:t>
            </w:r>
          </w:p>
        </w:tc>
        <w:tc>
          <w:tcPr>
            <w:tcW w:w="9257" w:type="dxa"/>
            <w:noWrap/>
            <w:hideMark/>
          </w:tcPr>
          <w:p w14:paraId="58DFCD3F" w14:textId="77777777" w:rsidR="00AF1E0E" w:rsidRPr="00AF1E0E" w:rsidRDefault="00AF1E0E">
            <w:r w:rsidRPr="00AF1E0E">
              <w:t xml:space="preserve">The target variable </w:t>
            </w:r>
            <w:proofErr w:type="gramStart"/>
            <w:r w:rsidRPr="00AF1E0E">
              <w:t>indicating</w:t>
            </w:r>
            <w:proofErr w:type="gramEnd"/>
            <w:r w:rsidRPr="00AF1E0E">
              <w:t xml:space="preserve"> whether the stock was purchased (1) or not (0).</w:t>
            </w:r>
          </w:p>
        </w:tc>
      </w:tr>
    </w:tbl>
    <w:p w14:paraId="3E8BDE06" w14:textId="77777777" w:rsidR="00AF1E0E" w:rsidRPr="00A26E29" w:rsidRDefault="00AF1E0E" w:rsidP="00A26E29"/>
    <w:p w14:paraId="21566875" w14:textId="5F8ED04E" w:rsidR="00A26E29" w:rsidRDefault="008942C9" w:rsidP="008942C9">
      <w:pPr>
        <w:pStyle w:val="Heading2"/>
        <w:rPr>
          <w:color w:val="auto"/>
        </w:rPr>
      </w:pPr>
      <w:r>
        <w:rPr>
          <w:color w:val="auto"/>
        </w:rPr>
        <w:t>Codebook</w:t>
      </w:r>
    </w:p>
    <w:tbl>
      <w:tblPr>
        <w:tblW w:w="8112" w:type="dxa"/>
        <w:tblLook w:val="04A0" w:firstRow="1" w:lastRow="0" w:firstColumn="1" w:lastColumn="0" w:noHBand="0" w:noVBand="1"/>
      </w:tblPr>
      <w:tblGrid>
        <w:gridCol w:w="1580"/>
        <w:gridCol w:w="5500"/>
        <w:gridCol w:w="1218"/>
      </w:tblGrid>
      <w:tr w:rsidR="00135F9A" w:rsidRPr="00135F9A" w14:paraId="03576020" w14:textId="77777777" w:rsidTr="00135F9A">
        <w:trPr>
          <w:trHeight w:val="300"/>
        </w:trPr>
        <w:tc>
          <w:tcPr>
            <w:tcW w:w="1580" w:type="dxa"/>
            <w:tcBorders>
              <w:top w:val="nil"/>
              <w:left w:val="nil"/>
              <w:bottom w:val="nil"/>
              <w:right w:val="nil"/>
            </w:tcBorders>
            <w:shd w:val="clear" w:color="auto" w:fill="auto"/>
            <w:noWrap/>
            <w:vAlign w:val="bottom"/>
            <w:hideMark/>
          </w:tcPr>
          <w:p w14:paraId="6C40234D"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Variable</w:t>
            </w:r>
          </w:p>
        </w:tc>
        <w:tc>
          <w:tcPr>
            <w:tcW w:w="5500" w:type="dxa"/>
            <w:tcBorders>
              <w:top w:val="nil"/>
              <w:left w:val="nil"/>
              <w:bottom w:val="nil"/>
              <w:right w:val="nil"/>
            </w:tcBorders>
            <w:shd w:val="clear" w:color="auto" w:fill="auto"/>
            <w:noWrap/>
            <w:vAlign w:val="bottom"/>
            <w:hideMark/>
          </w:tcPr>
          <w:p w14:paraId="73973FD3"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Description</w:t>
            </w:r>
          </w:p>
        </w:tc>
        <w:tc>
          <w:tcPr>
            <w:tcW w:w="1032" w:type="dxa"/>
            <w:tcBorders>
              <w:top w:val="nil"/>
              <w:left w:val="nil"/>
              <w:bottom w:val="nil"/>
              <w:right w:val="nil"/>
            </w:tcBorders>
            <w:shd w:val="clear" w:color="auto" w:fill="auto"/>
            <w:noWrap/>
            <w:vAlign w:val="bottom"/>
            <w:hideMark/>
          </w:tcPr>
          <w:p w14:paraId="0C786F6D"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Type</w:t>
            </w:r>
          </w:p>
        </w:tc>
      </w:tr>
      <w:tr w:rsidR="00135F9A" w:rsidRPr="00135F9A" w14:paraId="3A7F8D23" w14:textId="77777777" w:rsidTr="00135F9A">
        <w:trPr>
          <w:trHeight w:val="300"/>
        </w:trPr>
        <w:tc>
          <w:tcPr>
            <w:tcW w:w="1580" w:type="dxa"/>
            <w:tcBorders>
              <w:top w:val="nil"/>
              <w:left w:val="nil"/>
              <w:bottom w:val="nil"/>
              <w:right w:val="nil"/>
            </w:tcBorders>
            <w:shd w:val="clear" w:color="CBA0E3" w:fill="CBA0E3"/>
            <w:noWrap/>
            <w:vAlign w:val="bottom"/>
            <w:hideMark/>
          </w:tcPr>
          <w:p w14:paraId="4A0F4F97"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Label</w:t>
            </w:r>
          </w:p>
        </w:tc>
        <w:tc>
          <w:tcPr>
            <w:tcW w:w="5500" w:type="dxa"/>
            <w:tcBorders>
              <w:top w:val="nil"/>
              <w:left w:val="nil"/>
              <w:bottom w:val="nil"/>
              <w:right w:val="nil"/>
            </w:tcBorders>
            <w:shd w:val="clear" w:color="CBA0E3" w:fill="CBA0E3"/>
            <w:noWrap/>
            <w:vAlign w:val="bottom"/>
            <w:hideMark/>
          </w:tcPr>
          <w:p w14:paraId="486D34E3"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Indicates whether the stock was purchased (1) or not (0).</w:t>
            </w:r>
          </w:p>
        </w:tc>
        <w:tc>
          <w:tcPr>
            <w:tcW w:w="1032" w:type="dxa"/>
            <w:tcBorders>
              <w:top w:val="nil"/>
              <w:left w:val="nil"/>
              <w:bottom w:val="nil"/>
              <w:right w:val="nil"/>
            </w:tcBorders>
            <w:shd w:val="clear" w:color="CBA0E3" w:fill="CBA0E3"/>
            <w:noWrap/>
            <w:vAlign w:val="bottom"/>
            <w:hideMark/>
          </w:tcPr>
          <w:p w14:paraId="2092CAE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Label</w:t>
            </w:r>
          </w:p>
        </w:tc>
      </w:tr>
      <w:tr w:rsidR="00135F9A" w:rsidRPr="00135F9A" w14:paraId="30DF2D75" w14:textId="77777777" w:rsidTr="00135F9A">
        <w:trPr>
          <w:trHeight w:val="300"/>
        </w:trPr>
        <w:tc>
          <w:tcPr>
            <w:tcW w:w="1580" w:type="dxa"/>
            <w:tcBorders>
              <w:top w:val="nil"/>
              <w:left w:val="nil"/>
              <w:bottom w:val="nil"/>
              <w:right w:val="nil"/>
            </w:tcBorders>
            <w:shd w:val="clear" w:color="A9D0F5" w:fill="A9D0F5"/>
            <w:noWrap/>
            <w:vAlign w:val="bottom"/>
            <w:hideMark/>
          </w:tcPr>
          <w:p w14:paraId="4A56438B"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Sector</w:t>
            </w:r>
          </w:p>
        </w:tc>
        <w:tc>
          <w:tcPr>
            <w:tcW w:w="5500" w:type="dxa"/>
            <w:tcBorders>
              <w:top w:val="nil"/>
              <w:left w:val="nil"/>
              <w:bottom w:val="nil"/>
              <w:right w:val="nil"/>
            </w:tcBorders>
            <w:shd w:val="clear" w:color="A9D0F5" w:fill="A9D0F5"/>
            <w:noWrap/>
            <w:vAlign w:val="bottom"/>
            <w:hideMark/>
          </w:tcPr>
          <w:p w14:paraId="6A69FE7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The sector classification of the stock.</w:t>
            </w:r>
          </w:p>
        </w:tc>
        <w:tc>
          <w:tcPr>
            <w:tcW w:w="1032" w:type="dxa"/>
            <w:tcBorders>
              <w:top w:val="nil"/>
              <w:left w:val="nil"/>
              <w:bottom w:val="nil"/>
              <w:right w:val="nil"/>
            </w:tcBorders>
            <w:shd w:val="clear" w:color="A9D0F5" w:fill="A9D0F5"/>
            <w:noWrap/>
            <w:vAlign w:val="bottom"/>
            <w:hideMark/>
          </w:tcPr>
          <w:p w14:paraId="7F5311CF"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Categorical</w:t>
            </w:r>
          </w:p>
        </w:tc>
      </w:tr>
      <w:tr w:rsidR="00135F9A" w:rsidRPr="00135F9A" w14:paraId="4A08AFA3" w14:textId="77777777" w:rsidTr="00135F9A">
        <w:trPr>
          <w:trHeight w:val="300"/>
        </w:trPr>
        <w:tc>
          <w:tcPr>
            <w:tcW w:w="1580" w:type="dxa"/>
            <w:tcBorders>
              <w:top w:val="nil"/>
              <w:left w:val="nil"/>
              <w:bottom w:val="nil"/>
              <w:right w:val="nil"/>
            </w:tcBorders>
            <w:shd w:val="clear" w:color="A9D0F5" w:fill="A9D0F5"/>
            <w:noWrap/>
            <w:vAlign w:val="bottom"/>
            <w:hideMark/>
          </w:tcPr>
          <w:p w14:paraId="7CDFB3B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Quarter</w:t>
            </w:r>
          </w:p>
        </w:tc>
        <w:tc>
          <w:tcPr>
            <w:tcW w:w="5500" w:type="dxa"/>
            <w:tcBorders>
              <w:top w:val="nil"/>
              <w:left w:val="nil"/>
              <w:bottom w:val="nil"/>
              <w:right w:val="nil"/>
            </w:tcBorders>
            <w:shd w:val="clear" w:color="A9D0F5" w:fill="A9D0F5"/>
            <w:noWrap/>
            <w:vAlign w:val="bottom"/>
            <w:hideMark/>
          </w:tcPr>
          <w:p w14:paraId="2CFDBDD5"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 xml:space="preserve">Fiscal </w:t>
            </w:r>
            <w:proofErr w:type="gramStart"/>
            <w:r w:rsidRPr="00135F9A">
              <w:rPr>
                <w:rFonts w:ascii="Calibri" w:eastAsia="Times New Roman" w:hAnsi="Calibri" w:cs="Calibri"/>
                <w:color w:val="000000"/>
                <w:kern w:val="0"/>
                <w:sz w:val="22"/>
                <w:szCs w:val="22"/>
                <w14:ligatures w14:val="none"/>
              </w:rPr>
              <w:t>quarter</w:t>
            </w:r>
            <w:proofErr w:type="gramEnd"/>
            <w:r w:rsidRPr="00135F9A">
              <w:rPr>
                <w:rFonts w:ascii="Calibri" w:eastAsia="Times New Roman" w:hAnsi="Calibri" w:cs="Calibri"/>
                <w:color w:val="000000"/>
                <w:kern w:val="0"/>
                <w:sz w:val="22"/>
                <w:szCs w:val="22"/>
                <w14:ligatures w14:val="none"/>
              </w:rPr>
              <w:t xml:space="preserve"> (Q1, Q2, Q3, Q4).</w:t>
            </w:r>
          </w:p>
        </w:tc>
        <w:tc>
          <w:tcPr>
            <w:tcW w:w="1032" w:type="dxa"/>
            <w:tcBorders>
              <w:top w:val="nil"/>
              <w:left w:val="nil"/>
              <w:bottom w:val="nil"/>
              <w:right w:val="nil"/>
            </w:tcBorders>
            <w:shd w:val="clear" w:color="A9D0F5" w:fill="A9D0F5"/>
            <w:noWrap/>
            <w:vAlign w:val="bottom"/>
            <w:hideMark/>
          </w:tcPr>
          <w:p w14:paraId="1D686C1F"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Categorical</w:t>
            </w:r>
          </w:p>
        </w:tc>
      </w:tr>
      <w:tr w:rsidR="00135F9A" w:rsidRPr="00135F9A" w14:paraId="7EDBCD77" w14:textId="77777777" w:rsidTr="00135F9A">
        <w:trPr>
          <w:trHeight w:val="300"/>
        </w:trPr>
        <w:tc>
          <w:tcPr>
            <w:tcW w:w="1580" w:type="dxa"/>
            <w:tcBorders>
              <w:top w:val="nil"/>
              <w:left w:val="nil"/>
              <w:bottom w:val="nil"/>
              <w:right w:val="nil"/>
            </w:tcBorders>
            <w:shd w:val="clear" w:color="A9D0F5" w:fill="A9D0F5"/>
            <w:noWrap/>
            <w:vAlign w:val="bottom"/>
            <w:hideMark/>
          </w:tcPr>
          <w:p w14:paraId="4A46D9E7"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Year</w:t>
            </w:r>
          </w:p>
        </w:tc>
        <w:tc>
          <w:tcPr>
            <w:tcW w:w="5500" w:type="dxa"/>
            <w:tcBorders>
              <w:top w:val="nil"/>
              <w:left w:val="nil"/>
              <w:bottom w:val="nil"/>
              <w:right w:val="nil"/>
            </w:tcBorders>
            <w:shd w:val="clear" w:color="A9D0F5" w:fill="A9D0F5"/>
            <w:noWrap/>
            <w:vAlign w:val="bottom"/>
            <w:hideMark/>
          </w:tcPr>
          <w:p w14:paraId="1B225D05"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Year of the data record.</w:t>
            </w:r>
          </w:p>
        </w:tc>
        <w:tc>
          <w:tcPr>
            <w:tcW w:w="1032" w:type="dxa"/>
            <w:tcBorders>
              <w:top w:val="nil"/>
              <w:left w:val="nil"/>
              <w:bottom w:val="nil"/>
              <w:right w:val="nil"/>
            </w:tcBorders>
            <w:shd w:val="clear" w:color="A9D0F5" w:fill="A9D0F5"/>
            <w:noWrap/>
            <w:vAlign w:val="bottom"/>
            <w:hideMark/>
          </w:tcPr>
          <w:p w14:paraId="10574417"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Categorical</w:t>
            </w:r>
          </w:p>
        </w:tc>
      </w:tr>
      <w:tr w:rsidR="00135F9A" w:rsidRPr="00135F9A" w14:paraId="6C317299" w14:textId="77777777" w:rsidTr="00135F9A">
        <w:trPr>
          <w:trHeight w:val="300"/>
        </w:trPr>
        <w:tc>
          <w:tcPr>
            <w:tcW w:w="1580" w:type="dxa"/>
            <w:tcBorders>
              <w:top w:val="nil"/>
              <w:left w:val="nil"/>
              <w:bottom w:val="nil"/>
              <w:right w:val="nil"/>
            </w:tcBorders>
            <w:shd w:val="clear" w:color="A9D0F5" w:fill="A9D0F5"/>
            <w:noWrap/>
            <w:vAlign w:val="bottom"/>
            <w:hideMark/>
          </w:tcPr>
          <w:p w14:paraId="51664764"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Sector (Grouped)</w:t>
            </w:r>
          </w:p>
        </w:tc>
        <w:tc>
          <w:tcPr>
            <w:tcW w:w="5500" w:type="dxa"/>
            <w:tcBorders>
              <w:top w:val="nil"/>
              <w:left w:val="nil"/>
              <w:bottom w:val="nil"/>
              <w:right w:val="nil"/>
            </w:tcBorders>
            <w:shd w:val="clear" w:color="A9D0F5" w:fill="A9D0F5"/>
            <w:noWrap/>
            <w:vAlign w:val="bottom"/>
            <w:hideMark/>
          </w:tcPr>
          <w:p w14:paraId="5BCD963A"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Grouped industry classification.</w:t>
            </w:r>
          </w:p>
        </w:tc>
        <w:tc>
          <w:tcPr>
            <w:tcW w:w="1032" w:type="dxa"/>
            <w:tcBorders>
              <w:top w:val="nil"/>
              <w:left w:val="nil"/>
              <w:bottom w:val="nil"/>
              <w:right w:val="nil"/>
            </w:tcBorders>
            <w:shd w:val="clear" w:color="A9D0F5" w:fill="A9D0F5"/>
            <w:noWrap/>
            <w:vAlign w:val="bottom"/>
            <w:hideMark/>
          </w:tcPr>
          <w:p w14:paraId="7909132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Categorical</w:t>
            </w:r>
          </w:p>
        </w:tc>
      </w:tr>
      <w:tr w:rsidR="00135F9A" w:rsidRPr="00135F9A" w14:paraId="74EED8FC" w14:textId="77777777" w:rsidTr="00135F9A">
        <w:trPr>
          <w:trHeight w:val="300"/>
        </w:trPr>
        <w:tc>
          <w:tcPr>
            <w:tcW w:w="1580" w:type="dxa"/>
            <w:tcBorders>
              <w:top w:val="nil"/>
              <w:left w:val="nil"/>
              <w:bottom w:val="nil"/>
              <w:right w:val="nil"/>
            </w:tcBorders>
            <w:shd w:val="clear" w:color="FFFFFF" w:fill="FFFFFF"/>
            <w:noWrap/>
            <w:vAlign w:val="bottom"/>
            <w:hideMark/>
          </w:tcPr>
          <w:p w14:paraId="40063BE9"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Market Value (%)</w:t>
            </w:r>
          </w:p>
        </w:tc>
        <w:tc>
          <w:tcPr>
            <w:tcW w:w="5500" w:type="dxa"/>
            <w:tcBorders>
              <w:top w:val="nil"/>
              <w:left w:val="nil"/>
              <w:bottom w:val="nil"/>
              <w:right w:val="nil"/>
            </w:tcBorders>
            <w:shd w:val="clear" w:color="FFFFFF" w:fill="FFFFFF"/>
            <w:noWrap/>
            <w:vAlign w:val="bottom"/>
            <w:hideMark/>
          </w:tcPr>
          <w:p w14:paraId="4A353BE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proofErr w:type="gramStart"/>
            <w:r w:rsidRPr="00135F9A">
              <w:rPr>
                <w:rFonts w:ascii="Calibri" w:eastAsia="Times New Roman" w:hAnsi="Calibri" w:cs="Calibri"/>
                <w:color w:val="000000"/>
                <w:kern w:val="0"/>
                <w:sz w:val="22"/>
                <w:szCs w:val="22"/>
                <w14:ligatures w14:val="none"/>
              </w:rPr>
              <w:t>Percentage</w:t>
            </w:r>
            <w:proofErr w:type="gramEnd"/>
            <w:r w:rsidRPr="00135F9A">
              <w:rPr>
                <w:rFonts w:ascii="Calibri" w:eastAsia="Times New Roman" w:hAnsi="Calibri" w:cs="Calibri"/>
                <w:color w:val="000000"/>
                <w:kern w:val="0"/>
                <w:sz w:val="22"/>
                <w:szCs w:val="22"/>
                <w14:ligatures w14:val="none"/>
              </w:rPr>
              <w:t xml:space="preserve"> of the portfolio held in this stock.</w:t>
            </w:r>
          </w:p>
        </w:tc>
        <w:tc>
          <w:tcPr>
            <w:tcW w:w="1032" w:type="dxa"/>
            <w:tcBorders>
              <w:top w:val="nil"/>
              <w:left w:val="nil"/>
              <w:bottom w:val="nil"/>
              <w:right w:val="nil"/>
            </w:tcBorders>
            <w:shd w:val="clear" w:color="FFFFFF" w:fill="FFFFFF"/>
            <w:noWrap/>
            <w:vAlign w:val="bottom"/>
            <w:hideMark/>
          </w:tcPr>
          <w:p w14:paraId="7746DF3B"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7EEC9ABE" w14:textId="77777777" w:rsidTr="00135F9A">
        <w:trPr>
          <w:trHeight w:val="300"/>
        </w:trPr>
        <w:tc>
          <w:tcPr>
            <w:tcW w:w="1580" w:type="dxa"/>
            <w:tcBorders>
              <w:top w:val="nil"/>
              <w:left w:val="nil"/>
              <w:bottom w:val="nil"/>
              <w:right w:val="nil"/>
            </w:tcBorders>
            <w:shd w:val="clear" w:color="FFFFFF" w:fill="FFFFFF"/>
            <w:noWrap/>
            <w:vAlign w:val="bottom"/>
            <w:hideMark/>
          </w:tcPr>
          <w:p w14:paraId="0A0733CF"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P/E</w:t>
            </w:r>
          </w:p>
        </w:tc>
        <w:tc>
          <w:tcPr>
            <w:tcW w:w="5500" w:type="dxa"/>
            <w:tcBorders>
              <w:top w:val="nil"/>
              <w:left w:val="nil"/>
              <w:bottom w:val="nil"/>
              <w:right w:val="nil"/>
            </w:tcBorders>
            <w:shd w:val="clear" w:color="FFFFFF" w:fill="FFFFFF"/>
            <w:noWrap/>
            <w:vAlign w:val="bottom"/>
            <w:hideMark/>
          </w:tcPr>
          <w:p w14:paraId="515B5434"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Price-to-Earnings ratio.</w:t>
            </w:r>
          </w:p>
        </w:tc>
        <w:tc>
          <w:tcPr>
            <w:tcW w:w="1032" w:type="dxa"/>
            <w:tcBorders>
              <w:top w:val="nil"/>
              <w:left w:val="nil"/>
              <w:bottom w:val="nil"/>
              <w:right w:val="nil"/>
            </w:tcBorders>
            <w:shd w:val="clear" w:color="FFFFFF" w:fill="FFFFFF"/>
            <w:noWrap/>
            <w:vAlign w:val="bottom"/>
            <w:hideMark/>
          </w:tcPr>
          <w:p w14:paraId="37BA3E1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4B1C4E3E" w14:textId="77777777" w:rsidTr="00135F9A">
        <w:trPr>
          <w:trHeight w:val="300"/>
        </w:trPr>
        <w:tc>
          <w:tcPr>
            <w:tcW w:w="1580" w:type="dxa"/>
            <w:tcBorders>
              <w:top w:val="nil"/>
              <w:left w:val="nil"/>
              <w:bottom w:val="nil"/>
              <w:right w:val="nil"/>
            </w:tcBorders>
            <w:shd w:val="clear" w:color="FFFFFF" w:fill="FFFFFF"/>
            <w:noWrap/>
            <w:vAlign w:val="bottom"/>
            <w:hideMark/>
          </w:tcPr>
          <w:p w14:paraId="55F97989"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P/CF</w:t>
            </w:r>
          </w:p>
        </w:tc>
        <w:tc>
          <w:tcPr>
            <w:tcW w:w="5500" w:type="dxa"/>
            <w:tcBorders>
              <w:top w:val="nil"/>
              <w:left w:val="nil"/>
              <w:bottom w:val="nil"/>
              <w:right w:val="nil"/>
            </w:tcBorders>
            <w:shd w:val="clear" w:color="FFFFFF" w:fill="FFFFFF"/>
            <w:noWrap/>
            <w:vAlign w:val="bottom"/>
            <w:hideMark/>
          </w:tcPr>
          <w:p w14:paraId="5EB8693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Price-to-Cash Flow ratio.</w:t>
            </w:r>
          </w:p>
        </w:tc>
        <w:tc>
          <w:tcPr>
            <w:tcW w:w="1032" w:type="dxa"/>
            <w:tcBorders>
              <w:top w:val="nil"/>
              <w:left w:val="nil"/>
              <w:bottom w:val="nil"/>
              <w:right w:val="nil"/>
            </w:tcBorders>
            <w:shd w:val="clear" w:color="FFFFFF" w:fill="FFFFFF"/>
            <w:noWrap/>
            <w:vAlign w:val="bottom"/>
            <w:hideMark/>
          </w:tcPr>
          <w:p w14:paraId="63A85045"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3D5863C9" w14:textId="77777777" w:rsidTr="00135F9A">
        <w:trPr>
          <w:trHeight w:val="300"/>
        </w:trPr>
        <w:tc>
          <w:tcPr>
            <w:tcW w:w="1580" w:type="dxa"/>
            <w:tcBorders>
              <w:top w:val="nil"/>
              <w:left w:val="nil"/>
              <w:bottom w:val="nil"/>
              <w:right w:val="nil"/>
            </w:tcBorders>
            <w:shd w:val="clear" w:color="FFFFFF" w:fill="FFFFFF"/>
            <w:noWrap/>
            <w:vAlign w:val="bottom"/>
            <w:hideMark/>
          </w:tcPr>
          <w:p w14:paraId="17F27EF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P/B</w:t>
            </w:r>
          </w:p>
        </w:tc>
        <w:tc>
          <w:tcPr>
            <w:tcW w:w="5500" w:type="dxa"/>
            <w:tcBorders>
              <w:top w:val="nil"/>
              <w:left w:val="nil"/>
              <w:bottom w:val="nil"/>
              <w:right w:val="nil"/>
            </w:tcBorders>
            <w:shd w:val="clear" w:color="FFFFFF" w:fill="FFFFFF"/>
            <w:noWrap/>
            <w:vAlign w:val="bottom"/>
            <w:hideMark/>
          </w:tcPr>
          <w:p w14:paraId="4CFC6B91"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Price-to-Book ratio.</w:t>
            </w:r>
          </w:p>
        </w:tc>
        <w:tc>
          <w:tcPr>
            <w:tcW w:w="1032" w:type="dxa"/>
            <w:tcBorders>
              <w:top w:val="nil"/>
              <w:left w:val="nil"/>
              <w:bottom w:val="nil"/>
              <w:right w:val="nil"/>
            </w:tcBorders>
            <w:shd w:val="clear" w:color="FFFFFF" w:fill="FFFFFF"/>
            <w:noWrap/>
            <w:vAlign w:val="bottom"/>
            <w:hideMark/>
          </w:tcPr>
          <w:p w14:paraId="0AB7843A"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1AD3355A" w14:textId="77777777" w:rsidTr="00135F9A">
        <w:trPr>
          <w:trHeight w:val="300"/>
        </w:trPr>
        <w:tc>
          <w:tcPr>
            <w:tcW w:w="1580" w:type="dxa"/>
            <w:tcBorders>
              <w:top w:val="nil"/>
              <w:left w:val="nil"/>
              <w:bottom w:val="nil"/>
              <w:right w:val="nil"/>
            </w:tcBorders>
            <w:shd w:val="clear" w:color="FFFFFF" w:fill="FFFFFF"/>
            <w:noWrap/>
            <w:vAlign w:val="bottom"/>
            <w:hideMark/>
          </w:tcPr>
          <w:p w14:paraId="02F8F123"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Debt/Equity</w:t>
            </w:r>
          </w:p>
        </w:tc>
        <w:tc>
          <w:tcPr>
            <w:tcW w:w="5500" w:type="dxa"/>
            <w:tcBorders>
              <w:top w:val="nil"/>
              <w:left w:val="nil"/>
              <w:bottom w:val="nil"/>
              <w:right w:val="nil"/>
            </w:tcBorders>
            <w:shd w:val="clear" w:color="FFFFFF" w:fill="FFFFFF"/>
            <w:noWrap/>
            <w:vAlign w:val="bottom"/>
            <w:hideMark/>
          </w:tcPr>
          <w:p w14:paraId="23477A6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Ratio of debt to shareholder equity.</w:t>
            </w:r>
          </w:p>
        </w:tc>
        <w:tc>
          <w:tcPr>
            <w:tcW w:w="1032" w:type="dxa"/>
            <w:tcBorders>
              <w:top w:val="nil"/>
              <w:left w:val="nil"/>
              <w:bottom w:val="nil"/>
              <w:right w:val="nil"/>
            </w:tcBorders>
            <w:shd w:val="clear" w:color="FFFFFF" w:fill="FFFFFF"/>
            <w:noWrap/>
            <w:vAlign w:val="bottom"/>
            <w:hideMark/>
          </w:tcPr>
          <w:p w14:paraId="082F54C1"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034D806E" w14:textId="77777777" w:rsidTr="00135F9A">
        <w:trPr>
          <w:trHeight w:val="300"/>
        </w:trPr>
        <w:tc>
          <w:tcPr>
            <w:tcW w:w="1580" w:type="dxa"/>
            <w:tcBorders>
              <w:top w:val="nil"/>
              <w:left w:val="nil"/>
              <w:bottom w:val="nil"/>
              <w:right w:val="nil"/>
            </w:tcBorders>
            <w:shd w:val="clear" w:color="FFFFFF" w:fill="FFFFFF"/>
            <w:noWrap/>
            <w:vAlign w:val="bottom"/>
            <w:hideMark/>
          </w:tcPr>
          <w:p w14:paraId="33B26AE1"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ROE</w:t>
            </w:r>
          </w:p>
        </w:tc>
        <w:tc>
          <w:tcPr>
            <w:tcW w:w="5500" w:type="dxa"/>
            <w:tcBorders>
              <w:top w:val="nil"/>
              <w:left w:val="nil"/>
              <w:bottom w:val="nil"/>
              <w:right w:val="nil"/>
            </w:tcBorders>
            <w:shd w:val="clear" w:color="FFFFFF" w:fill="FFFFFF"/>
            <w:noWrap/>
            <w:vAlign w:val="bottom"/>
            <w:hideMark/>
          </w:tcPr>
          <w:p w14:paraId="5EBB0185"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Return on Equity.</w:t>
            </w:r>
          </w:p>
        </w:tc>
        <w:tc>
          <w:tcPr>
            <w:tcW w:w="1032" w:type="dxa"/>
            <w:tcBorders>
              <w:top w:val="nil"/>
              <w:left w:val="nil"/>
              <w:bottom w:val="nil"/>
              <w:right w:val="nil"/>
            </w:tcBorders>
            <w:shd w:val="clear" w:color="FFFFFF" w:fill="FFFFFF"/>
            <w:noWrap/>
            <w:vAlign w:val="bottom"/>
            <w:hideMark/>
          </w:tcPr>
          <w:p w14:paraId="4736259B"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CCDC4C6" w14:textId="77777777" w:rsidTr="00135F9A">
        <w:trPr>
          <w:trHeight w:val="300"/>
        </w:trPr>
        <w:tc>
          <w:tcPr>
            <w:tcW w:w="1580" w:type="dxa"/>
            <w:tcBorders>
              <w:top w:val="nil"/>
              <w:left w:val="nil"/>
              <w:bottom w:val="nil"/>
              <w:right w:val="nil"/>
            </w:tcBorders>
            <w:shd w:val="clear" w:color="FFFFFF" w:fill="FFFFFF"/>
            <w:noWrap/>
            <w:vAlign w:val="bottom"/>
            <w:hideMark/>
          </w:tcPr>
          <w:p w14:paraId="4F44BCA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ROA</w:t>
            </w:r>
          </w:p>
        </w:tc>
        <w:tc>
          <w:tcPr>
            <w:tcW w:w="5500" w:type="dxa"/>
            <w:tcBorders>
              <w:top w:val="nil"/>
              <w:left w:val="nil"/>
              <w:bottom w:val="nil"/>
              <w:right w:val="nil"/>
            </w:tcBorders>
            <w:shd w:val="clear" w:color="FFFFFF" w:fill="FFFFFF"/>
            <w:noWrap/>
            <w:vAlign w:val="bottom"/>
            <w:hideMark/>
          </w:tcPr>
          <w:p w14:paraId="1B05169A"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Return on Assets.</w:t>
            </w:r>
          </w:p>
        </w:tc>
        <w:tc>
          <w:tcPr>
            <w:tcW w:w="1032" w:type="dxa"/>
            <w:tcBorders>
              <w:top w:val="nil"/>
              <w:left w:val="nil"/>
              <w:bottom w:val="nil"/>
              <w:right w:val="nil"/>
            </w:tcBorders>
            <w:shd w:val="clear" w:color="FFFFFF" w:fill="FFFFFF"/>
            <w:noWrap/>
            <w:vAlign w:val="bottom"/>
            <w:hideMark/>
          </w:tcPr>
          <w:p w14:paraId="2D40DF93"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2222036" w14:textId="77777777" w:rsidTr="00135F9A">
        <w:trPr>
          <w:trHeight w:val="300"/>
        </w:trPr>
        <w:tc>
          <w:tcPr>
            <w:tcW w:w="1580" w:type="dxa"/>
            <w:tcBorders>
              <w:top w:val="nil"/>
              <w:left w:val="nil"/>
              <w:bottom w:val="nil"/>
              <w:right w:val="nil"/>
            </w:tcBorders>
            <w:shd w:val="clear" w:color="FFFFFF" w:fill="FFFFFF"/>
            <w:noWrap/>
            <w:vAlign w:val="bottom"/>
            <w:hideMark/>
          </w:tcPr>
          <w:p w14:paraId="6D02A68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Profit Margin</w:t>
            </w:r>
          </w:p>
        </w:tc>
        <w:tc>
          <w:tcPr>
            <w:tcW w:w="5500" w:type="dxa"/>
            <w:tcBorders>
              <w:top w:val="nil"/>
              <w:left w:val="nil"/>
              <w:bottom w:val="nil"/>
              <w:right w:val="nil"/>
            </w:tcBorders>
            <w:shd w:val="clear" w:color="FFFFFF" w:fill="FFFFFF"/>
            <w:noWrap/>
            <w:vAlign w:val="bottom"/>
            <w:hideMark/>
          </w:tcPr>
          <w:p w14:paraId="19BACD7A"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Percentage of revenue that becomes profit.</w:t>
            </w:r>
          </w:p>
        </w:tc>
        <w:tc>
          <w:tcPr>
            <w:tcW w:w="1032" w:type="dxa"/>
            <w:tcBorders>
              <w:top w:val="nil"/>
              <w:left w:val="nil"/>
              <w:bottom w:val="nil"/>
              <w:right w:val="nil"/>
            </w:tcBorders>
            <w:shd w:val="clear" w:color="FFFFFF" w:fill="FFFFFF"/>
            <w:noWrap/>
            <w:vAlign w:val="bottom"/>
            <w:hideMark/>
          </w:tcPr>
          <w:p w14:paraId="2E698BBA"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7FA6DF3B" w14:textId="77777777" w:rsidTr="00135F9A">
        <w:trPr>
          <w:trHeight w:val="300"/>
        </w:trPr>
        <w:tc>
          <w:tcPr>
            <w:tcW w:w="1580" w:type="dxa"/>
            <w:tcBorders>
              <w:top w:val="nil"/>
              <w:left w:val="nil"/>
              <w:bottom w:val="nil"/>
              <w:right w:val="nil"/>
            </w:tcBorders>
            <w:shd w:val="clear" w:color="FFFFFF" w:fill="FFFFFF"/>
            <w:noWrap/>
            <w:vAlign w:val="bottom"/>
            <w:hideMark/>
          </w:tcPr>
          <w:p w14:paraId="123A6F97"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FCF Gr</w:t>
            </w:r>
          </w:p>
        </w:tc>
        <w:tc>
          <w:tcPr>
            <w:tcW w:w="5500" w:type="dxa"/>
            <w:tcBorders>
              <w:top w:val="nil"/>
              <w:left w:val="nil"/>
              <w:bottom w:val="nil"/>
              <w:right w:val="nil"/>
            </w:tcBorders>
            <w:shd w:val="clear" w:color="FFFFFF" w:fill="FFFFFF"/>
            <w:noWrap/>
            <w:vAlign w:val="bottom"/>
            <w:hideMark/>
          </w:tcPr>
          <w:p w14:paraId="66D7C1A1"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Free Cash Flow Growth.</w:t>
            </w:r>
          </w:p>
        </w:tc>
        <w:tc>
          <w:tcPr>
            <w:tcW w:w="1032" w:type="dxa"/>
            <w:tcBorders>
              <w:top w:val="nil"/>
              <w:left w:val="nil"/>
              <w:bottom w:val="nil"/>
              <w:right w:val="nil"/>
            </w:tcBorders>
            <w:shd w:val="clear" w:color="FFFFFF" w:fill="FFFFFF"/>
            <w:noWrap/>
            <w:vAlign w:val="bottom"/>
            <w:hideMark/>
          </w:tcPr>
          <w:p w14:paraId="7E2C2C27"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49BA4FCD" w14:textId="77777777" w:rsidTr="00135F9A">
        <w:trPr>
          <w:trHeight w:val="300"/>
        </w:trPr>
        <w:tc>
          <w:tcPr>
            <w:tcW w:w="1580" w:type="dxa"/>
            <w:tcBorders>
              <w:top w:val="nil"/>
              <w:left w:val="nil"/>
              <w:bottom w:val="nil"/>
              <w:right w:val="nil"/>
            </w:tcBorders>
            <w:shd w:val="clear" w:color="FFFFFF" w:fill="FFFFFF"/>
            <w:noWrap/>
            <w:vAlign w:val="bottom"/>
            <w:hideMark/>
          </w:tcPr>
          <w:p w14:paraId="3FCEDF6F"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EBITDA Gr</w:t>
            </w:r>
          </w:p>
        </w:tc>
        <w:tc>
          <w:tcPr>
            <w:tcW w:w="5500" w:type="dxa"/>
            <w:tcBorders>
              <w:top w:val="nil"/>
              <w:left w:val="nil"/>
              <w:bottom w:val="nil"/>
              <w:right w:val="nil"/>
            </w:tcBorders>
            <w:shd w:val="clear" w:color="FFFFFF" w:fill="FFFFFF"/>
            <w:noWrap/>
            <w:vAlign w:val="bottom"/>
            <w:hideMark/>
          </w:tcPr>
          <w:p w14:paraId="7E5E68AE"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EBITDA Growth.</w:t>
            </w:r>
          </w:p>
        </w:tc>
        <w:tc>
          <w:tcPr>
            <w:tcW w:w="1032" w:type="dxa"/>
            <w:tcBorders>
              <w:top w:val="nil"/>
              <w:left w:val="nil"/>
              <w:bottom w:val="nil"/>
              <w:right w:val="nil"/>
            </w:tcBorders>
            <w:shd w:val="clear" w:color="FFFFFF" w:fill="FFFFFF"/>
            <w:noWrap/>
            <w:vAlign w:val="bottom"/>
            <w:hideMark/>
          </w:tcPr>
          <w:p w14:paraId="06E2E6BB"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42213C0" w14:textId="77777777" w:rsidTr="00135F9A">
        <w:trPr>
          <w:trHeight w:val="300"/>
        </w:trPr>
        <w:tc>
          <w:tcPr>
            <w:tcW w:w="1580" w:type="dxa"/>
            <w:tcBorders>
              <w:top w:val="nil"/>
              <w:left w:val="nil"/>
              <w:bottom w:val="nil"/>
              <w:right w:val="nil"/>
            </w:tcBorders>
            <w:shd w:val="clear" w:color="FFFFFF" w:fill="FFFFFF"/>
            <w:noWrap/>
            <w:vAlign w:val="bottom"/>
            <w:hideMark/>
          </w:tcPr>
          <w:p w14:paraId="0B944A5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Net Inc Gr</w:t>
            </w:r>
          </w:p>
        </w:tc>
        <w:tc>
          <w:tcPr>
            <w:tcW w:w="5500" w:type="dxa"/>
            <w:tcBorders>
              <w:top w:val="nil"/>
              <w:left w:val="nil"/>
              <w:bottom w:val="nil"/>
              <w:right w:val="nil"/>
            </w:tcBorders>
            <w:shd w:val="clear" w:color="FFFFFF" w:fill="FFFFFF"/>
            <w:noWrap/>
            <w:vAlign w:val="bottom"/>
            <w:hideMark/>
          </w:tcPr>
          <w:p w14:paraId="52F4771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Net Income Growth.</w:t>
            </w:r>
          </w:p>
        </w:tc>
        <w:tc>
          <w:tcPr>
            <w:tcW w:w="1032" w:type="dxa"/>
            <w:tcBorders>
              <w:top w:val="nil"/>
              <w:left w:val="nil"/>
              <w:bottom w:val="nil"/>
              <w:right w:val="nil"/>
            </w:tcBorders>
            <w:shd w:val="clear" w:color="FFFFFF" w:fill="FFFFFF"/>
            <w:noWrap/>
            <w:vAlign w:val="bottom"/>
            <w:hideMark/>
          </w:tcPr>
          <w:p w14:paraId="0788BF5D"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B97CED1" w14:textId="77777777" w:rsidTr="00135F9A">
        <w:trPr>
          <w:trHeight w:val="300"/>
        </w:trPr>
        <w:tc>
          <w:tcPr>
            <w:tcW w:w="1580" w:type="dxa"/>
            <w:tcBorders>
              <w:top w:val="nil"/>
              <w:left w:val="nil"/>
              <w:bottom w:val="nil"/>
              <w:right w:val="nil"/>
            </w:tcBorders>
            <w:shd w:val="clear" w:color="FFFFFF" w:fill="FFFFFF"/>
            <w:noWrap/>
            <w:vAlign w:val="bottom"/>
            <w:hideMark/>
          </w:tcPr>
          <w:p w14:paraId="4A5C72B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GDP CYOY Index</w:t>
            </w:r>
          </w:p>
        </w:tc>
        <w:tc>
          <w:tcPr>
            <w:tcW w:w="5500" w:type="dxa"/>
            <w:tcBorders>
              <w:top w:val="nil"/>
              <w:left w:val="nil"/>
              <w:bottom w:val="nil"/>
              <w:right w:val="nil"/>
            </w:tcBorders>
            <w:shd w:val="clear" w:color="FFFFFF" w:fill="FFFFFF"/>
            <w:noWrap/>
            <w:vAlign w:val="bottom"/>
            <w:hideMark/>
          </w:tcPr>
          <w:p w14:paraId="57AA62C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GDP Year-over-Year Index.</w:t>
            </w:r>
          </w:p>
        </w:tc>
        <w:tc>
          <w:tcPr>
            <w:tcW w:w="1032" w:type="dxa"/>
            <w:tcBorders>
              <w:top w:val="nil"/>
              <w:left w:val="nil"/>
              <w:bottom w:val="nil"/>
              <w:right w:val="nil"/>
            </w:tcBorders>
            <w:shd w:val="clear" w:color="FFFFFF" w:fill="FFFFFF"/>
            <w:noWrap/>
            <w:vAlign w:val="bottom"/>
            <w:hideMark/>
          </w:tcPr>
          <w:p w14:paraId="3E9D1768"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4858B00A" w14:textId="77777777" w:rsidTr="00135F9A">
        <w:trPr>
          <w:trHeight w:val="300"/>
        </w:trPr>
        <w:tc>
          <w:tcPr>
            <w:tcW w:w="1580" w:type="dxa"/>
            <w:tcBorders>
              <w:top w:val="nil"/>
              <w:left w:val="nil"/>
              <w:bottom w:val="nil"/>
              <w:right w:val="nil"/>
            </w:tcBorders>
            <w:shd w:val="clear" w:color="FFFFFF" w:fill="FFFFFF"/>
            <w:noWrap/>
            <w:vAlign w:val="bottom"/>
            <w:hideMark/>
          </w:tcPr>
          <w:p w14:paraId="79E6003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CPI YOY Index</w:t>
            </w:r>
          </w:p>
        </w:tc>
        <w:tc>
          <w:tcPr>
            <w:tcW w:w="5500" w:type="dxa"/>
            <w:tcBorders>
              <w:top w:val="nil"/>
              <w:left w:val="nil"/>
              <w:bottom w:val="nil"/>
              <w:right w:val="nil"/>
            </w:tcBorders>
            <w:shd w:val="clear" w:color="FFFFFF" w:fill="FFFFFF"/>
            <w:noWrap/>
            <w:vAlign w:val="bottom"/>
            <w:hideMark/>
          </w:tcPr>
          <w:p w14:paraId="07A23098"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Consumer Price Index Year-over-Year.</w:t>
            </w:r>
          </w:p>
        </w:tc>
        <w:tc>
          <w:tcPr>
            <w:tcW w:w="1032" w:type="dxa"/>
            <w:tcBorders>
              <w:top w:val="nil"/>
              <w:left w:val="nil"/>
              <w:bottom w:val="nil"/>
              <w:right w:val="nil"/>
            </w:tcBorders>
            <w:shd w:val="clear" w:color="FFFFFF" w:fill="FFFFFF"/>
            <w:noWrap/>
            <w:vAlign w:val="bottom"/>
            <w:hideMark/>
          </w:tcPr>
          <w:p w14:paraId="742EF42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3A76E202" w14:textId="77777777" w:rsidTr="00135F9A">
        <w:trPr>
          <w:trHeight w:val="300"/>
        </w:trPr>
        <w:tc>
          <w:tcPr>
            <w:tcW w:w="1580" w:type="dxa"/>
            <w:tcBorders>
              <w:top w:val="nil"/>
              <w:left w:val="nil"/>
              <w:bottom w:val="nil"/>
              <w:right w:val="nil"/>
            </w:tcBorders>
            <w:shd w:val="clear" w:color="FFFFFF" w:fill="FFFFFF"/>
            <w:noWrap/>
            <w:vAlign w:val="bottom"/>
            <w:hideMark/>
          </w:tcPr>
          <w:p w14:paraId="0D665AD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VIX Index</w:t>
            </w:r>
          </w:p>
        </w:tc>
        <w:tc>
          <w:tcPr>
            <w:tcW w:w="5500" w:type="dxa"/>
            <w:tcBorders>
              <w:top w:val="nil"/>
              <w:left w:val="nil"/>
              <w:bottom w:val="nil"/>
              <w:right w:val="nil"/>
            </w:tcBorders>
            <w:shd w:val="clear" w:color="FFFFFF" w:fill="FFFFFF"/>
            <w:noWrap/>
            <w:vAlign w:val="bottom"/>
            <w:hideMark/>
          </w:tcPr>
          <w:p w14:paraId="2AB85AA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Volatility Index.</w:t>
            </w:r>
          </w:p>
        </w:tc>
        <w:tc>
          <w:tcPr>
            <w:tcW w:w="1032" w:type="dxa"/>
            <w:tcBorders>
              <w:top w:val="nil"/>
              <w:left w:val="nil"/>
              <w:bottom w:val="nil"/>
              <w:right w:val="nil"/>
            </w:tcBorders>
            <w:shd w:val="clear" w:color="FFFFFF" w:fill="FFFFFF"/>
            <w:noWrap/>
            <w:vAlign w:val="bottom"/>
            <w:hideMark/>
          </w:tcPr>
          <w:p w14:paraId="7D79888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7BB013C" w14:textId="77777777" w:rsidTr="00135F9A">
        <w:trPr>
          <w:trHeight w:val="300"/>
        </w:trPr>
        <w:tc>
          <w:tcPr>
            <w:tcW w:w="1580" w:type="dxa"/>
            <w:tcBorders>
              <w:top w:val="nil"/>
              <w:left w:val="nil"/>
              <w:bottom w:val="nil"/>
              <w:right w:val="nil"/>
            </w:tcBorders>
            <w:shd w:val="clear" w:color="FFFFFF" w:fill="FFFFFF"/>
            <w:noWrap/>
            <w:vAlign w:val="bottom"/>
            <w:hideMark/>
          </w:tcPr>
          <w:p w14:paraId="7DC9271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 xml:space="preserve">Div </w:t>
            </w:r>
            <w:proofErr w:type="spellStart"/>
            <w:r w:rsidRPr="00135F9A">
              <w:rPr>
                <w:rFonts w:ascii="Calibri" w:eastAsia="Times New Roman" w:hAnsi="Calibri" w:cs="Calibri"/>
                <w:color w:val="000000"/>
                <w:kern w:val="0"/>
                <w:sz w:val="22"/>
                <w:szCs w:val="22"/>
                <w14:ligatures w14:val="none"/>
              </w:rPr>
              <w:t>Yld</w:t>
            </w:r>
            <w:proofErr w:type="spellEnd"/>
          </w:p>
        </w:tc>
        <w:tc>
          <w:tcPr>
            <w:tcW w:w="5500" w:type="dxa"/>
            <w:tcBorders>
              <w:top w:val="nil"/>
              <w:left w:val="nil"/>
              <w:bottom w:val="nil"/>
              <w:right w:val="nil"/>
            </w:tcBorders>
            <w:shd w:val="clear" w:color="FFFFFF" w:fill="FFFFFF"/>
            <w:noWrap/>
            <w:vAlign w:val="bottom"/>
            <w:hideMark/>
          </w:tcPr>
          <w:p w14:paraId="28ED785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Dividend Yield.</w:t>
            </w:r>
          </w:p>
        </w:tc>
        <w:tc>
          <w:tcPr>
            <w:tcW w:w="1032" w:type="dxa"/>
            <w:tcBorders>
              <w:top w:val="nil"/>
              <w:left w:val="nil"/>
              <w:bottom w:val="nil"/>
              <w:right w:val="nil"/>
            </w:tcBorders>
            <w:shd w:val="clear" w:color="FFFFFF" w:fill="FFFFFF"/>
            <w:noWrap/>
            <w:vAlign w:val="bottom"/>
            <w:hideMark/>
          </w:tcPr>
          <w:p w14:paraId="392DA90C"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7DA1443" w14:textId="77777777" w:rsidTr="00135F9A">
        <w:trPr>
          <w:trHeight w:val="300"/>
        </w:trPr>
        <w:tc>
          <w:tcPr>
            <w:tcW w:w="1580" w:type="dxa"/>
            <w:tcBorders>
              <w:top w:val="nil"/>
              <w:left w:val="nil"/>
              <w:bottom w:val="nil"/>
              <w:right w:val="nil"/>
            </w:tcBorders>
            <w:shd w:val="clear" w:color="FFFFFF" w:fill="FFFFFF"/>
            <w:noWrap/>
            <w:vAlign w:val="bottom"/>
            <w:hideMark/>
          </w:tcPr>
          <w:p w14:paraId="4C2B266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Div Pay Ratio</w:t>
            </w:r>
          </w:p>
        </w:tc>
        <w:tc>
          <w:tcPr>
            <w:tcW w:w="5500" w:type="dxa"/>
            <w:tcBorders>
              <w:top w:val="nil"/>
              <w:left w:val="nil"/>
              <w:bottom w:val="nil"/>
              <w:right w:val="nil"/>
            </w:tcBorders>
            <w:shd w:val="clear" w:color="FFFFFF" w:fill="FFFFFF"/>
            <w:noWrap/>
            <w:vAlign w:val="bottom"/>
            <w:hideMark/>
          </w:tcPr>
          <w:p w14:paraId="2E6CFB76"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Dividend Payout Ratio.</w:t>
            </w:r>
          </w:p>
        </w:tc>
        <w:tc>
          <w:tcPr>
            <w:tcW w:w="1032" w:type="dxa"/>
            <w:tcBorders>
              <w:top w:val="nil"/>
              <w:left w:val="nil"/>
              <w:bottom w:val="nil"/>
              <w:right w:val="nil"/>
            </w:tcBorders>
            <w:shd w:val="clear" w:color="FFFFFF" w:fill="FFFFFF"/>
            <w:noWrap/>
            <w:vAlign w:val="bottom"/>
            <w:hideMark/>
          </w:tcPr>
          <w:p w14:paraId="25F7A0A1"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5977464" w14:textId="77777777" w:rsidTr="00135F9A">
        <w:trPr>
          <w:trHeight w:val="300"/>
        </w:trPr>
        <w:tc>
          <w:tcPr>
            <w:tcW w:w="1580" w:type="dxa"/>
            <w:tcBorders>
              <w:top w:val="nil"/>
              <w:left w:val="nil"/>
              <w:bottom w:val="nil"/>
              <w:right w:val="nil"/>
            </w:tcBorders>
            <w:shd w:val="clear" w:color="FFFFFF" w:fill="FFFFFF"/>
            <w:noWrap/>
            <w:vAlign w:val="bottom"/>
            <w:hideMark/>
          </w:tcPr>
          <w:p w14:paraId="744804A9"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Free CF</w:t>
            </w:r>
          </w:p>
        </w:tc>
        <w:tc>
          <w:tcPr>
            <w:tcW w:w="5500" w:type="dxa"/>
            <w:tcBorders>
              <w:top w:val="nil"/>
              <w:left w:val="nil"/>
              <w:bottom w:val="nil"/>
              <w:right w:val="nil"/>
            </w:tcBorders>
            <w:shd w:val="clear" w:color="FFFFFF" w:fill="FFFFFF"/>
            <w:noWrap/>
            <w:vAlign w:val="bottom"/>
            <w:hideMark/>
          </w:tcPr>
          <w:p w14:paraId="09E7BBB0"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Free Cash Flow.</w:t>
            </w:r>
          </w:p>
        </w:tc>
        <w:tc>
          <w:tcPr>
            <w:tcW w:w="1032" w:type="dxa"/>
            <w:tcBorders>
              <w:top w:val="nil"/>
              <w:left w:val="nil"/>
              <w:bottom w:val="nil"/>
              <w:right w:val="nil"/>
            </w:tcBorders>
            <w:shd w:val="clear" w:color="FFFFFF" w:fill="FFFFFF"/>
            <w:noWrap/>
            <w:vAlign w:val="bottom"/>
            <w:hideMark/>
          </w:tcPr>
          <w:p w14:paraId="1A17FED2"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r w:rsidRPr="00135F9A">
              <w:rPr>
                <w:rFonts w:ascii="Calibri" w:eastAsia="Times New Roman" w:hAnsi="Calibri" w:cs="Calibri"/>
                <w:color w:val="000000"/>
                <w:kern w:val="0"/>
                <w:sz w:val="22"/>
                <w:szCs w:val="22"/>
                <w14:ligatures w14:val="none"/>
              </w:rPr>
              <w:t>Numeric</w:t>
            </w:r>
          </w:p>
        </w:tc>
      </w:tr>
      <w:tr w:rsidR="00135F9A" w:rsidRPr="00135F9A" w14:paraId="223B7DB5" w14:textId="77777777" w:rsidTr="00135F9A">
        <w:trPr>
          <w:trHeight w:val="300"/>
        </w:trPr>
        <w:tc>
          <w:tcPr>
            <w:tcW w:w="1580" w:type="dxa"/>
            <w:tcBorders>
              <w:top w:val="nil"/>
              <w:left w:val="nil"/>
              <w:bottom w:val="nil"/>
              <w:right w:val="nil"/>
            </w:tcBorders>
            <w:shd w:val="clear" w:color="auto" w:fill="auto"/>
            <w:noWrap/>
            <w:vAlign w:val="bottom"/>
            <w:hideMark/>
          </w:tcPr>
          <w:p w14:paraId="3E58D959" w14:textId="77777777" w:rsidR="00135F9A" w:rsidRPr="00135F9A" w:rsidRDefault="00135F9A" w:rsidP="00135F9A">
            <w:pPr>
              <w:spacing w:after="0" w:line="240" w:lineRule="auto"/>
              <w:rPr>
                <w:rFonts w:ascii="Calibri" w:eastAsia="Times New Roman" w:hAnsi="Calibri" w:cs="Calibri"/>
                <w:color w:val="000000"/>
                <w:kern w:val="0"/>
                <w:sz w:val="22"/>
                <w:szCs w:val="22"/>
                <w14:ligatures w14:val="none"/>
              </w:rPr>
            </w:pPr>
          </w:p>
        </w:tc>
        <w:tc>
          <w:tcPr>
            <w:tcW w:w="5500" w:type="dxa"/>
            <w:tcBorders>
              <w:top w:val="nil"/>
              <w:left w:val="nil"/>
              <w:bottom w:val="nil"/>
              <w:right w:val="nil"/>
            </w:tcBorders>
            <w:shd w:val="clear" w:color="auto" w:fill="auto"/>
            <w:noWrap/>
            <w:vAlign w:val="bottom"/>
            <w:hideMark/>
          </w:tcPr>
          <w:p w14:paraId="71970DEF" w14:textId="77777777" w:rsidR="00135F9A" w:rsidRPr="00135F9A" w:rsidRDefault="00135F9A" w:rsidP="00135F9A">
            <w:pPr>
              <w:spacing w:after="0" w:line="240" w:lineRule="auto"/>
              <w:rPr>
                <w:rFonts w:ascii="Times New Roman" w:eastAsia="Times New Roman" w:hAnsi="Times New Roman" w:cs="Times New Roman"/>
                <w:kern w:val="0"/>
                <w:sz w:val="20"/>
                <w:szCs w:val="20"/>
                <w14:ligatures w14:val="none"/>
              </w:rPr>
            </w:pPr>
          </w:p>
        </w:tc>
        <w:tc>
          <w:tcPr>
            <w:tcW w:w="1032" w:type="dxa"/>
            <w:tcBorders>
              <w:top w:val="nil"/>
              <w:left w:val="nil"/>
              <w:bottom w:val="nil"/>
              <w:right w:val="nil"/>
            </w:tcBorders>
            <w:shd w:val="clear" w:color="auto" w:fill="auto"/>
            <w:noWrap/>
            <w:vAlign w:val="bottom"/>
            <w:hideMark/>
          </w:tcPr>
          <w:p w14:paraId="4AFE8B86" w14:textId="77777777" w:rsidR="00135F9A" w:rsidRPr="00135F9A" w:rsidRDefault="00135F9A" w:rsidP="00135F9A">
            <w:pPr>
              <w:spacing w:after="0" w:line="240" w:lineRule="auto"/>
              <w:rPr>
                <w:rFonts w:ascii="Times New Roman" w:eastAsia="Times New Roman" w:hAnsi="Times New Roman" w:cs="Times New Roman"/>
                <w:kern w:val="0"/>
                <w:sz w:val="20"/>
                <w:szCs w:val="20"/>
                <w14:ligatures w14:val="none"/>
              </w:rPr>
            </w:pPr>
          </w:p>
        </w:tc>
      </w:tr>
    </w:tbl>
    <w:p w14:paraId="70B1B992" w14:textId="77777777" w:rsidR="007D5233" w:rsidRPr="007D5233" w:rsidRDefault="007D5233" w:rsidP="007D5233"/>
    <w:sectPr w:rsidR="007D5233" w:rsidRPr="007D5233" w:rsidSect="00653D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FA0E0" w14:textId="77777777" w:rsidR="0083216E" w:rsidRDefault="0083216E" w:rsidP="002B464E">
      <w:pPr>
        <w:spacing w:after="0" w:line="240" w:lineRule="auto"/>
      </w:pPr>
      <w:r>
        <w:separator/>
      </w:r>
    </w:p>
  </w:endnote>
  <w:endnote w:type="continuationSeparator" w:id="0">
    <w:p w14:paraId="357F5BF5" w14:textId="77777777" w:rsidR="0083216E" w:rsidRDefault="0083216E" w:rsidP="002B4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5B2F4" w14:textId="77777777" w:rsidR="0083216E" w:rsidRDefault="0083216E" w:rsidP="002B464E">
      <w:pPr>
        <w:spacing w:after="0" w:line="240" w:lineRule="auto"/>
      </w:pPr>
      <w:r>
        <w:separator/>
      </w:r>
    </w:p>
  </w:footnote>
  <w:footnote w:type="continuationSeparator" w:id="0">
    <w:p w14:paraId="1F902A2D" w14:textId="77777777" w:rsidR="0083216E" w:rsidRDefault="0083216E" w:rsidP="002B4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77B6A"/>
    <w:multiLevelType w:val="hybridMultilevel"/>
    <w:tmpl w:val="F7E2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02D71"/>
    <w:multiLevelType w:val="multilevel"/>
    <w:tmpl w:val="0C2E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8458B5"/>
    <w:multiLevelType w:val="multilevel"/>
    <w:tmpl w:val="9F74B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966">
    <w:abstractNumId w:val="0"/>
  </w:num>
  <w:num w:numId="2" w16cid:durableId="63921680">
    <w:abstractNumId w:val="2"/>
  </w:num>
  <w:num w:numId="3" w16cid:durableId="1328097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41"/>
    <w:rsid w:val="000663DE"/>
    <w:rsid w:val="00097733"/>
    <w:rsid w:val="000A7C2D"/>
    <w:rsid w:val="000B25FD"/>
    <w:rsid w:val="000E567A"/>
    <w:rsid w:val="00123C02"/>
    <w:rsid w:val="00133246"/>
    <w:rsid w:val="00135F9A"/>
    <w:rsid w:val="00150883"/>
    <w:rsid w:val="001A05C0"/>
    <w:rsid w:val="002847C9"/>
    <w:rsid w:val="002B2991"/>
    <w:rsid w:val="002B464E"/>
    <w:rsid w:val="002D4609"/>
    <w:rsid w:val="002E7013"/>
    <w:rsid w:val="00322741"/>
    <w:rsid w:val="00330B28"/>
    <w:rsid w:val="0033641E"/>
    <w:rsid w:val="00386DAE"/>
    <w:rsid w:val="003B72CB"/>
    <w:rsid w:val="004035D2"/>
    <w:rsid w:val="00412D3F"/>
    <w:rsid w:val="004268CC"/>
    <w:rsid w:val="00441D51"/>
    <w:rsid w:val="004446E7"/>
    <w:rsid w:val="005C6B30"/>
    <w:rsid w:val="00605FEE"/>
    <w:rsid w:val="00630C9D"/>
    <w:rsid w:val="00653DBC"/>
    <w:rsid w:val="006602AE"/>
    <w:rsid w:val="00666CFA"/>
    <w:rsid w:val="00676A61"/>
    <w:rsid w:val="006A32E0"/>
    <w:rsid w:val="006C01DD"/>
    <w:rsid w:val="00710A10"/>
    <w:rsid w:val="007572B7"/>
    <w:rsid w:val="007610BB"/>
    <w:rsid w:val="00790CB2"/>
    <w:rsid w:val="0079350E"/>
    <w:rsid w:val="00795F87"/>
    <w:rsid w:val="007B4999"/>
    <w:rsid w:val="007D102F"/>
    <w:rsid w:val="007D1FBF"/>
    <w:rsid w:val="007D5233"/>
    <w:rsid w:val="007F45C2"/>
    <w:rsid w:val="0083216E"/>
    <w:rsid w:val="008942C9"/>
    <w:rsid w:val="008A422E"/>
    <w:rsid w:val="008A6E1A"/>
    <w:rsid w:val="008B417B"/>
    <w:rsid w:val="008C5E76"/>
    <w:rsid w:val="009540A4"/>
    <w:rsid w:val="00966027"/>
    <w:rsid w:val="00973774"/>
    <w:rsid w:val="009972DD"/>
    <w:rsid w:val="009B54BC"/>
    <w:rsid w:val="00A125C2"/>
    <w:rsid w:val="00A26E29"/>
    <w:rsid w:val="00AC1815"/>
    <w:rsid w:val="00AF1E0E"/>
    <w:rsid w:val="00AF4881"/>
    <w:rsid w:val="00B327B3"/>
    <w:rsid w:val="00BA2D9D"/>
    <w:rsid w:val="00BD75BE"/>
    <w:rsid w:val="00BF77AC"/>
    <w:rsid w:val="00C74E13"/>
    <w:rsid w:val="00C81EF6"/>
    <w:rsid w:val="00D26663"/>
    <w:rsid w:val="00DA0B2D"/>
    <w:rsid w:val="00DA199E"/>
    <w:rsid w:val="00DC4701"/>
    <w:rsid w:val="00DD7BCA"/>
    <w:rsid w:val="00E523C1"/>
    <w:rsid w:val="00E52815"/>
    <w:rsid w:val="00E5371C"/>
    <w:rsid w:val="00E814F8"/>
    <w:rsid w:val="00EB1400"/>
    <w:rsid w:val="00EB52D8"/>
    <w:rsid w:val="00EE6499"/>
    <w:rsid w:val="00F07581"/>
    <w:rsid w:val="00F14BDD"/>
    <w:rsid w:val="00F20B78"/>
    <w:rsid w:val="00F24FAB"/>
    <w:rsid w:val="00F520AD"/>
    <w:rsid w:val="00F61761"/>
    <w:rsid w:val="00F87D12"/>
    <w:rsid w:val="00F91FE9"/>
    <w:rsid w:val="00FA26EA"/>
    <w:rsid w:val="00FE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853E"/>
  <w15:chartTrackingRefBased/>
  <w15:docId w15:val="{B6AB83D0-72CE-4B05-8370-0F189A2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5D2"/>
  </w:style>
  <w:style w:type="paragraph" w:styleId="Heading1">
    <w:name w:val="heading 1"/>
    <w:basedOn w:val="Normal"/>
    <w:next w:val="Normal"/>
    <w:link w:val="Heading1Char"/>
    <w:uiPriority w:val="9"/>
    <w:qFormat/>
    <w:rsid w:val="0032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41"/>
    <w:rPr>
      <w:rFonts w:eastAsiaTheme="majorEastAsia" w:cstheme="majorBidi"/>
      <w:color w:val="272727" w:themeColor="text1" w:themeTint="D8"/>
    </w:rPr>
  </w:style>
  <w:style w:type="paragraph" w:styleId="Title">
    <w:name w:val="Title"/>
    <w:basedOn w:val="Normal"/>
    <w:next w:val="Normal"/>
    <w:link w:val="TitleChar"/>
    <w:uiPriority w:val="10"/>
    <w:qFormat/>
    <w:rsid w:val="0032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41"/>
    <w:pPr>
      <w:spacing w:before="160"/>
      <w:jc w:val="center"/>
    </w:pPr>
    <w:rPr>
      <w:i/>
      <w:iCs/>
      <w:color w:val="404040" w:themeColor="text1" w:themeTint="BF"/>
    </w:rPr>
  </w:style>
  <w:style w:type="character" w:customStyle="1" w:styleId="QuoteChar">
    <w:name w:val="Quote Char"/>
    <w:basedOn w:val="DefaultParagraphFont"/>
    <w:link w:val="Quote"/>
    <w:uiPriority w:val="29"/>
    <w:rsid w:val="00322741"/>
    <w:rPr>
      <w:i/>
      <w:iCs/>
      <w:color w:val="404040" w:themeColor="text1" w:themeTint="BF"/>
    </w:rPr>
  </w:style>
  <w:style w:type="paragraph" w:styleId="ListParagraph">
    <w:name w:val="List Paragraph"/>
    <w:basedOn w:val="Normal"/>
    <w:uiPriority w:val="34"/>
    <w:qFormat/>
    <w:rsid w:val="00322741"/>
    <w:pPr>
      <w:ind w:left="720"/>
      <w:contextualSpacing/>
    </w:pPr>
  </w:style>
  <w:style w:type="character" w:styleId="IntenseEmphasis">
    <w:name w:val="Intense Emphasis"/>
    <w:basedOn w:val="DefaultParagraphFont"/>
    <w:uiPriority w:val="21"/>
    <w:qFormat/>
    <w:rsid w:val="00322741"/>
    <w:rPr>
      <w:i/>
      <w:iCs/>
      <w:color w:val="0F4761" w:themeColor="accent1" w:themeShade="BF"/>
    </w:rPr>
  </w:style>
  <w:style w:type="paragraph" w:styleId="IntenseQuote">
    <w:name w:val="Intense Quote"/>
    <w:basedOn w:val="Normal"/>
    <w:next w:val="Normal"/>
    <w:link w:val="IntenseQuoteChar"/>
    <w:uiPriority w:val="30"/>
    <w:qFormat/>
    <w:rsid w:val="0032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41"/>
    <w:rPr>
      <w:i/>
      <w:iCs/>
      <w:color w:val="0F4761" w:themeColor="accent1" w:themeShade="BF"/>
    </w:rPr>
  </w:style>
  <w:style w:type="character" w:styleId="IntenseReference">
    <w:name w:val="Intense Reference"/>
    <w:basedOn w:val="DefaultParagraphFont"/>
    <w:uiPriority w:val="32"/>
    <w:qFormat/>
    <w:rsid w:val="00322741"/>
    <w:rPr>
      <w:b/>
      <w:bCs/>
      <w:smallCaps/>
      <w:color w:val="0F4761" w:themeColor="accent1" w:themeShade="BF"/>
      <w:spacing w:val="5"/>
    </w:rPr>
  </w:style>
  <w:style w:type="table" w:styleId="TableGrid">
    <w:name w:val="Table Grid"/>
    <w:basedOn w:val="TableNormal"/>
    <w:uiPriority w:val="39"/>
    <w:rsid w:val="00AF1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666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B4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4E"/>
  </w:style>
  <w:style w:type="paragraph" w:styleId="Footer">
    <w:name w:val="footer"/>
    <w:basedOn w:val="Normal"/>
    <w:link w:val="FooterChar"/>
    <w:uiPriority w:val="99"/>
    <w:unhideWhenUsed/>
    <w:rsid w:val="002B4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81195">
      <w:bodyDiv w:val="1"/>
      <w:marLeft w:val="0"/>
      <w:marRight w:val="0"/>
      <w:marTop w:val="0"/>
      <w:marBottom w:val="0"/>
      <w:divBdr>
        <w:top w:val="none" w:sz="0" w:space="0" w:color="auto"/>
        <w:left w:val="none" w:sz="0" w:space="0" w:color="auto"/>
        <w:bottom w:val="none" w:sz="0" w:space="0" w:color="auto"/>
        <w:right w:val="none" w:sz="0" w:space="0" w:color="auto"/>
      </w:divBdr>
    </w:div>
    <w:div w:id="194657357">
      <w:bodyDiv w:val="1"/>
      <w:marLeft w:val="0"/>
      <w:marRight w:val="0"/>
      <w:marTop w:val="0"/>
      <w:marBottom w:val="0"/>
      <w:divBdr>
        <w:top w:val="none" w:sz="0" w:space="0" w:color="auto"/>
        <w:left w:val="none" w:sz="0" w:space="0" w:color="auto"/>
        <w:bottom w:val="none" w:sz="0" w:space="0" w:color="auto"/>
        <w:right w:val="none" w:sz="0" w:space="0" w:color="auto"/>
      </w:divBdr>
    </w:div>
    <w:div w:id="271400030">
      <w:bodyDiv w:val="1"/>
      <w:marLeft w:val="0"/>
      <w:marRight w:val="0"/>
      <w:marTop w:val="0"/>
      <w:marBottom w:val="0"/>
      <w:divBdr>
        <w:top w:val="none" w:sz="0" w:space="0" w:color="auto"/>
        <w:left w:val="none" w:sz="0" w:space="0" w:color="auto"/>
        <w:bottom w:val="none" w:sz="0" w:space="0" w:color="auto"/>
        <w:right w:val="none" w:sz="0" w:space="0" w:color="auto"/>
      </w:divBdr>
      <w:divsChild>
        <w:div w:id="1337922895">
          <w:marLeft w:val="0"/>
          <w:marRight w:val="0"/>
          <w:marTop w:val="0"/>
          <w:marBottom w:val="0"/>
          <w:divBdr>
            <w:top w:val="none" w:sz="0" w:space="0" w:color="auto"/>
            <w:left w:val="none" w:sz="0" w:space="0" w:color="auto"/>
            <w:bottom w:val="none" w:sz="0" w:space="0" w:color="auto"/>
            <w:right w:val="none" w:sz="0" w:space="0" w:color="auto"/>
          </w:divBdr>
          <w:divsChild>
            <w:div w:id="787120062">
              <w:marLeft w:val="0"/>
              <w:marRight w:val="0"/>
              <w:marTop w:val="0"/>
              <w:marBottom w:val="0"/>
              <w:divBdr>
                <w:top w:val="none" w:sz="0" w:space="0" w:color="auto"/>
                <w:left w:val="none" w:sz="0" w:space="0" w:color="auto"/>
                <w:bottom w:val="none" w:sz="0" w:space="0" w:color="auto"/>
                <w:right w:val="none" w:sz="0" w:space="0" w:color="auto"/>
              </w:divBdr>
              <w:divsChild>
                <w:div w:id="13036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40971">
      <w:bodyDiv w:val="1"/>
      <w:marLeft w:val="0"/>
      <w:marRight w:val="0"/>
      <w:marTop w:val="0"/>
      <w:marBottom w:val="0"/>
      <w:divBdr>
        <w:top w:val="none" w:sz="0" w:space="0" w:color="auto"/>
        <w:left w:val="none" w:sz="0" w:space="0" w:color="auto"/>
        <w:bottom w:val="none" w:sz="0" w:space="0" w:color="auto"/>
        <w:right w:val="none" w:sz="0" w:space="0" w:color="auto"/>
      </w:divBdr>
      <w:divsChild>
        <w:div w:id="1896039105">
          <w:marLeft w:val="0"/>
          <w:marRight w:val="0"/>
          <w:marTop w:val="0"/>
          <w:marBottom w:val="0"/>
          <w:divBdr>
            <w:top w:val="none" w:sz="0" w:space="0" w:color="auto"/>
            <w:left w:val="none" w:sz="0" w:space="0" w:color="auto"/>
            <w:bottom w:val="none" w:sz="0" w:space="0" w:color="auto"/>
            <w:right w:val="none" w:sz="0" w:space="0" w:color="auto"/>
          </w:divBdr>
          <w:divsChild>
            <w:div w:id="1215192474">
              <w:marLeft w:val="0"/>
              <w:marRight w:val="0"/>
              <w:marTop w:val="0"/>
              <w:marBottom w:val="0"/>
              <w:divBdr>
                <w:top w:val="none" w:sz="0" w:space="0" w:color="auto"/>
                <w:left w:val="none" w:sz="0" w:space="0" w:color="auto"/>
                <w:bottom w:val="none" w:sz="0" w:space="0" w:color="auto"/>
                <w:right w:val="none" w:sz="0" w:space="0" w:color="auto"/>
              </w:divBdr>
              <w:divsChild>
                <w:div w:id="4164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15009">
      <w:bodyDiv w:val="1"/>
      <w:marLeft w:val="0"/>
      <w:marRight w:val="0"/>
      <w:marTop w:val="0"/>
      <w:marBottom w:val="0"/>
      <w:divBdr>
        <w:top w:val="none" w:sz="0" w:space="0" w:color="auto"/>
        <w:left w:val="none" w:sz="0" w:space="0" w:color="auto"/>
        <w:bottom w:val="none" w:sz="0" w:space="0" w:color="auto"/>
        <w:right w:val="none" w:sz="0" w:space="0" w:color="auto"/>
      </w:divBdr>
    </w:div>
    <w:div w:id="415130505">
      <w:bodyDiv w:val="1"/>
      <w:marLeft w:val="0"/>
      <w:marRight w:val="0"/>
      <w:marTop w:val="0"/>
      <w:marBottom w:val="0"/>
      <w:divBdr>
        <w:top w:val="none" w:sz="0" w:space="0" w:color="auto"/>
        <w:left w:val="none" w:sz="0" w:space="0" w:color="auto"/>
        <w:bottom w:val="none" w:sz="0" w:space="0" w:color="auto"/>
        <w:right w:val="none" w:sz="0" w:space="0" w:color="auto"/>
      </w:divBdr>
    </w:div>
    <w:div w:id="469714371">
      <w:bodyDiv w:val="1"/>
      <w:marLeft w:val="0"/>
      <w:marRight w:val="0"/>
      <w:marTop w:val="0"/>
      <w:marBottom w:val="0"/>
      <w:divBdr>
        <w:top w:val="none" w:sz="0" w:space="0" w:color="auto"/>
        <w:left w:val="none" w:sz="0" w:space="0" w:color="auto"/>
        <w:bottom w:val="none" w:sz="0" w:space="0" w:color="auto"/>
        <w:right w:val="none" w:sz="0" w:space="0" w:color="auto"/>
      </w:divBdr>
      <w:divsChild>
        <w:div w:id="1436436439">
          <w:marLeft w:val="0"/>
          <w:marRight w:val="0"/>
          <w:marTop w:val="0"/>
          <w:marBottom w:val="0"/>
          <w:divBdr>
            <w:top w:val="none" w:sz="0" w:space="0" w:color="auto"/>
            <w:left w:val="none" w:sz="0" w:space="0" w:color="auto"/>
            <w:bottom w:val="none" w:sz="0" w:space="0" w:color="auto"/>
            <w:right w:val="none" w:sz="0" w:space="0" w:color="auto"/>
          </w:divBdr>
          <w:divsChild>
            <w:div w:id="449512785">
              <w:marLeft w:val="0"/>
              <w:marRight w:val="0"/>
              <w:marTop w:val="0"/>
              <w:marBottom w:val="0"/>
              <w:divBdr>
                <w:top w:val="none" w:sz="0" w:space="0" w:color="auto"/>
                <w:left w:val="none" w:sz="0" w:space="0" w:color="auto"/>
                <w:bottom w:val="none" w:sz="0" w:space="0" w:color="auto"/>
                <w:right w:val="none" w:sz="0" w:space="0" w:color="auto"/>
              </w:divBdr>
            </w:div>
            <w:div w:id="254828183">
              <w:marLeft w:val="0"/>
              <w:marRight w:val="0"/>
              <w:marTop w:val="0"/>
              <w:marBottom w:val="0"/>
              <w:divBdr>
                <w:top w:val="none" w:sz="0" w:space="0" w:color="auto"/>
                <w:left w:val="none" w:sz="0" w:space="0" w:color="auto"/>
                <w:bottom w:val="none" w:sz="0" w:space="0" w:color="auto"/>
                <w:right w:val="none" w:sz="0" w:space="0" w:color="auto"/>
              </w:divBdr>
            </w:div>
            <w:div w:id="20043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9193">
      <w:bodyDiv w:val="1"/>
      <w:marLeft w:val="0"/>
      <w:marRight w:val="0"/>
      <w:marTop w:val="0"/>
      <w:marBottom w:val="0"/>
      <w:divBdr>
        <w:top w:val="none" w:sz="0" w:space="0" w:color="auto"/>
        <w:left w:val="none" w:sz="0" w:space="0" w:color="auto"/>
        <w:bottom w:val="none" w:sz="0" w:space="0" w:color="auto"/>
        <w:right w:val="none" w:sz="0" w:space="0" w:color="auto"/>
      </w:divBdr>
    </w:div>
    <w:div w:id="723454040">
      <w:bodyDiv w:val="1"/>
      <w:marLeft w:val="0"/>
      <w:marRight w:val="0"/>
      <w:marTop w:val="0"/>
      <w:marBottom w:val="0"/>
      <w:divBdr>
        <w:top w:val="none" w:sz="0" w:space="0" w:color="auto"/>
        <w:left w:val="none" w:sz="0" w:space="0" w:color="auto"/>
        <w:bottom w:val="none" w:sz="0" w:space="0" w:color="auto"/>
        <w:right w:val="none" w:sz="0" w:space="0" w:color="auto"/>
      </w:divBdr>
    </w:div>
    <w:div w:id="930577686">
      <w:bodyDiv w:val="1"/>
      <w:marLeft w:val="0"/>
      <w:marRight w:val="0"/>
      <w:marTop w:val="0"/>
      <w:marBottom w:val="0"/>
      <w:divBdr>
        <w:top w:val="none" w:sz="0" w:space="0" w:color="auto"/>
        <w:left w:val="none" w:sz="0" w:space="0" w:color="auto"/>
        <w:bottom w:val="none" w:sz="0" w:space="0" w:color="auto"/>
        <w:right w:val="none" w:sz="0" w:space="0" w:color="auto"/>
      </w:divBdr>
      <w:divsChild>
        <w:div w:id="1729495892">
          <w:marLeft w:val="0"/>
          <w:marRight w:val="0"/>
          <w:marTop w:val="0"/>
          <w:marBottom w:val="0"/>
          <w:divBdr>
            <w:top w:val="none" w:sz="0" w:space="0" w:color="auto"/>
            <w:left w:val="none" w:sz="0" w:space="0" w:color="auto"/>
            <w:bottom w:val="none" w:sz="0" w:space="0" w:color="auto"/>
            <w:right w:val="none" w:sz="0" w:space="0" w:color="auto"/>
          </w:divBdr>
          <w:divsChild>
            <w:div w:id="1183056378">
              <w:marLeft w:val="0"/>
              <w:marRight w:val="0"/>
              <w:marTop w:val="0"/>
              <w:marBottom w:val="0"/>
              <w:divBdr>
                <w:top w:val="none" w:sz="0" w:space="0" w:color="auto"/>
                <w:left w:val="none" w:sz="0" w:space="0" w:color="auto"/>
                <w:bottom w:val="none" w:sz="0" w:space="0" w:color="auto"/>
                <w:right w:val="none" w:sz="0" w:space="0" w:color="auto"/>
              </w:divBdr>
              <w:divsChild>
                <w:div w:id="6916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67879">
      <w:bodyDiv w:val="1"/>
      <w:marLeft w:val="0"/>
      <w:marRight w:val="0"/>
      <w:marTop w:val="0"/>
      <w:marBottom w:val="0"/>
      <w:divBdr>
        <w:top w:val="none" w:sz="0" w:space="0" w:color="auto"/>
        <w:left w:val="none" w:sz="0" w:space="0" w:color="auto"/>
        <w:bottom w:val="none" w:sz="0" w:space="0" w:color="auto"/>
        <w:right w:val="none" w:sz="0" w:space="0" w:color="auto"/>
      </w:divBdr>
    </w:div>
    <w:div w:id="1076172003">
      <w:bodyDiv w:val="1"/>
      <w:marLeft w:val="0"/>
      <w:marRight w:val="0"/>
      <w:marTop w:val="0"/>
      <w:marBottom w:val="0"/>
      <w:divBdr>
        <w:top w:val="none" w:sz="0" w:space="0" w:color="auto"/>
        <w:left w:val="none" w:sz="0" w:space="0" w:color="auto"/>
        <w:bottom w:val="none" w:sz="0" w:space="0" w:color="auto"/>
        <w:right w:val="none" w:sz="0" w:space="0" w:color="auto"/>
      </w:divBdr>
    </w:div>
    <w:div w:id="1084228409">
      <w:bodyDiv w:val="1"/>
      <w:marLeft w:val="0"/>
      <w:marRight w:val="0"/>
      <w:marTop w:val="0"/>
      <w:marBottom w:val="0"/>
      <w:divBdr>
        <w:top w:val="none" w:sz="0" w:space="0" w:color="auto"/>
        <w:left w:val="none" w:sz="0" w:space="0" w:color="auto"/>
        <w:bottom w:val="none" w:sz="0" w:space="0" w:color="auto"/>
        <w:right w:val="none" w:sz="0" w:space="0" w:color="auto"/>
      </w:divBdr>
    </w:div>
    <w:div w:id="1228569718">
      <w:bodyDiv w:val="1"/>
      <w:marLeft w:val="0"/>
      <w:marRight w:val="0"/>
      <w:marTop w:val="0"/>
      <w:marBottom w:val="0"/>
      <w:divBdr>
        <w:top w:val="none" w:sz="0" w:space="0" w:color="auto"/>
        <w:left w:val="none" w:sz="0" w:space="0" w:color="auto"/>
        <w:bottom w:val="none" w:sz="0" w:space="0" w:color="auto"/>
        <w:right w:val="none" w:sz="0" w:space="0" w:color="auto"/>
      </w:divBdr>
    </w:div>
    <w:div w:id="1263609825">
      <w:bodyDiv w:val="1"/>
      <w:marLeft w:val="0"/>
      <w:marRight w:val="0"/>
      <w:marTop w:val="0"/>
      <w:marBottom w:val="0"/>
      <w:divBdr>
        <w:top w:val="none" w:sz="0" w:space="0" w:color="auto"/>
        <w:left w:val="none" w:sz="0" w:space="0" w:color="auto"/>
        <w:bottom w:val="none" w:sz="0" w:space="0" w:color="auto"/>
        <w:right w:val="none" w:sz="0" w:space="0" w:color="auto"/>
      </w:divBdr>
    </w:div>
    <w:div w:id="1361513025">
      <w:bodyDiv w:val="1"/>
      <w:marLeft w:val="0"/>
      <w:marRight w:val="0"/>
      <w:marTop w:val="0"/>
      <w:marBottom w:val="0"/>
      <w:divBdr>
        <w:top w:val="none" w:sz="0" w:space="0" w:color="auto"/>
        <w:left w:val="none" w:sz="0" w:space="0" w:color="auto"/>
        <w:bottom w:val="none" w:sz="0" w:space="0" w:color="auto"/>
        <w:right w:val="none" w:sz="0" w:space="0" w:color="auto"/>
      </w:divBdr>
    </w:div>
    <w:div w:id="1366908728">
      <w:bodyDiv w:val="1"/>
      <w:marLeft w:val="0"/>
      <w:marRight w:val="0"/>
      <w:marTop w:val="0"/>
      <w:marBottom w:val="0"/>
      <w:divBdr>
        <w:top w:val="none" w:sz="0" w:space="0" w:color="auto"/>
        <w:left w:val="none" w:sz="0" w:space="0" w:color="auto"/>
        <w:bottom w:val="none" w:sz="0" w:space="0" w:color="auto"/>
        <w:right w:val="none" w:sz="0" w:space="0" w:color="auto"/>
      </w:divBdr>
    </w:div>
    <w:div w:id="1552962009">
      <w:bodyDiv w:val="1"/>
      <w:marLeft w:val="0"/>
      <w:marRight w:val="0"/>
      <w:marTop w:val="0"/>
      <w:marBottom w:val="0"/>
      <w:divBdr>
        <w:top w:val="none" w:sz="0" w:space="0" w:color="auto"/>
        <w:left w:val="none" w:sz="0" w:space="0" w:color="auto"/>
        <w:bottom w:val="none" w:sz="0" w:space="0" w:color="auto"/>
        <w:right w:val="none" w:sz="0" w:space="0" w:color="auto"/>
      </w:divBdr>
    </w:div>
    <w:div w:id="1618297545">
      <w:bodyDiv w:val="1"/>
      <w:marLeft w:val="0"/>
      <w:marRight w:val="0"/>
      <w:marTop w:val="0"/>
      <w:marBottom w:val="0"/>
      <w:divBdr>
        <w:top w:val="none" w:sz="0" w:space="0" w:color="auto"/>
        <w:left w:val="none" w:sz="0" w:space="0" w:color="auto"/>
        <w:bottom w:val="none" w:sz="0" w:space="0" w:color="auto"/>
        <w:right w:val="none" w:sz="0" w:space="0" w:color="auto"/>
      </w:divBdr>
      <w:divsChild>
        <w:div w:id="322469159">
          <w:marLeft w:val="0"/>
          <w:marRight w:val="0"/>
          <w:marTop w:val="0"/>
          <w:marBottom w:val="0"/>
          <w:divBdr>
            <w:top w:val="none" w:sz="0" w:space="0" w:color="auto"/>
            <w:left w:val="none" w:sz="0" w:space="0" w:color="auto"/>
            <w:bottom w:val="none" w:sz="0" w:space="0" w:color="auto"/>
            <w:right w:val="none" w:sz="0" w:space="0" w:color="auto"/>
          </w:divBdr>
          <w:divsChild>
            <w:div w:id="1599170074">
              <w:marLeft w:val="0"/>
              <w:marRight w:val="0"/>
              <w:marTop w:val="0"/>
              <w:marBottom w:val="0"/>
              <w:divBdr>
                <w:top w:val="none" w:sz="0" w:space="0" w:color="auto"/>
                <w:left w:val="none" w:sz="0" w:space="0" w:color="auto"/>
                <w:bottom w:val="none" w:sz="0" w:space="0" w:color="auto"/>
                <w:right w:val="none" w:sz="0" w:space="0" w:color="auto"/>
              </w:divBdr>
              <w:divsChild>
                <w:div w:id="10340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8816">
      <w:bodyDiv w:val="1"/>
      <w:marLeft w:val="0"/>
      <w:marRight w:val="0"/>
      <w:marTop w:val="0"/>
      <w:marBottom w:val="0"/>
      <w:divBdr>
        <w:top w:val="none" w:sz="0" w:space="0" w:color="auto"/>
        <w:left w:val="none" w:sz="0" w:space="0" w:color="auto"/>
        <w:bottom w:val="none" w:sz="0" w:space="0" w:color="auto"/>
        <w:right w:val="none" w:sz="0" w:space="0" w:color="auto"/>
      </w:divBdr>
    </w:div>
    <w:div w:id="1752698564">
      <w:bodyDiv w:val="1"/>
      <w:marLeft w:val="0"/>
      <w:marRight w:val="0"/>
      <w:marTop w:val="0"/>
      <w:marBottom w:val="0"/>
      <w:divBdr>
        <w:top w:val="none" w:sz="0" w:space="0" w:color="auto"/>
        <w:left w:val="none" w:sz="0" w:space="0" w:color="auto"/>
        <w:bottom w:val="none" w:sz="0" w:space="0" w:color="auto"/>
        <w:right w:val="none" w:sz="0" w:space="0" w:color="auto"/>
      </w:divBdr>
    </w:div>
    <w:div w:id="1778209453">
      <w:bodyDiv w:val="1"/>
      <w:marLeft w:val="0"/>
      <w:marRight w:val="0"/>
      <w:marTop w:val="0"/>
      <w:marBottom w:val="0"/>
      <w:divBdr>
        <w:top w:val="none" w:sz="0" w:space="0" w:color="auto"/>
        <w:left w:val="none" w:sz="0" w:space="0" w:color="auto"/>
        <w:bottom w:val="none" w:sz="0" w:space="0" w:color="auto"/>
        <w:right w:val="none" w:sz="0" w:space="0" w:color="auto"/>
      </w:divBdr>
    </w:div>
    <w:div w:id="2038458546">
      <w:bodyDiv w:val="1"/>
      <w:marLeft w:val="0"/>
      <w:marRight w:val="0"/>
      <w:marTop w:val="0"/>
      <w:marBottom w:val="0"/>
      <w:divBdr>
        <w:top w:val="none" w:sz="0" w:space="0" w:color="auto"/>
        <w:left w:val="none" w:sz="0" w:space="0" w:color="auto"/>
        <w:bottom w:val="none" w:sz="0" w:space="0" w:color="auto"/>
        <w:right w:val="none" w:sz="0" w:space="0" w:color="auto"/>
      </w:divBdr>
    </w:div>
    <w:div w:id="2050757433">
      <w:bodyDiv w:val="1"/>
      <w:marLeft w:val="0"/>
      <w:marRight w:val="0"/>
      <w:marTop w:val="0"/>
      <w:marBottom w:val="0"/>
      <w:divBdr>
        <w:top w:val="none" w:sz="0" w:space="0" w:color="auto"/>
        <w:left w:val="none" w:sz="0" w:space="0" w:color="auto"/>
        <w:bottom w:val="none" w:sz="0" w:space="0" w:color="auto"/>
        <w:right w:val="none" w:sz="0" w:space="0" w:color="auto"/>
      </w:divBdr>
    </w:div>
    <w:div w:id="2133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Realmuto</dc:creator>
  <cp:keywords/>
  <dc:description/>
  <cp:lastModifiedBy>Eliel Polanco</cp:lastModifiedBy>
  <cp:revision>2</cp:revision>
  <dcterms:created xsi:type="dcterms:W3CDTF">2025-04-07T22:21:00Z</dcterms:created>
  <dcterms:modified xsi:type="dcterms:W3CDTF">2025-04-07T22:21:00Z</dcterms:modified>
</cp:coreProperties>
</file>