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t>Methods</w:t>
      </w:r>
    </w:p>
    <w:p w14:paraId="202F4A53" w14:textId="2DC33E61" w:rsidR="00845C34" w:rsidRPr="00845C34" w:rsidRDefault="00845C34" w:rsidP="00845C34">
      <w:r>
        <w:t xml:space="preserve">Dataset and </w:t>
      </w:r>
      <w:proofErr w:type="gramStart"/>
      <w:r>
        <w:t>cleaning :</w:t>
      </w:r>
      <w:proofErr w:type="gramEnd"/>
      <w:r>
        <w:t xml:space="preserve"> </w:t>
      </w:r>
    </w:p>
    <w:p w14:paraId="5EB29F46" w14:textId="63C9C27C" w:rsidR="00EE6499" w:rsidRDefault="00DA0B2D" w:rsidP="00EE6499">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 xml:space="preserve">additional </w:t>
      </w:r>
      <w:r w:rsidR="00E814F8">
        <w:lastRenderedPageBreak/>
        <w:t>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w:t>
      </w:r>
      <w:proofErr w:type="gramStart"/>
      <w:r w:rsidR="00330B28">
        <w:t>data</w:t>
      </w:r>
      <w:r w:rsidR="009B54BC">
        <w:t>,</w:t>
      </w:r>
      <w:proofErr w:type="gramEnd"/>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t xml:space="preserve">match the </w:t>
      </w:r>
      <w:r w:rsidR="00966027">
        <w:t>quarterly label</w:t>
      </w:r>
      <w:r w:rsidR="00795F87">
        <w:t xml:space="preserve"> for a merge</w:t>
      </w:r>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r w:rsidR="00E5371C">
        <w:t xml:space="preserve"> </w:t>
      </w:r>
    </w:p>
    <w:p w14:paraId="27AA0103" w14:textId="77777777" w:rsidR="00845C34" w:rsidRDefault="00845C34" w:rsidP="00EE6499"/>
    <w:p w14:paraId="435E89B8" w14:textId="77777777" w:rsidR="00845C34" w:rsidRDefault="00845C34" w:rsidP="00EE6499"/>
    <w:p w14:paraId="48515A42" w14:textId="6F9061A0" w:rsidR="00AF1E0E" w:rsidRPr="00AF1E0E" w:rsidRDefault="00AF1E0E" w:rsidP="00EE6499">
      <w:pPr>
        <w:rPr>
          <w:b/>
          <w:bCs/>
        </w:rPr>
      </w:pPr>
      <w:r w:rsidRPr="00AF1E0E">
        <w:rPr>
          <w:b/>
          <w:bCs/>
        </w:rPr>
        <w:t>What methods did you use to perform EDA? Why did you make the choices that you did?</w:t>
      </w:r>
    </w:p>
    <w:p w14:paraId="3D7B8646" w14:textId="5490451D" w:rsidR="00AF1E0E" w:rsidRPr="00AF1E0E" w:rsidRDefault="00AF1E0E" w:rsidP="00AF1E0E">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w:t>
      </w:r>
      <w:proofErr w:type="gramStart"/>
      <w:r w:rsidRPr="00AF1E0E">
        <w:t>imputing</w:t>
      </w:r>
      <w:proofErr w:type="gramEnd"/>
      <w:r w:rsidRPr="00AF1E0E">
        <w:t xml:space="preserve"> numerical columns with the mean and categorical columns with the mode to ensure data completeness. </w:t>
      </w:r>
      <w:r>
        <w:t>We</w:t>
      </w:r>
      <w:r w:rsidRPr="00AF1E0E">
        <w:t xml:space="preserve"> also removed duplicate rows to maintain data integrity. For feature selection, </w:t>
      </w:r>
      <w:proofErr w:type="gramStart"/>
      <w:r>
        <w:t>We</w:t>
      </w:r>
      <w:proofErr w:type="gramEnd"/>
      <w:r w:rsidRPr="00AF1E0E">
        <w:t xml:space="preserve"> focused on financial metrics (e.g., P/E, Profit Margin), macroeconomic indicators (e.g., GDP CYOY Index, VIX Index), and categorical/time-based features (e.g., Sector, Year) that are most relevant to predicting investor decisions.</w:t>
      </w:r>
    </w:p>
    <w:p w14:paraId="46DB014C" w14:textId="0F479462" w:rsidR="00AF1E0E" w:rsidRPr="00AF1E0E" w:rsidRDefault="00AF1E0E" w:rsidP="00AF1E0E">
      <w:r>
        <w:t>We</w:t>
      </w:r>
      <w:r w:rsidRPr="00AF1E0E">
        <w:t xml:space="preserve"> used visualizations such as histograms, scatter plots, and correlation heatmaps to understand the distribution of variables, relationships between features, and potential multicollinearity. For example, scatter plots helped identify trends between macroeconomic indicators like CPI YOY Index and PPI YOY Index, while the correlation matrix highlighted redundant features. These methods were chosen to ensure a comprehensive understanding of the dataset and to identify patterns and relationships that could inform feature engineering and predictive modeling.</w:t>
      </w:r>
    </w:p>
    <w:p w14:paraId="6FEEFBFB" w14:textId="77777777" w:rsidR="00AF1E0E" w:rsidRDefault="00AF1E0E" w:rsidP="00EE6499"/>
    <w:p w14:paraId="67DEC7ED" w14:textId="77777777" w:rsidR="00AF4881" w:rsidRDefault="00AF4881" w:rsidP="00EE6499"/>
    <w:p w14:paraId="2A9F22C4" w14:textId="16B9F123" w:rsidR="00AF4881" w:rsidRPr="00EE6499" w:rsidRDefault="00AF4881" w:rsidP="00EE6499"/>
    <w:p w14:paraId="37791775" w14:textId="509BC06F" w:rsidR="00322741" w:rsidRDefault="00322741" w:rsidP="00322741">
      <w:pPr>
        <w:pStyle w:val="Heading1"/>
        <w:rPr>
          <w:color w:val="auto"/>
        </w:rPr>
      </w:pPr>
      <w:r>
        <w:rPr>
          <w:color w:val="auto"/>
        </w:rPr>
        <w:t>Results</w:t>
      </w:r>
    </w:p>
    <w:p w14:paraId="5CB59E0C" w14:textId="77777777" w:rsidR="00630C9D" w:rsidRDefault="00630C9D" w:rsidP="00630C9D"/>
    <w:p w14:paraId="5D8C1ABC" w14:textId="5568C6E9" w:rsidR="00630C9D" w:rsidRPr="00630C9D" w:rsidRDefault="00630C9D" w:rsidP="00E266CF">
      <w:pPr>
        <w:pStyle w:val="ListParagraph"/>
        <w:numPr>
          <w:ilvl w:val="0"/>
          <w:numId w:val="1"/>
        </w:numPr>
      </w:pPr>
      <w:r>
        <w:t xml:space="preserve">P/E, P/CF, P/B, Debt/Equity, FCF Gr, , Profit </w:t>
      </w:r>
      <w:proofErr w:type="spellStart"/>
      <w:r>
        <w:t>Margin,Market</w:t>
      </w:r>
      <w:proofErr w:type="spellEnd"/>
      <w:r>
        <w:t xml:space="preserve"> value % </w:t>
      </w:r>
      <w:r>
        <w:t>,t</w:t>
      </w:r>
      <w:r>
        <w:t xml:space="preserve">hese features are </w:t>
      </w:r>
      <w:proofErr w:type="gramStart"/>
      <w:r>
        <w:t>highly right</w:t>
      </w:r>
      <w:proofErr w:type="gramEnd"/>
      <w:r>
        <w:t xml:space="preserve"> skewed , with most values </w:t>
      </w:r>
      <w:r>
        <w:t>concentrated</w:t>
      </w:r>
      <w:r>
        <w:t xml:space="preserve"> near zero and few extreme </w:t>
      </w:r>
      <w:r>
        <w:lastRenderedPageBreak/>
        <w:t>outliers on the higher end.</w:t>
      </w:r>
      <w:r>
        <w:t xml:space="preserve"> W</w:t>
      </w:r>
      <w:r>
        <w:t>e will consider handling outliers or applying transformations to reduce skewness.</w:t>
      </w:r>
    </w:p>
    <w:p w14:paraId="15CF4ABB" w14:textId="77777777" w:rsidR="00630C9D" w:rsidRDefault="00630C9D" w:rsidP="00630C9D"/>
    <w:p w14:paraId="10E64E71" w14:textId="77777777" w:rsidR="00630C9D" w:rsidRDefault="00630C9D" w:rsidP="00630C9D"/>
    <w:p w14:paraId="654D8AF8" w14:textId="2315A84D" w:rsidR="00630C9D" w:rsidRDefault="00630C9D" w:rsidP="00630C9D">
      <w:r w:rsidRPr="00AF4881">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5"/>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C9934E" w14:textId="77777777" w:rsidR="00630C9D" w:rsidRDefault="00630C9D" w:rsidP="00630C9D"/>
    <w:p w14:paraId="27DF9A62" w14:textId="77777777" w:rsidR="00630C9D" w:rsidRPr="00630C9D" w:rsidRDefault="00630C9D" w:rsidP="00630C9D">
      <w:pPr>
        <w:rPr>
          <w:b/>
          <w:bCs/>
        </w:rPr>
      </w:pPr>
      <w:r w:rsidRPr="00630C9D">
        <w:rPr>
          <w:b/>
          <w:bCs/>
        </w:rPr>
        <w:t>Summary Statistics for Numeric Variables</w:t>
      </w:r>
    </w:p>
    <w:p w14:paraId="520E53F7" w14:textId="5BD3B355" w:rsidR="00630C9D" w:rsidRPr="00F87D12" w:rsidRDefault="00630C9D" w:rsidP="00630C9D">
      <w:r w:rsidRPr="00630C9D">
        <w:t xml:space="preserve">The table provides descriptive statistics for all numeric variables, including measures of central tendency (mean, median), spread (standard deviation, min, max), and distribution shape (skewness, kurtosis). </w:t>
      </w:r>
      <w:r w:rsidRPr="00F87D12">
        <w:t xml:space="preserve">Variables like P/E, P/CF, and Debt/Equity are highly </w:t>
      </w:r>
      <w:proofErr w:type="gramStart"/>
      <w:r w:rsidRPr="00F87D12">
        <w:t>right-skewed</w:t>
      </w:r>
      <w:proofErr w:type="gramEnd"/>
      <w:r w:rsidRPr="00F87D12">
        <w:t xml:space="preserve"> with extreme outliers, as indicated by their high skewness and kurtosis values. In contrast, variables like GDP CYOY Index and CPI YOY Index exhibit relatively normal distributions with low skewness and kurtosis.</w:t>
      </w:r>
    </w:p>
    <w:p w14:paraId="34C962D4" w14:textId="77777777" w:rsidR="008C5E76" w:rsidRDefault="008C5E76" w:rsidP="00630C9D">
      <w:pPr>
        <w:rPr>
          <w:b/>
          <w:bCs/>
        </w:rPr>
      </w:pPr>
    </w:p>
    <w:p w14:paraId="546F1C56" w14:textId="69348BAC" w:rsidR="008C5E76" w:rsidRDefault="008C5E76" w:rsidP="00630C9D">
      <w:pPr>
        <w:rPr>
          <w:b/>
          <w:bCs/>
        </w:rPr>
      </w:pPr>
      <w:r>
        <w:rPr>
          <w:b/>
          <w:bCs/>
        </w:rPr>
        <w:t xml:space="preserve">Summary Statistics for Categorical </w:t>
      </w:r>
      <w:proofErr w:type="gramStart"/>
      <w:r>
        <w:rPr>
          <w:b/>
          <w:bCs/>
        </w:rPr>
        <w:t>variables :</w:t>
      </w:r>
      <w:proofErr w:type="gramEnd"/>
      <w:r>
        <w:rPr>
          <w:b/>
          <w:bCs/>
        </w:rPr>
        <w:t xml:space="preserve"> </w:t>
      </w:r>
      <w:r w:rsidRPr="008C5E76">
        <w:rPr>
          <w:b/>
          <w:bCs/>
        </w:rPr>
        <w:t>Frequencies, %, Proportions</w:t>
      </w:r>
      <w:r w:rsidR="00F87D12">
        <w:rPr>
          <w:b/>
          <w:bCs/>
        </w:rPr>
        <w:t xml:space="preserve"> : </w:t>
      </w:r>
    </w:p>
    <w:p w14:paraId="4E989940" w14:textId="77777777" w:rsidR="00A56D51" w:rsidRDefault="00A56D51" w:rsidP="00F87D12"/>
    <w:p w14:paraId="0C9A08BE" w14:textId="7893866A" w:rsidR="00F87D12" w:rsidRPr="00F87D12" w:rsidRDefault="00F87D12" w:rsidP="00F87D12">
      <w:r w:rsidRPr="00F87D12">
        <w:t>Summary for Sector: The Sector variable is dominated by Software &amp; IT Services, which accounts for 12.5% of the dataset, followed by Residential &amp; Commercial REIT (5.18%) and Machinery, Equipment &amp; Components (4.82%). The remaining sectors are more evenly distributed, with many contributing less than 4% each. This indicates a concentration of data in a few key sectors.</w:t>
      </w:r>
    </w:p>
    <w:p w14:paraId="0C4E2A88" w14:textId="77777777" w:rsidR="00F87D12" w:rsidRPr="00F87D12" w:rsidRDefault="00F87D12" w:rsidP="00F87D12"/>
    <w:p w14:paraId="24C50FCE" w14:textId="2DC25E27" w:rsidR="008C5E76" w:rsidRDefault="00F87D12" w:rsidP="00F87D12">
      <w:r w:rsidRPr="00F87D12">
        <w:t xml:space="preserve">Summary for Quarter: The Quarter variable is evenly distributed across all four quarters, with Q3 and Q2 each accounting for 25.71% of the data, while Q4 and Q1 </w:t>
      </w:r>
      <w:proofErr w:type="gramStart"/>
      <w:r w:rsidRPr="00F87D12">
        <w:t>contribute</w:t>
      </w:r>
      <w:proofErr w:type="gramEnd"/>
      <w:r w:rsidRPr="00F87D12">
        <w:t xml:space="preserve"> slightly less at 24.29% and 24.28%, respectively. This suggests that the dataset captures data consistently across time periods.</w:t>
      </w:r>
    </w:p>
    <w:p w14:paraId="42DBBDB7" w14:textId="6AF2F917" w:rsidR="00F87D12" w:rsidRDefault="00F87D12" w:rsidP="00F87D12">
      <w:r w:rsidRPr="00F87D12">
        <w:t>The dominance of certain sectors, such as Software &amp; IT Services (12.5%), indicates investor preferences or market trends that can be leveraged as key predictors in the model. </w:t>
      </w:r>
    </w:p>
    <w:p w14:paraId="4760E7AC" w14:textId="4A7C26E2" w:rsidR="00F87D12" w:rsidRPr="00F87D12" w:rsidRDefault="00F87D12" w:rsidP="00F87D12">
      <w:r w:rsidRPr="00F87D12">
        <w:t xml:space="preserve">These insights </w:t>
      </w:r>
      <w:r>
        <w:t xml:space="preserve">will </w:t>
      </w:r>
      <w:r w:rsidRPr="00F87D12">
        <w:t>help the model identify sector-specific and time-based factors influencing stock selection.</w:t>
      </w:r>
    </w:p>
    <w:p w14:paraId="7F13CC55" w14:textId="77777777" w:rsidR="008C5E76" w:rsidRPr="00630C9D" w:rsidRDefault="008C5E76" w:rsidP="00630C9D"/>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03116787" w:rsidR="00B327B3" w:rsidRDefault="00B327B3" w:rsidP="00A26E29">
      <w: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 xml:space="preserve">Year-over-Year GDP </w:t>
            </w:r>
            <w:proofErr w:type="gramStart"/>
            <w:r w:rsidRPr="00AF1E0E">
              <w:t>growth,</w:t>
            </w:r>
            <w:proofErr w:type="gramEnd"/>
            <w:r w:rsidRPr="00AF1E0E">
              <w:t xml:space="preserve"> reflecting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 xml:space="preserve">The target variable </w:t>
            </w:r>
            <w:proofErr w:type="gramStart"/>
            <w:r w:rsidRPr="00AF1E0E">
              <w:t>indicating</w:t>
            </w:r>
            <w:proofErr w:type="gramEnd"/>
            <w:r w:rsidRPr="00AF1E0E">
              <w:t xml:space="preserve"> whether the stock was purchased (1) or not (0).</w:t>
            </w:r>
          </w:p>
        </w:tc>
      </w:tr>
    </w:tbl>
    <w:p w14:paraId="3E8BDE06" w14:textId="77777777" w:rsidR="00AF1E0E" w:rsidRPr="00A26E29" w:rsidRDefault="00AF1E0E" w:rsidP="00A26E29"/>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5148"/>
    <w:multiLevelType w:val="hybridMultilevel"/>
    <w:tmpl w:val="E668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E3DAE"/>
    <w:multiLevelType w:val="hybridMultilevel"/>
    <w:tmpl w:val="D466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22F3"/>
    <w:multiLevelType w:val="hybridMultilevel"/>
    <w:tmpl w:val="DD06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2"/>
  </w:num>
  <w:num w:numId="2" w16cid:durableId="63921680">
    <w:abstractNumId w:val="4"/>
  </w:num>
  <w:num w:numId="3" w16cid:durableId="427772095">
    <w:abstractNumId w:val="0"/>
  </w:num>
  <w:num w:numId="4" w16cid:durableId="2143771222">
    <w:abstractNumId w:val="3"/>
  </w:num>
  <w:num w:numId="5" w16cid:durableId="61501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A05C0"/>
    <w:rsid w:val="002B2991"/>
    <w:rsid w:val="002E7013"/>
    <w:rsid w:val="00322741"/>
    <w:rsid w:val="00330B28"/>
    <w:rsid w:val="0033641E"/>
    <w:rsid w:val="00386DAE"/>
    <w:rsid w:val="00412D3F"/>
    <w:rsid w:val="00441D51"/>
    <w:rsid w:val="00605FEE"/>
    <w:rsid w:val="00630C9D"/>
    <w:rsid w:val="006602AE"/>
    <w:rsid w:val="00666CFA"/>
    <w:rsid w:val="00676A61"/>
    <w:rsid w:val="006A32E0"/>
    <w:rsid w:val="00710A10"/>
    <w:rsid w:val="007610BB"/>
    <w:rsid w:val="00790CB2"/>
    <w:rsid w:val="0079350E"/>
    <w:rsid w:val="00795F87"/>
    <w:rsid w:val="007B4999"/>
    <w:rsid w:val="007D1FBF"/>
    <w:rsid w:val="007F45C2"/>
    <w:rsid w:val="00845C34"/>
    <w:rsid w:val="008B417B"/>
    <w:rsid w:val="008C5E76"/>
    <w:rsid w:val="009540A4"/>
    <w:rsid w:val="00966027"/>
    <w:rsid w:val="009972DD"/>
    <w:rsid w:val="009B54BC"/>
    <w:rsid w:val="00A26E29"/>
    <w:rsid w:val="00A56D51"/>
    <w:rsid w:val="00AC4254"/>
    <w:rsid w:val="00AF1E0E"/>
    <w:rsid w:val="00AF4881"/>
    <w:rsid w:val="00B327B3"/>
    <w:rsid w:val="00BA2D9D"/>
    <w:rsid w:val="00BD75BE"/>
    <w:rsid w:val="00BF77AC"/>
    <w:rsid w:val="00DA0B2D"/>
    <w:rsid w:val="00DA199E"/>
    <w:rsid w:val="00DC4701"/>
    <w:rsid w:val="00DD7BCA"/>
    <w:rsid w:val="00E523C1"/>
    <w:rsid w:val="00E52815"/>
    <w:rsid w:val="00E5371C"/>
    <w:rsid w:val="00E814F8"/>
    <w:rsid w:val="00EB1400"/>
    <w:rsid w:val="00EB52D8"/>
    <w:rsid w:val="00EE6499"/>
    <w:rsid w:val="00F14BDD"/>
    <w:rsid w:val="00F24FAB"/>
    <w:rsid w:val="00F520AD"/>
    <w:rsid w:val="00F61761"/>
    <w:rsid w:val="00F87D12"/>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6799">
      <w:bodyDiv w:val="1"/>
      <w:marLeft w:val="0"/>
      <w:marRight w:val="0"/>
      <w:marTop w:val="0"/>
      <w:marBottom w:val="0"/>
      <w:divBdr>
        <w:top w:val="none" w:sz="0" w:space="0" w:color="auto"/>
        <w:left w:val="none" w:sz="0" w:space="0" w:color="auto"/>
        <w:bottom w:val="none" w:sz="0" w:space="0" w:color="auto"/>
        <w:right w:val="none" w:sz="0" w:space="0" w:color="auto"/>
      </w:divBdr>
    </w:div>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48790216">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1479</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57</cp:revision>
  <dcterms:created xsi:type="dcterms:W3CDTF">2025-04-04T01:25:00Z</dcterms:created>
  <dcterms:modified xsi:type="dcterms:W3CDTF">2025-04-07T00:40:00Z</dcterms:modified>
</cp:coreProperties>
</file>