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pPr>
    </w:p>
    <w:p>
      <w:pPr>
        <w:spacing w:after="60"/>
      </w:pPr>
      <w:r>
        <w:rPr>
          <w:b/>
          <w:color w:val="17365D"/>
          <w:sz w:val="68"/>
        </w:rPr>
        <w:t>MANYU</w:t>
      </w:r>
    </w:p>
    <w:p>
      <w:pPr>
        <w:spacing w:after="160"/>
      </w:pPr>
      <w:r>
        <w:rPr>
          <w:color w:val="2E74B5"/>
          <w:sz w:val="40"/>
        </w:rPr>
        <w:t>Affective State Model Specification</w:t>
      </w:r>
    </w:p>
    <w:p>
      <w:pPr>
        <w:spacing w:after="520"/>
      </w:pPr>
      <w:r>
        <w:rPr>
          <w:i/>
          <w:color w:val="5B6573"/>
          <w:sz w:val="26"/>
        </w:rPr>
        <w:t>The operational semantics of emotion, mood, appraisal, transition, regulation, and introspection</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90" w:type="dxa"/>
              <w:start w:w="120" w:type="dxa"/>
              <w:bottom w:w="90" w:type="dxa"/>
              <w:end w:w="120" w:type="dxa"/>
            </w:tcMar>
            <w:vAlign w:val="center"/>
          </w:tcPr>
          <w:p>
            <w:pPr>
              <w:spacing w:after="0"/>
            </w:pPr>
            <w:r>
              <w:rPr>
                <w:b/>
                <w:color w:val="17365D"/>
                <w:sz w:val="18"/>
              </w:rPr>
              <w:t>Document field</w:t>
            </w:r>
          </w:p>
        </w:tc>
        <w:tc>
          <w:tcPr>
            <w:tcW w:type="dxa" w:w="7160"/>
            <w:shd w:fill="E8EEF5"/>
            <w:tcMar>
              <w:top w:w="90" w:type="dxa"/>
              <w:start w:w="120" w:type="dxa"/>
              <w:bottom w:w="90" w:type="dxa"/>
              <w:end w:w="120" w:type="dxa"/>
            </w:tcMar>
            <w:vAlign w:val="center"/>
          </w:tcPr>
          <w:p>
            <w:pPr>
              <w:spacing w:after="0"/>
            </w:pPr>
            <w:r>
              <w:rPr>
                <w:b/>
                <w:color w:val="17365D"/>
                <w:sz w:val="18"/>
              </w:rPr>
              <w:t>Value</w:t>
            </w:r>
          </w:p>
        </w:tc>
      </w:tr>
      <w:tr>
        <w:tc>
          <w:tcPr>
            <w:tcW w:type="dxa" w:w="2200"/>
            <w:tcMar>
              <w:top w:w="90" w:type="dxa"/>
              <w:start w:w="120" w:type="dxa"/>
              <w:bottom w:w="90" w:type="dxa"/>
              <w:end w:w="120" w:type="dxa"/>
            </w:tcMar>
            <w:vAlign w:val="center"/>
          </w:tcPr>
          <w:p>
            <w:pPr>
              <w:spacing w:after="0" w:line="252" w:lineRule="auto"/>
            </w:pPr>
            <w:r>
              <w:rPr>
                <w:sz w:val="18"/>
              </w:rPr>
              <w:t>System</w:t>
            </w:r>
          </w:p>
        </w:tc>
        <w:tc>
          <w:tcPr>
            <w:tcW w:type="dxa" w:w="7160"/>
            <w:tcMar>
              <w:top w:w="90" w:type="dxa"/>
              <w:start w:w="120" w:type="dxa"/>
              <w:bottom w:w="90" w:type="dxa"/>
              <w:end w:w="120" w:type="dxa"/>
            </w:tcMar>
            <w:vAlign w:val="center"/>
          </w:tcPr>
          <w:p>
            <w:pPr>
              <w:spacing w:after="0" w:line="252" w:lineRule="auto"/>
            </w:pPr>
            <w:r>
              <w:rPr>
                <w:sz w:val="18"/>
              </w:rPr>
              <w:t>Manyu</w:t>
            </w:r>
          </w:p>
        </w:tc>
      </w:tr>
      <w:tr>
        <w:tc>
          <w:tcPr>
            <w:tcW w:type="dxa" w:w="2200"/>
            <w:tcMar>
              <w:top w:w="90" w:type="dxa"/>
              <w:start w:w="120" w:type="dxa"/>
              <w:bottom w:w="90" w:type="dxa"/>
              <w:end w:w="120" w:type="dxa"/>
            </w:tcMar>
            <w:vAlign w:val="center"/>
          </w:tcPr>
          <w:p>
            <w:pPr>
              <w:spacing w:after="0" w:line="252" w:lineRule="auto"/>
            </w:pPr>
            <w:r>
              <w:rPr>
                <w:sz w:val="18"/>
              </w:rPr>
              <w:t>Specification</w:t>
            </w:r>
          </w:p>
        </w:tc>
        <w:tc>
          <w:tcPr>
            <w:tcW w:type="dxa" w:w="7160"/>
            <w:tcMar>
              <w:top w:w="90" w:type="dxa"/>
              <w:start w:w="120" w:type="dxa"/>
              <w:bottom w:w="90" w:type="dxa"/>
              <w:end w:w="120" w:type="dxa"/>
            </w:tcMar>
            <w:vAlign w:val="center"/>
          </w:tcPr>
          <w:p>
            <w:pPr>
              <w:spacing w:after="0" w:line="252" w:lineRule="auto"/>
            </w:pPr>
            <w:r>
              <w:rPr>
                <w:sz w:val="18"/>
              </w:rPr>
              <w:t>Affective State Model</w:t>
            </w:r>
          </w:p>
        </w:tc>
      </w:tr>
      <w:tr>
        <w:tc>
          <w:tcPr>
            <w:tcW w:type="dxa" w:w="2200"/>
            <w:tcMar>
              <w:top w:w="90" w:type="dxa"/>
              <w:start w:w="120" w:type="dxa"/>
              <w:bottom w:w="90" w:type="dxa"/>
              <w:end w:w="120" w:type="dxa"/>
            </w:tcMar>
            <w:vAlign w:val="center"/>
          </w:tcPr>
          <w:p>
            <w:pPr>
              <w:spacing w:after="0" w:line="252" w:lineRule="auto"/>
            </w:pPr>
            <w:r>
              <w:rPr>
                <w:sz w:val="18"/>
              </w:rPr>
              <w:t>Version</w:t>
            </w:r>
          </w:p>
        </w:tc>
        <w:tc>
          <w:tcPr>
            <w:tcW w:type="dxa" w:w="7160"/>
            <w:tcMar>
              <w:top w:w="90" w:type="dxa"/>
              <w:start w:w="120" w:type="dxa"/>
              <w:bottom w:w="90" w:type="dxa"/>
              <w:end w:w="120" w:type="dxa"/>
            </w:tcMar>
            <w:vAlign w:val="center"/>
          </w:tcPr>
          <w:p>
            <w:pPr>
              <w:spacing w:after="0" w:line="252" w:lineRule="auto"/>
            </w:pPr>
            <w:r>
              <w:rPr>
                <w:sz w:val="18"/>
              </w:rPr>
              <w:t>0.1 - MVP reference model</w:t>
            </w:r>
          </w:p>
        </w:tc>
      </w:tr>
      <w:tr>
        <w:tc>
          <w:tcPr>
            <w:tcW w:type="dxa" w:w="2200"/>
            <w:tcMar>
              <w:top w:w="90" w:type="dxa"/>
              <w:start w:w="120" w:type="dxa"/>
              <w:bottom w:w="90" w:type="dxa"/>
              <w:end w:w="120" w:type="dxa"/>
            </w:tcMar>
            <w:vAlign w:val="center"/>
          </w:tcPr>
          <w:p>
            <w:pPr>
              <w:spacing w:after="0" w:line="252" w:lineRule="auto"/>
            </w:pPr>
            <w:r>
              <w:rPr>
                <w:sz w:val="18"/>
              </w:rPr>
              <w:t>Date</w:t>
            </w:r>
          </w:p>
        </w:tc>
        <w:tc>
          <w:tcPr>
            <w:tcW w:type="dxa" w:w="7160"/>
            <w:tcMar>
              <w:top w:w="90" w:type="dxa"/>
              <w:start w:w="120" w:type="dxa"/>
              <w:bottom w:w="90" w:type="dxa"/>
              <w:end w:w="120" w:type="dxa"/>
            </w:tcMar>
            <w:vAlign w:val="center"/>
          </w:tcPr>
          <w:p>
            <w:pPr>
              <w:spacing w:after="0" w:line="252" w:lineRule="auto"/>
            </w:pPr>
            <w:r>
              <w:rPr>
                <w:sz w:val="18"/>
              </w:rPr>
              <w:t>9 July 2026</w:t>
            </w:r>
          </w:p>
        </w:tc>
      </w:tr>
      <w:tr>
        <w:tc>
          <w:tcPr>
            <w:tcW w:type="dxa" w:w="2200"/>
            <w:tcMar>
              <w:top w:w="90" w:type="dxa"/>
              <w:start w:w="120" w:type="dxa"/>
              <w:bottom w:w="90" w:type="dxa"/>
              <w:end w:w="120" w:type="dxa"/>
            </w:tcMar>
            <w:vAlign w:val="center"/>
          </w:tcPr>
          <w:p>
            <w:pPr>
              <w:spacing w:after="0" w:line="252" w:lineRule="auto"/>
            </w:pPr>
            <w:r>
              <w:rPr>
                <w:sz w:val="18"/>
              </w:rPr>
              <w:t>Status</w:t>
            </w:r>
          </w:p>
        </w:tc>
        <w:tc>
          <w:tcPr>
            <w:tcW w:type="dxa" w:w="7160"/>
            <w:tcMar>
              <w:top w:w="90" w:type="dxa"/>
              <w:start w:w="120" w:type="dxa"/>
              <w:bottom w:w="90" w:type="dxa"/>
              <w:end w:w="120" w:type="dxa"/>
            </w:tcMar>
            <w:vAlign w:val="center"/>
          </w:tcPr>
          <w:p>
            <w:pPr>
              <w:spacing w:after="0" w:line="252" w:lineRule="auto"/>
            </w:pPr>
            <w:r>
              <w:rPr>
                <w:sz w:val="18"/>
              </w:rPr>
              <w:t>Proposed for implementation and empirical calibration</w:t>
            </w:r>
          </w:p>
        </w:tc>
      </w:tr>
      <w:tr>
        <w:tc>
          <w:tcPr>
            <w:tcW w:type="dxa" w:w="2200"/>
            <w:tcMar>
              <w:top w:w="90" w:type="dxa"/>
              <w:start w:w="120" w:type="dxa"/>
              <w:bottom w:w="90" w:type="dxa"/>
              <w:end w:w="120" w:type="dxa"/>
            </w:tcMar>
            <w:vAlign w:val="center"/>
          </w:tcPr>
          <w:p>
            <w:pPr>
              <w:spacing w:after="0" w:line="252" w:lineRule="auto"/>
            </w:pPr>
            <w:r>
              <w:rPr>
                <w:sz w:val="18"/>
              </w:rPr>
              <w:t>Normative language</w:t>
            </w:r>
          </w:p>
        </w:tc>
        <w:tc>
          <w:tcPr>
            <w:tcW w:type="dxa" w:w="7160"/>
            <w:tcMar>
              <w:top w:w="90" w:type="dxa"/>
              <w:start w:w="120" w:type="dxa"/>
              <w:bottom w:w="90" w:type="dxa"/>
              <w:end w:w="120" w:type="dxa"/>
            </w:tcMar>
            <w:vAlign w:val="center"/>
          </w:tcPr>
          <w:p>
            <w:pPr>
              <w:spacing w:after="0" w:line="252" w:lineRule="auto"/>
            </w:pPr>
            <w:r>
              <w:rPr>
                <w:sz w:val="18"/>
              </w:rPr>
              <w:t>MUST / SHOULD / MAY indicate requirement strength</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tcMar>
              <w:top w:w="90" w:type="dxa"/>
              <w:start w:w="120" w:type="dxa"/>
              <w:bottom w:w="90" w:type="dxa"/>
              <w:end w:w="120" w:type="dxa"/>
            </w:tcMar>
            <w:vAlign w:val="center"/>
          </w:tcPr>
          <w:p>
            <w:pPr>
              <w:spacing w:after="0"/>
            </w:pPr>
            <w:r>
              <w:rPr>
                <w:b/>
                <w:color w:val="17365D"/>
              </w:rPr>
              <w:t xml:space="preserve">Purpose: </w:t>
            </w:r>
            <w:r>
              <w:t>Define a compact, testable affective model that can be implemented deterministically, influenced by fast and slow appraisal, exposed only through partial interoception, and calibrated through real interaction data.</w:t>
            </w:r>
          </w:p>
        </w:tc>
        <w:trPr>
          <w:tblHeader/>
        </w:trPr>
      </w:tr>
    </w:tbl>
    <w:p>
      <w:pPr>
        <w:spacing w:after="0"/>
      </w:pPr>
    </w:p>
    <w:p>
      <w:r>
        <w:rPr>
          <w:i/>
        </w:rPr>
        <w:t>This is a functional computational model. Its variables do not establish subjective experience, consciousness, or human equivalence.</w:t>
      </w:r>
    </w:p>
    <w:p>
      <w:r>
        <w:br w:type="page"/>
      </w:r>
    </w:p>
    <w:p>
      <w:pPr>
        <w:pStyle w:val="Heading1"/>
      </w:pPr>
      <w:r>
        <w:t>Document control</w:t>
      </w:r>
    </w:p>
    <w:tbl>
      <w:tblPr>
        <w:tblStyle w:val="TableGrid"/>
        <w:tblW w:type="dxa" w:w="9360"/>
        <w:jc w:val="center"/>
        <w:tblLayout w:type="fixed"/>
        <w:tblLook w:firstColumn="1" w:firstRow="1" w:lastColumn="0" w:lastRow="0" w:noHBand="0" w:noVBand="1" w:val="04A0"/>
        <w:tblInd w:w="120" w:type="dxa"/>
      </w:tblPr>
      <w:tblGrid>
        <w:gridCol w:w="1000"/>
        <w:gridCol w:w="1450"/>
        <w:gridCol w:w="1500"/>
        <w:gridCol w:w="5410"/>
      </w:tblGrid>
      <w:tr>
        <w:trPr>
          <w:tblHeader w:val="true"/>
        </w:trPr>
        <w:tc>
          <w:tcPr>
            <w:tcW w:type="dxa" w:w="1000"/>
            <w:shd w:fill="E8EEF5"/>
            <w:tcMar>
              <w:top w:w="90" w:type="dxa"/>
              <w:start w:w="120" w:type="dxa"/>
              <w:bottom w:w="90" w:type="dxa"/>
              <w:end w:w="120" w:type="dxa"/>
            </w:tcMar>
            <w:vAlign w:val="center"/>
          </w:tcPr>
          <w:p>
            <w:pPr>
              <w:spacing w:after="0"/>
            </w:pPr>
            <w:r>
              <w:rPr>
                <w:b/>
                <w:color w:val="17365D"/>
                <w:sz w:val="18"/>
              </w:rPr>
              <w:t>Version</w:t>
            </w:r>
          </w:p>
        </w:tc>
        <w:tc>
          <w:tcPr>
            <w:tcW w:type="dxa" w:w="1450"/>
            <w:shd w:fill="E8EEF5"/>
            <w:tcMar>
              <w:top w:w="90" w:type="dxa"/>
              <w:start w:w="120" w:type="dxa"/>
              <w:bottom w:w="90" w:type="dxa"/>
              <w:end w:w="120" w:type="dxa"/>
            </w:tcMar>
            <w:vAlign w:val="center"/>
          </w:tcPr>
          <w:p>
            <w:pPr>
              <w:spacing w:after="0"/>
            </w:pPr>
            <w:r>
              <w:rPr>
                <w:b/>
                <w:color w:val="17365D"/>
                <w:sz w:val="18"/>
              </w:rPr>
              <w:t>Date</w:t>
            </w:r>
          </w:p>
        </w:tc>
        <w:tc>
          <w:tcPr>
            <w:tcW w:type="dxa" w:w="1500"/>
            <w:shd w:fill="E8EEF5"/>
            <w:tcMar>
              <w:top w:w="90" w:type="dxa"/>
              <w:start w:w="120" w:type="dxa"/>
              <w:bottom w:w="90" w:type="dxa"/>
              <w:end w:w="120" w:type="dxa"/>
            </w:tcMar>
            <w:vAlign w:val="center"/>
          </w:tcPr>
          <w:p>
            <w:pPr>
              <w:spacing w:after="0"/>
            </w:pPr>
            <w:r>
              <w:rPr>
                <w:b/>
                <w:color w:val="17365D"/>
                <w:sz w:val="18"/>
              </w:rPr>
              <w:t>Status</w:t>
            </w:r>
          </w:p>
        </w:tc>
        <w:tc>
          <w:tcPr>
            <w:tcW w:type="dxa" w:w="5410"/>
            <w:shd w:fill="E8EEF5"/>
            <w:tcMar>
              <w:top w:w="90" w:type="dxa"/>
              <w:start w:w="120" w:type="dxa"/>
              <w:bottom w:w="90" w:type="dxa"/>
              <w:end w:w="120" w:type="dxa"/>
            </w:tcMar>
            <w:vAlign w:val="center"/>
          </w:tcPr>
          <w:p>
            <w:pPr>
              <w:spacing w:after="0"/>
            </w:pPr>
            <w:r>
              <w:rPr>
                <w:b/>
                <w:color w:val="17365D"/>
                <w:sz w:val="18"/>
              </w:rPr>
              <w:t>Summary</w:t>
            </w:r>
          </w:p>
        </w:tc>
      </w:tr>
      <w:tr>
        <w:tc>
          <w:tcPr>
            <w:tcW w:type="dxa" w:w="1000"/>
            <w:tcMar>
              <w:top w:w="90" w:type="dxa"/>
              <w:start w:w="120" w:type="dxa"/>
              <w:bottom w:w="90" w:type="dxa"/>
              <w:end w:w="120" w:type="dxa"/>
            </w:tcMar>
            <w:vAlign w:val="center"/>
          </w:tcPr>
          <w:p>
            <w:pPr>
              <w:spacing w:after="0" w:line="252" w:lineRule="auto"/>
            </w:pPr>
            <w:r>
              <w:rPr>
                <w:sz w:val="18"/>
              </w:rPr>
              <w:t>0.1</w:t>
            </w:r>
          </w:p>
        </w:tc>
        <w:tc>
          <w:tcPr>
            <w:tcW w:type="dxa" w:w="1450"/>
            <w:tcMar>
              <w:top w:w="90" w:type="dxa"/>
              <w:start w:w="120" w:type="dxa"/>
              <w:bottom w:w="90" w:type="dxa"/>
              <w:end w:w="120" w:type="dxa"/>
            </w:tcMar>
            <w:vAlign w:val="center"/>
          </w:tcPr>
          <w:p>
            <w:pPr>
              <w:spacing w:after="0" w:line="252" w:lineRule="auto"/>
            </w:pPr>
            <w:r>
              <w:rPr>
                <w:sz w:val="18"/>
              </w:rPr>
              <w:t>9 Jul 2026</w:t>
            </w:r>
          </w:p>
        </w:tc>
        <w:tc>
          <w:tcPr>
            <w:tcW w:type="dxa" w:w="1500"/>
            <w:tcMar>
              <w:top w:w="90" w:type="dxa"/>
              <w:start w:w="120" w:type="dxa"/>
              <w:bottom w:w="90" w:type="dxa"/>
              <w:end w:w="120" w:type="dxa"/>
            </w:tcMar>
            <w:vAlign w:val="center"/>
          </w:tcPr>
          <w:p>
            <w:pPr>
              <w:spacing w:after="0" w:line="252" w:lineRule="auto"/>
            </w:pPr>
            <w:r>
              <w:rPr>
                <w:sz w:val="18"/>
              </w:rPr>
              <w:t>Proposed</w:t>
            </w:r>
          </w:p>
        </w:tc>
        <w:tc>
          <w:tcPr>
            <w:tcW w:type="dxa" w:w="5410"/>
            <w:tcMar>
              <w:top w:w="90" w:type="dxa"/>
              <w:start w:w="120" w:type="dxa"/>
              <w:bottom w:w="90" w:type="dxa"/>
              <w:end w:w="120" w:type="dxa"/>
            </w:tcMar>
            <w:vAlign w:val="center"/>
          </w:tcPr>
          <w:p>
            <w:pPr>
              <w:spacing w:after="0" w:line="252" w:lineRule="auto"/>
            </w:pPr>
            <w:r>
              <w:rPr>
                <w:sz w:val="18"/>
              </w:rPr>
              <w:t>Initial reference model for Manyu MVP.</w:t>
            </w:r>
          </w:p>
        </w:tc>
      </w:tr>
    </w:tbl>
    <w:p>
      <w:pPr>
        <w:spacing w:after="0"/>
      </w:pPr>
    </w:p>
    <w:p>
      <w:pPr>
        <w:pStyle w:val="Heading2"/>
      </w:pPr>
      <w:r>
        <w:t>Model decisions</w:t>
      </w:r>
    </w:p>
    <w:tbl>
      <w:tblPr>
        <w:tblStyle w:val="TableGrid"/>
        <w:tblW w:type="dxa" w:w="9360"/>
        <w:jc w:val="center"/>
        <w:tblLayout w:type="fixed"/>
        <w:tblLook w:firstColumn="1" w:firstRow="1" w:lastColumn="0" w:lastRow="0" w:noHBand="0" w:noVBand="1" w:val="04A0"/>
        <w:tblInd w:w="120" w:type="dxa"/>
      </w:tblPr>
      <w:tblGrid>
        <w:gridCol w:w="1100"/>
        <w:gridCol w:w="3900"/>
        <w:gridCol w:w="4360"/>
      </w:tblGrid>
      <w:tr>
        <w:trPr>
          <w:tblHeader w:val="true"/>
        </w:trPr>
        <w:tc>
          <w:tcPr>
            <w:tcW w:type="dxa" w:w="1100"/>
            <w:shd w:fill="E8EEF5"/>
            <w:tcMar>
              <w:top w:w="90" w:type="dxa"/>
              <w:start w:w="120" w:type="dxa"/>
              <w:bottom w:w="90" w:type="dxa"/>
              <w:end w:w="120" w:type="dxa"/>
            </w:tcMar>
            <w:vAlign w:val="center"/>
          </w:tcPr>
          <w:p>
            <w:pPr>
              <w:spacing w:after="0"/>
            </w:pPr>
            <w:r>
              <w:rPr>
                <w:b/>
                <w:color w:val="17365D"/>
                <w:sz w:val="18"/>
              </w:rPr>
              <w:t>ID</w:t>
            </w:r>
          </w:p>
        </w:tc>
        <w:tc>
          <w:tcPr>
            <w:tcW w:type="dxa" w:w="3900"/>
            <w:shd w:fill="E8EEF5"/>
            <w:tcMar>
              <w:top w:w="90" w:type="dxa"/>
              <w:start w:w="120" w:type="dxa"/>
              <w:bottom w:w="90" w:type="dxa"/>
              <w:end w:w="120" w:type="dxa"/>
            </w:tcMar>
            <w:vAlign w:val="center"/>
          </w:tcPr>
          <w:p>
            <w:pPr>
              <w:spacing w:after="0"/>
            </w:pPr>
            <w:r>
              <w:rPr>
                <w:b/>
                <w:color w:val="17365D"/>
                <w:sz w:val="18"/>
              </w:rPr>
              <w:t>Decision</w:t>
            </w:r>
          </w:p>
        </w:tc>
        <w:tc>
          <w:tcPr>
            <w:tcW w:type="dxa" w:w="4360"/>
            <w:shd w:fill="E8EEF5"/>
            <w:tcMar>
              <w:top w:w="90" w:type="dxa"/>
              <w:start w:w="120" w:type="dxa"/>
              <w:bottom w:w="90" w:type="dxa"/>
              <w:end w:w="120" w:type="dxa"/>
            </w:tcMar>
            <w:vAlign w:val="center"/>
          </w:tcPr>
          <w:p>
            <w:pPr>
              <w:spacing w:after="0"/>
            </w:pPr>
            <w:r>
              <w:rPr>
                <w:b/>
                <w:color w:val="17365D"/>
                <w:sz w:val="18"/>
              </w:rPr>
              <w:t>Rationale</w:t>
            </w:r>
          </w:p>
        </w:tc>
      </w:tr>
      <w:tr>
        <w:tc>
          <w:tcPr>
            <w:tcW w:type="dxa" w:w="1100"/>
            <w:tcMar>
              <w:top w:w="90" w:type="dxa"/>
              <w:start w:w="120" w:type="dxa"/>
              <w:bottom w:w="90" w:type="dxa"/>
              <w:end w:w="120" w:type="dxa"/>
            </w:tcMar>
            <w:vAlign w:val="center"/>
          </w:tcPr>
          <w:p>
            <w:pPr>
              <w:spacing w:after="0" w:line="252" w:lineRule="auto"/>
            </w:pPr>
            <w:r>
              <w:rPr>
                <w:sz w:val="18"/>
              </w:rPr>
              <w:t>AMD-001</w:t>
            </w:r>
          </w:p>
        </w:tc>
        <w:tc>
          <w:tcPr>
            <w:tcW w:type="dxa" w:w="3900"/>
            <w:tcMar>
              <w:top w:w="90" w:type="dxa"/>
              <w:start w:w="120" w:type="dxa"/>
              <w:bottom w:w="90" w:type="dxa"/>
              <w:end w:w="120" w:type="dxa"/>
            </w:tcMar>
            <w:vAlign w:val="center"/>
          </w:tcPr>
          <w:p>
            <w:pPr>
              <w:spacing w:after="0" w:line="252" w:lineRule="auto"/>
            </w:pPr>
            <w:r>
              <w:rPr>
                <w:sz w:val="18"/>
              </w:rPr>
              <w:t>Discrete emotions are independent intensities, not a probability distribution.</w:t>
            </w:r>
          </w:p>
        </w:tc>
        <w:tc>
          <w:tcPr>
            <w:tcW w:type="dxa" w:w="4360"/>
            <w:tcMar>
              <w:top w:w="90" w:type="dxa"/>
              <w:start w:w="120" w:type="dxa"/>
              <w:bottom w:w="90" w:type="dxa"/>
              <w:end w:w="120" w:type="dxa"/>
            </w:tcMar>
            <w:vAlign w:val="center"/>
          </w:tcPr>
          <w:p>
            <w:pPr>
              <w:spacing w:after="0" w:line="252" w:lineRule="auto"/>
            </w:pPr>
            <w:r>
              <w:rPr>
                <w:sz w:val="18"/>
              </w:rPr>
              <w:t>Mixed emotions can coexist at high intensity.</w:t>
            </w:r>
          </w:p>
        </w:tc>
      </w:tr>
      <w:tr>
        <w:tc>
          <w:tcPr>
            <w:tcW w:type="dxa" w:w="1100"/>
            <w:tcMar>
              <w:top w:w="90" w:type="dxa"/>
              <w:start w:w="120" w:type="dxa"/>
              <w:bottom w:w="90" w:type="dxa"/>
              <w:end w:w="120" w:type="dxa"/>
            </w:tcMar>
            <w:vAlign w:val="center"/>
          </w:tcPr>
          <w:p>
            <w:pPr>
              <w:spacing w:after="0" w:line="252" w:lineRule="auto"/>
            </w:pPr>
            <w:r>
              <w:rPr>
                <w:sz w:val="18"/>
              </w:rPr>
              <w:t>AMD-002</w:t>
            </w:r>
          </w:p>
        </w:tc>
        <w:tc>
          <w:tcPr>
            <w:tcW w:type="dxa" w:w="3900"/>
            <w:tcMar>
              <w:top w:w="90" w:type="dxa"/>
              <w:start w:w="120" w:type="dxa"/>
              <w:bottom w:w="90" w:type="dxa"/>
              <w:end w:w="120" w:type="dxa"/>
            </w:tcMar>
            <w:vAlign w:val="center"/>
          </w:tcPr>
          <w:p>
            <w:pPr>
              <w:spacing w:after="0" w:line="252" w:lineRule="auto"/>
            </w:pPr>
            <w:r>
              <w:rPr>
                <w:sz w:val="18"/>
              </w:rPr>
              <w:t>Uncertainty is represented separately from intensity.</w:t>
            </w:r>
          </w:p>
        </w:tc>
        <w:tc>
          <w:tcPr>
            <w:tcW w:type="dxa" w:w="4360"/>
            <w:tcMar>
              <w:top w:w="90" w:type="dxa"/>
              <w:start w:w="120" w:type="dxa"/>
              <w:bottom w:w="90" w:type="dxa"/>
              <w:end w:w="120" w:type="dxa"/>
            </w:tcMar>
            <w:vAlign w:val="center"/>
          </w:tcPr>
          <w:p>
            <w:pPr>
              <w:spacing w:after="0" w:line="252" w:lineRule="auto"/>
            </w:pPr>
            <w:r>
              <w:rPr>
                <w:sz w:val="18"/>
              </w:rPr>
              <w:t>The system may be unsure whether anger is present without treating anger as weak.</w:t>
            </w:r>
          </w:p>
        </w:tc>
      </w:tr>
      <w:tr>
        <w:tc>
          <w:tcPr>
            <w:tcW w:type="dxa" w:w="1100"/>
            <w:tcMar>
              <w:top w:w="90" w:type="dxa"/>
              <w:start w:w="120" w:type="dxa"/>
              <w:bottom w:w="90" w:type="dxa"/>
              <w:end w:w="120" w:type="dxa"/>
            </w:tcMar>
            <w:vAlign w:val="center"/>
          </w:tcPr>
          <w:p>
            <w:pPr>
              <w:spacing w:after="0" w:line="252" w:lineRule="auto"/>
            </w:pPr>
            <w:r>
              <w:rPr>
                <w:sz w:val="18"/>
              </w:rPr>
              <w:t>AMD-003</w:t>
            </w:r>
          </w:p>
        </w:tc>
        <w:tc>
          <w:tcPr>
            <w:tcW w:type="dxa" w:w="3900"/>
            <w:tcMar>
              <w:top w:w="90" w:type="dxa"/>
              <w:start w:w="120" w:type="dxa"/>
              <w:bottom w:w="90" w:type="dxa"/>
              <w:end w:w="120" w:type="dxa"/>
            </w:tcMar>
            <w:vAlign w:val="center"/>
          </w:tcPr>
          <w:p>
            <w:pPr>
              <w:spacing w:after="0" w:line="252" w:lineRule="auto"/>
            </w:pPr>
            <w:r>
              <w:rPr>
                <w:sz w:val="18"/>
              </w:rPr>
              <w:t>Core affect and discrete emotion are both represented.</w:t>
            </w:r>
          </w:p>
        </w:tc>
        <w:tc>
          <w:tcPr>
            <w:tcW w:type="dxa" w:w="4360"/>
            <w:tcMar>
              <w:top w:w="90" w:type="dxa"/>
              <w:start w:w="120" w:type="dxa"/>
              <w:bottom w:w="90" w:type="dxa"/>
              <w:end w:w="120" w:type="dxa"/>
            </w:tcMar>
            <w:vAlign w:val="center"/>
          </w:tcPr>
          <w:p>
            <w:pPr>
              <w:spacing w:after="0" w:line="252" w:lineRule="auto"/>
            </w:pPr>
            <w:r>
              <w:rPr>
                <w:sz w:val="18"/>
              </w:rPr>
              <w:t>Dimensions provide continuity; labels provide functional specificity.</w:t>
            </w:r>
          </w:p>
        </w:tc>
      </w:tr>
      <w:tr>
        <w:tc>
          <w:tcPr>
            <w:tcW w:type="dxa" w:w="1100"/>
            <w:tcMar>
              <w:top w:w="90" w:type="dxa"/>
              <w:start w:w="120" w:type="dxa"/>
              <w:bottom w:w="90" w:type="dxa"/>
              <w:end w:w="120" w:type="dxa"/>
            </w:tcMar>
            <w:vAlign w:val="center"/>
          </w:tcPr>
          <w:p>
            <w:pPr>
              <w:spacing w:after="0" w:line="252" w:lineRule="auto"/>
            </w:pPr>
            <w:r>
              <w:rPr>
                <w:sz w:val="18"/>
              </w:rPr>
              <w:t>AMD-004</w:t>
            </w:r>
          </w:p>
        </w:tc>
        <w:tc>
          <w:tcPr>
            <w:tcW w:type="dxa" w:w="3900"/>
            <w:tcMar>
              <w:top w:w="90" w:type="dxa"/>
              <w:start w:w="120" w:type="dxa"/>
              <w:bottom w:w="90" w:type="dxa"/>
              <w:end w:w="120" w:type="dxa"/>
            </w:tcMar>
            <w:vAlign w:val="center"/>
          </w:tcPr>
          <w:p>
            <w:pPr>
              <w:spacing w:after="0" w:line="252" w:lineRule="auto"/>
            </w:pPr>
            <w:r>
              <w:rPr>
                <w:sz w:val="18"/>
              </w:rPr>
              <w:t>Mood is slower than emotion and does not directly encode an event.</w:t>
            </w:r>
          </w:p>
        </w:tc>
        <w:tc>
          <w:tcPr>
            <w:tcW w:type="dxa" w:w="4360"/>
            <w:tcMar>
              <w:top w:w="90" w:type="dxa"/>
              <w:start w:w="120" w:type="dxa"/>
              <w:bottom w:w="90" w:type="dxa"/>
              <w:end w:w="120" w:type="dxa"/>
            </w:tcMar>
            <w:vAlign w:val="center"/>
          </w:tcPr>
          <w:p>
            <w:pPr>
              <w:spacing w:after="0" w:line="252" w:lineRule="auto"/>
            </w:pPr>
            <w:r>
              <w:rPr>
                <w:sz w:val="18"/>
              </w:rPr>
              <w:t>Prevents every short response from rewriting long-term disposition.</w:t>
            </w:r>
          </w:p>
        </w:tc>
      </w:tr>
      <w:tr>
        <w:tc>
          <w:tcPr>
            <w:tcW w:type="dxa" w:w="1100"/>
            <w:tcMar>
              <w:top w:w="90" w:type="dxa"/>
              <w:start w:w="120" w:type="dxa"/>
              <w:bottom w:w="90" w:type="dxa"/>
              <w:end w:w="120" w:type="dxa"/>
            </w:tcMar>
            <w:vAlign w:val="center"/>
          </w:tcPr>
          <w:p>
            <w:pPr>
              <w:spacing w:after="0" w:line="252" w:lineRule="auto"/>
            </w:pPr>
            <w:r>
              <w:rPr>
                <w:sz w:val="18"/>
              </w:rPr>
              <w:t>AMD-005</w:t>
            </w:r>
          </w:p>
        </w:tc>
        <w:tc>
          <w:tcPr>
            <w:tcW w:type="dxa" w:w="3900"/>
            <w:tcMar>
              <w:top w:w="90" w:type="dxa"/>
              <w:start w:w="120" w:type="dxa"/>
              <w:bottom w:w="90" w:type="dxa"/>
              <w:end w:w="120" w:type="dxa"/>
            </w:tcMar>
            <w:vAlign w:val="center"/>
          </w:tcPr>
          <w:p>
            <w:pPr>
              <w:spacing w:after="0" w:line="252" w:lineRule="auto"/>
            </w:pPr>
            <w:r>
              <w:rPr>
                <w:sz w:val="18"/>
              </w:rPr>
              <w:t>Action tendencies are part of state but not actions.</w:t>
            </w:r>
          </w:p>
        </w:tc>
        <w:tc>
          <w:tcPr>
            <w:tcW w:type="dxa" w:w="4360"/>
            <w:tcMar>
              <w:top w:w="90" w:type="dxa"/>
              <w:start w:w="120" w:type="dxa"/>
              <w:bottom w:w="90" w:type="dxa"/>
              <w:end w:w="120" w:type="dxa"/>
            </w:tcMar>
            <w:vAlign w:val="center"/>
          </w:tcPr>
          <w:p>
            <w:pPr>
              <w:spacing w:after="0" w:line="252" w:lineRule="auto"/>
            </w:pPr>
            <w:r>
              <w:rPr>
                <w:sz w:val="18"/>
              </w:rPr>
              <w:t>Safety and arbitration remain outside emotional activation.</w:t>
            </w:r>
          </w:p>
        </w:tc>
      </w:tr>
      <w:tr>
        <w:tc>
          <w:tcPr>
            <w:tcW w:type="dxa" w:w="1100"/>
            <w:tcMar>
              <w:top w:w="90" w:type="dxa"/>
              <w:start w:w="120" w:type="dxa"/>
              <w:bottom w:w="90" w:type="dxa"/>
              <w:end w:w="120" w:type="dxa"/>
            </w:tcMar>
            <w:vAlign w:val="center"/>
          </w:tcPr>
          <w:p>
            <w:pPr>
              <w:spacing w:after="0" w:line="252" w:lineRule="auto"/>
            </w:pPr>
            <w:r>
              <w:rPr>
                <w:sz w:val="18"/>
              </w:rPr>
              <w:t>AMD-006</w:t>
            </w:r>
          </w:p>
        </w:tc>
        <w:tc>
          <w:tcPr>
            <w:tcW w:type="dxa" w:w="3900"/>
            <w:tcMar>
              <w:top w:w="90" w:type="dxa"/>
              <w:start w:w="120" w:type="dxa"/>
              <w:bottom w:w="90" w:type="dxa"/>
              <w:end w:w="120" w:type="dxa"/>
            </w:tcMar>
            <w:vAlign w:val="center"/>
          </w:tcPr>
          <w:p>
            <w:pPr>
              <w:spacing w:after="0" w:line="252" w:lineRule="auto"/>
            </w:pPr>
            <w:r>
              <w:rPr>
                <w:sz w:val="18"/>
              </w:rPr>
              <w:t>The transition kernel is deterministic for fixed inputs, clock, configuration, and seed.</w:t>
            </w:r>
          </w:p>
        </w:tc>
        <w:tc>
          <w:tcPr>
            <w:tcW w:type="dxa" w:w="4360"/>
            <w:tcMar>
              <w:top w:w="90" w:type="dxa"/>
              <w:start w:w="120" w:type="dxa"/>
              <w:bottom w:w="90" w:type="dxa"/>
              <w:end w:w="120" w:type="dxa"/>
            </w:tcMar>
            <w:vAlign w:val="center"/>
          </w:tcPr>
          <w:p>
            <w:pPr>
              <w:spacing w:after="0" w:line="252" w:lineRule="auto"/>
            </w:pPr>
            <w:r>
              <w:rPr>
                <w:sz w:val="18"/>
              </w:rPr>
              <w:t>Enables replay, property tests, and causal evaluation.</w:t>
            </w:r>
          </w:p>
        </w:tc>
      </w:tr>
      <w:tr>
        <w:tc>
          <w:tcPr>
            <w:tcW w:type="dxa" w:w="1100"/>
            <w:tcMar>
              <w:top w:w="90" w:type="dxa"/>
              <w:start w:w="120" w:type="dxa"/>
              <w:bottom w:w="90" w:type="dxa"/>
              <w:end w:w="120" w:type="dxa"/>
            </w:tcMar>
            <w:vAlign w:val="center"/>
          </w:tcPr>
          <w:p>
            <w:pPr>
              <w:spacing w:after="0" w:line="252" w:lineRule="auto"/>
            </w:pPr>
            <w:r>
              <w:rPr>
                <w:sz w:val="18"/>
              </w:rPr>
              <w:t>AMD-007</w:t>
            </w:r>
          </w:p>
        </w:tc>
        <w:tc>
          <w:tcPr>
            <w:tcW w:type="dxa" w:w="3900"/>
            <w:tcMar>
              <w:top w:w="90" w:type="dxa"/>
              <w:start w:w="120" w:type="dxa"/>
              <w:bottom w:w="90" w:type="dxa"/>
              <w:end w:w="120" w:type="dxa"/>
            </w:tcMar>
            <w:vAlign w:val="center"/>
          </w:tcPr>
          <w:p>
            <w:pPr>
              <w:spacing w:after="0" w:line="252" w:lineRule="auto"/>
            </w:pPr>
            <w:r>
              <w:rPr>
                <w:sz w:val="18"/>
              </w:rPr>
              <w:t>Fast and slow appraisals create separate linked transitions.</w:t>
            </w:r>
          </w:p>
        </w:tc>
        <w:tc>
          <w:tcPr>
            <w:tcW w:type="dxa" w:w="4360"/>
            <w:tcMar>
              <w:top w:w="90" w:type="dxa"/>
              <w:start w:w="120" w:type="dxa"/>
              <w:bottom w:w="90" w:type="dxa"/>
              <w:end w:w="120" w:type="dxa"/>
            </w:tcMar>
            <w:vAlign w:val="center"/>
          </w:tcPr>
          <w:p>
            <w:pPr>
              <w:spacing w:after="0" w:line="252" w:lineRule="auto"/>
            </w:pPr>
            <w:r>
              <w:rPr>
                <w:sz w:val="18"/>
              </w:rPr>
              <w:t>Reappraisal is observable and never rewrites history.</w:t>
            </w:r>
          </w:p>
        </w:tc>
      </w:tr>
      <w:tr>
        <w:tc>
          <w:tcPr>
            <w:tcW w:type="dxa" w:w="1100"/>
            <w:tcMar>
              <w:top w:w="90" w:type="dxa"/>
              <w:start w:w="120" w:type="dxa"/>
              <w:bottom w:w="90" w:type="dxa"/>
              <w:end w:w="120" w:type="dxa"/>
            </w:tcMar>
            <w:vAlign w:val="center"/>
          </w:tcPr>
          <w:p>
            <w:pPr>
              <w:spacing w:after="0" w:line="252" w:lineRule="auto"/>
            </w:pPr>
            <w:r>
              <w:rPr>
                <w:sz w:val="18"/>
              </w:rPr>
              <w:t>AMD-008</w:t>
            </w:r>
          </w:p>
        </w:tc>
        <w:tc>
          <w:tcPr>
            <w:tcW w:type="dxa" w:w="3900"/>
            <w:tcMar>
              <w:top w:w="90" w:type="dxa"/>
              <w:start w:w="120" w:type="dxa"/>
              <w:bottom w:w="90" w:type="dxa"/>
              <w:end w:w="120" w:type="dxa"/>
            </w:tcMar>
            <w:vAlign w:val="center"/>
          </w:tcPr>
          <w:p>
            <w:pPr>
              <w:spacing w:after="0" w:line="252" w:lineRule="auto"/>
            </w:pPr>
            <w:r>
              <w:rPr>
                <w:sz w:val="18"/>
              </w:rPr>
              <w:t>Interoception is a derived, partial observation.</w:t>
            </w:r>
          </w:p>
        </w:tc>
        <w:tc>
          <w:tcPr>
            <w:tcW w:type="dxa" w:w="4360"/>
            <w:tcMar>
              <w:top w:w="90" w:type="dxa"/>
              <w:start w:w="120" w:type="dxa"/>
              <w:bottom w:w="90" w:type="dxa"/>
              <w:end w:w="120" w:type="dxa"/>
            </w:tcMar>
            <w:vAlign w:val="center"/>
          </w:tcPr>
          <w:p>
            <w:pPr>
              <w:spacing w:after="0" w:line="252" w:lineRule="auto"/>
            </w:pPr>
            <w:r>
              <w:rPr>
                <w:sz w:val="18"/>
              </w:rPr>
              <w:t>The acting agent cannot directly inspect or set authoritative state.</w:t>
            </w:r>
          </w:p>
        </w:tc>
      </w:tr>
    </w:tbl>
    <w:p>
      <w:pPr>
        <w:spacing w:after="0"/>
      </w:pPr>
    </w:p>
    <w:p>
      <w:pPr>
        <w:pStyle w:val="Heading1"/>
      </w:pPr>
      <w:r>
        <w:t>Contents</w:t>
      </w:r>
    </w:p>
    <w:p>
      <w:r>
        <w:rPr>
          <w:i w:val="0"/>
        </w:rPr>
        <w:t>1. Purpose, scope, and modeling stance</w:t>
      </w:r>
    </w:p>
    <w:p>
      <w:r>
        <w:rPr>
          <w:i w:val="0"/>
        </w:rPr>
        <w:t>2. State architecture</w:t>
      </w:r>
    </w:p>
    <w:p>
      <w:r>
        <w:rPr>
          <w:i w:val="0"/>
        </w:rPr>
        <w:t>3. Emotion ontology</w:t>
      </w:r>
    </w:p>
    <w:p>
      <w:r>
        <w:rPr>
          <w:i w:val="0"/>
        </w:rPr>
        <w:t>4. Core affect and mood</w:t>
      </w:r>
    </w:p>
    <w:p>
      <w:r>
        <w:rPr>
          <w:i w:val="0"/>
        </w:rPr>
        <w:t>5. Appraisal model</w:t>
      </w:r>
    </w:p>
    <w:p>
      <w:r>
        <w:rPr>
          <w:i w:val="0"/>
        </w:rPr>
        <w:t>6. Transition mathematics</w:t>
      </w:r>
    </w:p>
    <w:p>
      <w:r>
        <w:rPr>
          <w:i w:val="0"/>
        </w:rPr>
        <w:t>7. Emotion interactions and action tendencies</w:t>
      </w:r>
    </w:p>
    <w:p>
      <w:r>
        <w:rPr>
          <w:i w:val="0"/>
        </w:rPr>
        <w:t>8. Fast and slow pathways</w:t>
      </w:r>
    </w:p>
    <w:p>
      <w:r>
        <w:rPr>
          <w:i w:val="0"/>
        </w:rPr>
        <w:t>9. Regulation</w:t>
      </w:r>
    </w:p>
    <w:p>
      <w:r>
        <w:rPr>
          <w:i w:val="0"/>
        </w:rPr>
        <w:t>10. Interoception</w:t>
      </w:r>
    </w:p>
    <w:p>
      <w:r>
        <w:rPr>
          <w:i w:val="0"/>
        </w:rPr>
        <w:t>11. Memory-conditioned affect</w:t>
      </w:r>
    </w:p>
    <w:p>
      <w:r>
        <w:rPr>
          <w:i w:val="0"/>
        </w:rPr>
        <w:t>12. Confidence and uncertainty</w:t>
      </w:r>
    </w:p>
    <w:p>
      <w:r>
        <w:rPr>
          <w:i w:val="0"/>
        </w:rPr>
        <w:t>13. Configuration and profiles</w:t>
      </w:r>
    </w:p>
    <w:p>
      <w:r>
        <w:rPr>
          <w:i w:val="0"/>
        </w:rPr>
        <w:t>14. Invariants and edge cases</w:t>
      </w:r>
    </w:p>
    <w:p>
      <w:r>
        <w:rPr>
          <w:i w:val="0"/>
        </w:rPr>
        <w:t>15. Worked examples</w:t>
      </w:r>
    </w:p>
    <w:p>
      <w:r>
        <w:rPr>
          <w:i w:val="0"/>
        </w:rPr>
        <w:t>16. Calibration and evaluation</w:t>
      </w:r>
    </w:p>
    <w:p>
      <w:r>
        <w:rPr>
          <w:i w:val="0"/>
        </w:rPr>
        <w:t>17. MVP defaults and open questions</w:t>
      </w:r>
    </w:p>
    <w:p>
      <w:r>
        <w:rPr>
          <w:i w:val="0"/>
        </w:rPr>
        <w:t>Appendices</w:t>
      </w:r>
    </w:p>
    <w:p>
      <w:r>
        <w:br w:type="page"/>
      </w:r>
    </w:p>
    <w:p>
      <w:pPr>
        <w:pStyle w:val="Heading1"/>
      </w:pPr>
      <w:r>
        <w:t>1. Purpose, scope, and modeling stance</w:t>
      </w:r>
    </w:p>
    <w:p>
      <w:r>
        <w:rPr>
          <w:i w:val="0"/>
        </w:rPr>
        <w:t>This specification defines the authoritative state held by Manyu Core and the rules by which that state changes. It is deliberately smaller than a complete psychological theory. Its job is to support coherent, persistent, bounded, and empirically testable affective influence in an AI agent.</w:t>
      </w:r>
    </w:p>
    <w:p>
      <w:pPr>
        <w:pStyle w:val="Heading2"/>
      </w:pPr>
      <w:r>
        <w:t>1.1 Model objectives</w:t>
      </w:r>
    </w:p>
    <w:p>
      <w:pPr>
        <w:pStyle w:val="ListBullet"/>
      </w:pPr>
      <w:r>
        <w:t>Represent simultaneous and temporally evolving affect.</w:t>
      </w:r>
    </w:p>
    <w:p>
      <w:pPr>
        <w:pStyle w:val="ListBullet"/>
      </w:pPr>
      <w:r>
        <w:t>Make event appraisal relative to goals, expectations, agency, control, norms, and relationships.</w:t>
      </w:r>
    </w:p>
    <w:p>
      <w:pPr>
        <w:pStyle w:val="ListBullet"/>
      </w:pPr>
      <w:r>
        <w:t>Support rapid reactions followed by contextual reappraisal.</w:t>
      </w:r>
    </w:p>
    <w:p>
      <w:pPr>
        <w:pStyle w:val="ListBullet"/>
      </w:pPr>
      <w:r>
        <w:t>Influence cognition through explicit action tendencies and modulation signals.</w:t>
      </w:r>
    </w:p>
    <w:p>
      <w:pPr>
        <w:pStyle w:val="ListBullet"/>
      </w:pPr>
      <w:r>
        <w:t>Recover toward stable baselines without erasing meaningful history.</w:t>
      </w:r>
    </w:p>
    <w:p>
      <w:pPr>
        <w:pStyle w:val="ListBullet"/>
      </w:pPr>
      <w:r>
        <w:t>Separate authoritative state, uncertainty, expression, and self-report.</w:t>
      </w:r>
    </w:p>
    <w:p>
      <w:pPr>
        <w:pStyle w:val="Heading2"/>
      </w:pPr>
      <w:r>
        <w:t>1.2 Non-objectives</w:t>
      </w:r>
    </w:p>
    <w:p>
      <w:pPr>
        <w:pStyle w:val="ListBullet"/>
      </w:pPr>
      <w:r>
        <w:t>Reproduce human neurobiology.</w:t>
      </w:r>
    </w:p>
    <w:p>
      <w:pPr>
        <w:pStyle w:val="ListBullet"/>
      </w:pPr>
      <w:r>
        <w:t>Diagnose human mental states.</w:t>
      </w:r>
    </w:p>
    <w:p>
      <w:pPr>
        <w:pStyle w:val="ListBullet"/>
      </w:pPr>
      <w:r>
        <w:t>Treat language style as proof of emotion.</w:t>
      </w:r>
    </w:p>
    <w:p>
      <w:pPr>
        <w:pStyle w:val="ListBullet"/>
      </w:pPr>
      <w:r>
        <w:t>Optimize emotional intensity or attachment.</w:t>
      </w:r>
    </w:p>
    <w:p>
      <w:pPr>
        <w:pStyle w:val="ListBullet"/>
      </w:pPr>
      <w:r>
        <w:t>Create unconstrained motivational drives.</w:t>
      </w:r>
    </w:p>
    <w:p>
      <w:pPr>
        <w:pStyle w:val="Heading2"/>
      </w:pPr>
      <w:r>
        <w:t>1.3 Modeling stance</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tcMar>
              <w:top w:w="90" w:type="dxa"/>
              <w:start w:w="120" w:type="dxa"/>
              <w:bottom w:w="90" w:type="dxa"/>
              <w:end w:w="120" w:type="dxa"/>
            </w:tcMar>
            <w:vAlign w:val="center"/>
          </w:tcPr>
          <w:p>
            <w:pPr>
              <w:spacing w:after="0"/>
            </w:pPr>
            <w:r>
              <w:rPr>
                <w:b/>
                <w:color w:val="17365D"/>
              </w:rPr>
              <w:t xml:space="preserve">Functional definition: </w:t>
            </w:r>
            <w:r>
              <w:t>An emotion in Manyu is a bounded, event-sensitive operational state that summarizes appraisal, persists over time, prepares classes of action, biases cognition, and can be regulated or reappraised.</w:t>
            </w:r>
          </w:p>
        </w:tc>
        <w:trPr>
          <w:tblHeader/>
        </w:trPr>
      </w:tr>
    </w:tbl>
    <w:p>
      <w:pPr>
        <w:spacing w:after="0"/>
      </w:pPr>
    </w:p>
    <w:p>
      <w:pPr>
        <w:pStyle w:val="Heading1"/>
      </w:pPr>
      <w:r>
        <w:t>2. State architecture</w:t>
      </w:r>
    </w:p>
    <w:p>
      <w:pPr>
        <w:pStyle w:val="Heading2"/>
      </w:pPr>
      <w:r>
        <w:t>2.1 Authoritative state vector</w:t>
      </w:r>
    </w:p>
    <w:p>
      <w:pPr>
        <w:spacing w:before="120" w:after="160"/>
        <w:jc w:val="center"/>
      </w:pPr>
      <w:r>
        <w:rPr>
          <w:rFonts w:ascii="Cambria Math" w:hAnsi="Cambria Math"/>
          <w:i/>
          <w:color w:val="17365D"/>
          <w:sz w:val="22"/>
        </w:rPr>
        <w:t>S(t) = {E(t), C(t), M(t), A(t), R(t), Q(t)}</w:t>
      </w:r>
    </w:p>
    <w:tbl>
      <w:tblPr>
        <w:tblStyle w:val="TableGrid"/>
        <w:tblW w:type="dxa" w:w="9360"/>
        <w:jc w:val="center"/>
        <w:tblLayout w:type="fixed"/>
        <w:tblLook w:firstColumn="1" w:firstRow="1" w:lastColumn="0" w:lastRow="0" w:noHBand="0" w:noVBand="1" w:val="04A0"/>
        <w:tblInd w:w="120" w:type="dxa"/>
      </w:tblPr>
      <w:tblGrid>
        <w:gridCol w:w="1000"/>
        <w:gridCol w:w="2100"/>
        <w:gridCol w:w="6260"/>
      </w:tblGrid>
      <w:tr>
        <w:trPr>
          <w:tblHeader w:val="true"/>
        </w:trPr>
        <w:tc>
          <w:tcPr>
            <w:tcW w:type="dxa" w:w="1000"/>
            <w:shd w:fill="E8EEF5"/>
            <w:tcMar>
              <w:top w:w="90" w:type="dxa"/>
              <w:start w:w="120" w:type="dxa"/>
              <w:bottom w:w="90" w:type="dxa"/>
              <w:end w:w="120" w:type="dxa"/>
            </w:tcMar>
            <w:vAlign w:val="center"/>
          </w:tcPr>
          <w:p>
            <w:pPr>
              <w:spacing w:after="0"/>
            </w:pPr>
            <w:r>
              <w:rPr>
                <w:b/>
                <w:color w:val="17365D"/>
                <w:sz w:val="18"/>
              </w:rPr>
              <w:t>Symbol</w:t>
            </w:r>
          </w:p>
        </w:tc>
        <w:tc>
          <w:tcPr>
            <w:tcW w:type="dxa" w:w="2100"/>
            <w:shd w:fill="E8EEF5"/>
            <w:tcMar>
              <w:top w:w="90" w:type="dxa"/>
              <w:start w:w="120" w:type="dxa"/>
              <w:bottom w:w="90" w:type="dxa"/>
              <w:end w:w="120" w:type="dxa"/>
            </w:tcMar>
            <w:vAlign w:val="center"/>
          </w:tcPr>
          <w:p>
            <w:pPr>
              <w:spacing w:after="0"/>
            </w:pPr>
            <w:r>
              <w:rPr>
                <w:b/>
                <w:color w:val="17365D"/>
                <w:sz w:val="18"/>
              </w:rPr>
              <w:t>Layer</w:t>
            </w:r>
          </w:p>
        </w:tc>
        <w:tc>
          <w:tcPr>
            <w:tcW w:type="dxa" w:w="6260"/>
            <w:shd w:fill="E8EEF5"/>
            <w:tcMar>
              <w:top w:w="90" w:type="dxa"/>
              <w:start w:w="120" w:type="dxa"/>
              <w:bottom w:w="90" w:type="dxa"/>
              <w:end w:w="120" w:type="dxa"/>
            </w:tcMar>
            <w:vAlign w:val="center"/>
          </w:tcPr>
          <w:p>
            <w:pPr>
              <w:spacing w:after="0"/>
            </w:pPr>
            <w:r>
              <w:rPr>
                <w:b/>
                <w:color w:val="17365D"/>
                <w:sz w:val="18"/>
              </w:rPr>
              <w:t>Meaning</w:t>
            </w:r>
          </w:p>
        </w:tc>
      </w:tr>
      <w:tr>
        <w:tc>
          <w:tcPr>
            <w:tcW w:type="dxa" w:w="1000"/>
            <w:tcMar>
              <w:top w:w="90" w:type="dxa"/>
              <w:start w:w="120" w:type="dxa"/>
              <w:bottom w:w="90" w:type="dxa"/>
              <w:end w:w="120" w:type="dxa"/>
            </w:tcMar>
            <w:vAlign w:val="center"/>
          </w:tcPr>
          <w:p>
            <w:pPr>
              <w:spacing w:after="0" w:line="252" w:lineRule="auto"/>
            </w:pPr>
            <w:r>
              <w:rPr>
                <w:sz w:val="18"/>
              </w:rPr>
              <w:t>E(t)</w:t>
            </w:r>
          </w:p>
        </w:tc>
        <w:tc>
          <w:tcPr>
            <w:tcW w:type="dxa" w:w="2100"/>
            <w:tcMar>
              <w:top w:w="90" w:type="dxa"/>
              <w:start w:w="120" w:type="dxa"/>
              <w:bottom w:w="90" w:type="dxa"/>
              <w:end w:w="120" w:type="dxa"/>
            </w:tcMar>
            <w:vAlign w:val="center"/>
          </w:tcPr>
          <w:p>
            <w:pPr>
              <w:spacing w:after="0" w:line="252" w:lineRule="auto"/>
            </w:pPr>
            <w:r>
              <w:rPr>
                <w:sz w:val="18"/>
              </w:rPr>
              <w:t>Discrete emotion</w:t>
            </w:r>
          </w:p>
        </w:tc>
        <w:tc>
          <w:tcPr>
            <w:tcW w:type="dxa" w:w="6260"/>
            <w:tcMar>
              <w:top w:w="90" w:type="dxa"/>
              <w:start w:w="120" w:type="dxa"/>
              <w:bottom w:w="90" w:type="dxa"/>
              <w:end w:w="120" w:type="dxa"/>
            </w:tcMar>
            <w:vAlign w:val="center"/>
          </w:tcPr>
          <w:p>
            <w:pPr>
              <w:spacing w:after="0" w:line="252" w:lineRule="auto"/>
            </w:pPr>
            <w:r>
              <w:rPr>
                <w:sz w:val="18"/>
              </w:rPr>
              <w:t>Independent emotion intensities associated with recent appraisals.</w:t>
            </w:r>
          </w:p>
        </w:tc>
      </w:tr>
      <w:tr>
        <w:tc>
          <w:tcPr>
            <w:tcW w:type="dxa" w:w="1000"/>
            <w:tcMar>
              <w:top w:w="90" w:type="dxa"/>
              <w:start w:w="120" w:type="dxa"/>
              <w:bottom w:w="90" w:type="dxa"/>
              <w:end w:w="120" w:type="dxa"/>
            </w:tcMar>
            <w:vAlign w:val="center"/>
          </w:tcPr>
          <w:p>
            <w:pPr>
              <w:spacing w:after="0" w:line="252" w:lineRule="auto"/>
            </w:pPr>
            <w:r>
              <w:rPr>
                <w:sz w:val="18"/>
              </w:rPr>
              <w:t>C(t)</w:t>
            </w:r>
          </w:p>
        </w:tc>
        <w:tc>
          <w:tcPr>
            <w:tcW w:type="dxa" w:w="2100"/>
            <w:tcMar>
              <w:top w:w="90" w:type="dxa"/>
              <w:start w:w="120" w:type="dxa"/>
              <w:bottom w:w="90" w:type="dxa"/>
              <w:end w:w="120" w:type="dxa"/>
            </w:tcMar>
            <w:vAlign w:val="center"/>
          </w:tcPr>
          <w:p>
            <w:pPr>
              <w:spacing w:after="0" w:line="252" w:lineRule="auto"/>
            </w:pPr>
            <w:r>
              <w:rPr>
                <w:sz w:val="18"/>
              </w:rPr>
              <w:t>Core affect</w:t>
            </w:r>
          </w:p>
        </w:tc>
        <w:tc>
          <w:tcPr>
            <w:tcW w:type="dxa" w:w="6260"/>
            <w:tcMar>
              <w:top w:w="90" w:type="dxa"/>
              <w:start w:w="120" w:type="dxa"/>
              <w:bottom w:w="90" w:type="dxa"/>
              <w:end w:w="120" w:type="dxa"/>
            </w:tcMar>
            <w:vAlign w:val="center"/>
          </w:tcPr>
          <w:p>
            <w:pPr>
              <w:spacing w:after="0" w:line="252" w:lineRule="auto"/>
            </w:pPr>
            <w:r>
              <w:rPr>
                <w:sz w:val="18"/>
              </w:rPr>
              <w:t>Valence, arousal, and control/dominance dimensions.</w:t>
            </w:r>
          </w:p>
        </w:tc>
      </w:tr>
      <w:tr>
        <w:tc>
          <w:tcPr>
            <w:tcW w:type="dxa" w:w="1000"/>
            <w:tcMar>
              <w:top w:w="90" w:type="dxa"/>
              <w:start w:w="120" w:type="dxa"/>
              <w:bottom w:w="90" w:type="dxa"/>
              <w:end w:w="120" w:type="dxa"/>
            </w:tcMar>
            <w:vAlign w:val="center"/>
          </w:tcPr>
          <w:p>
            <w:pPr>
              <w:spacing w:after="0" w:line="252" w:lineRule="auto"/>
            </w:pPr>
            <w:r>
              <w:rPr>
                <w:sz w:val="18"/>
              </w:rPr>
              <w:t>M(t)</w:t>
            </w:r>
          </w:p>
        </w:tc>
        <w:tc>
          <w:tcPr>
            <w:tcW w:type="dxa" w:w="2100"/>
            <w:tcMar>
              <w:top w:w="90" w:type="dxa"/>
              <w:start w:w="120" w:type="dxa"/>
              <w:bottom w:w="90" w:type="dxa"/>
              <w:end w:w="120" w:type="dxa"/>
            </w:tcMar>
            <w:vAlign w:val="center"/>
          </w:tcPr>
          <w:p>
            <w:pPr>
              <w:spacing w:after="0" w:line="252" w:lineRule="auto"/>
            </w:pPr>
            <w:r>
              <w:rPr>
                <w:sz w:val="18"/>
              </w:rPr>
              <w:t>Mood</w:t>
            </w:r>
          </w:p>
        </w:tc>
        <w:tc>
          <w:tcPr>
            <w:tcW w:type="dxa" w:w="6260"/>
            <w:tcMar>
              <w:top w:w="90" w:type="dxa"/>
              <w:start w:w="120" w:type="dxa"/>
              <w:bottom w:w="90" w:type="dxa"/>
              <w:end w:w="120" w:type="dxa"/>
            </w:tcMar>
            <w:vAlign w:val="center"/>
          </w:tcPr>
          <w:p>
            <w:pPr>
              <w:spacing w:after="0" w:line="252" w:lineRule="auto"/>
            </w:pPr>
            <w:r>
              <w:rPr>
                <w:sz w:val="18"/>
              </w:rPr>
              <w:t>Slow-moving background affective bias.</w:t>
            </w:r>
          </w:p>
        </w:tc>
      </w:tr>
      <w:tr>
        <w:tc>
          <w:tcPr>
            <w:tcW w:type="dxa" w:w="1000"/>
            <w:tcMar>
              <w:top w:w="90" w:type="dxa"/>
              <w:start w:w="120" w:type="dxa"/>
              <w:bottom w:w="90" w:type="dxa"/>
              <w:end w:w="120" w:type="dxa"/>
            </w:tcMar>
            <w:vAlign w:val="center"/>
          </w:tcPr>
          <w:p>
            <w:pPr>
              <w:spacing w:after="0" w:line="252" w:lineRule="auto"/>
            </w:pPr>
            <w:r>
              <w:rPr>
                <w:sz w:val="18"/>
              </w:rPr>
              <w:t>A(t)</w:t>
            </w:r>
          </w:p>
        </w:tc>
        <w:tc>
          <w:tcPr>
            <w:tcW w:type="dxa" w:w="2100"/>
            <w:tcMar>
              <w:top w:w="90" w:type="dxa"/>
              <w:start w:w="120" w:type="dxa"/>
              <w:bottom w:w="90" w:type="dxa"/>
              <w:end w:w="120" w:type="dxa"/>
            </w:tcMar>
            <w:vAlign w:val="center"/>
          </w:tcPr>
          <w:p>
            <w:pPr>
              <w:spacing w:after="0" w:line="252" w:lineRule="auto"/>
            </w:pPr>
            <w:r>
              <w:rPr>
                <w:sz w:val="18"/>
              </w:rPr>
              <w:t>Action tendencies</w:t>
            </w:r>
          </w:p>
        </w:tc>
        <w:tc>
          <w:tcPr>
            <w:tcW w:type="dxa" w:w="6260"/>
            <w:tcMar>
              <w:top w:w="90" w:type="dxa"/>
              <w:start w:w="120" w:type="dxa"/>
              <w:bottom w:w="90" w:type="dxa"/>
              <w:end w:w="120" w:type="dxa"/>
            </w:tcMar>
            <w:vAlign w:val="center"/>
          </w:tcPr>
          <w:p>
            <w:pPr>
              <w:spacing w:after="0" w:line="252" w:lineRule="auto"/>
            </w:pPr>
            <w:r>
              <w:rPr>
                <w:sz w:val="18"/>
              </w:rPr>
              <w:t>Prepared orientations such as approach, avoid, repair, or explore.</w:t>
            </w:r>
          </w:p>
        </w:tc>
      </w:tr>
      <w:tr>
        <w:tc>
          <w:tcPr>
            <w:tcW w:type="dxa" w:w="1000"/>
            <w:tcMar>
              <w:top w:w="90" w:type="dxa"/>
              <w:start w:w="120" w:type="dxa"/>
              <w:bottom w:w="90" w:type="dxa"/>
              <w:end w:w="120" w:type="dxa"/>
            </w:tcMar>
            <w:vAlign w:val="center"/>
          </w:tcPr>
          <w:p>
            <w:pPr>
              <w:spacing w:after="0" w:line="252" w:lineRule="auto"/>
            </w:pPr>
            <w:r>
              <w:rPr>
                <w:sz w:val="18"/>
              </w:rPr>
              <w:t>R(t)</w:t>
            </w:r>
          </w:p>
        </w:tc>
        <w:tc>
          <w:tcPr>
            <w:tcW w:type="dxa" w:w="2100"/>
            <w:tcMar>
              <w:top w:w="90" w:type="dxa"/>
              <w:start w:w="120" w:type="dxa"/>
              <w:bottom w:w="90" w:type="dxa"/>
              <w:end w:w="120" w:type="dxa"/>
            </w:tcMar>
            <w:vAlign w:val="center"/>
          </w:tcPr>
          <w:p>
            <w:pPr>
              <w:spacing w:after="0" w:line="252" w:lineRule="auto"/>
            </w:pPr>
            <w:r>
              <w:rPr>
                <w:sz w:val="18"/>
              </w:rPr>
              <w:t>Regulation</w:t>
            </w:r>
          </w:p>
        </w:tc>
        <w:tc>
          <w:tcPr>
            <w:tcW w:type="dxa" w:w="6260"/>
            <w:tcMar>
              <w:top w:w="90" w:type="dxa"/>
              <w:start w:w="120" w:type="dxa"/>
              <w:bottom w:w="90" w:type="dxa"/>
              <w:end w:w="120" w:type="dxa"/>
            </w:tcMar>
            <w:vAlign w:val="center"/>
          </w:tcPr>
          <w:p>
            <w:pPr>
              <w:spacing w:after="0" w:line="252" w:lineRule="auto"/>
            </w:pPr>
            <w:r>
              <w:rPr>
                <w:sz w:val="18"/>
              </w:rPr>
              <w:t>Active processes that alter appraisal, intensity, expression, or influence.</w:t>
            </w:r>
          </w:p>
        </w:tc>
      </w:tr>
      <w:tr>
        <w:tc>
          <w:tcPr>
            <w:tcW w:type="dxa" w:w="1000"/>
            <w:tcMar>
              <w:top w:w="90" w:type="dxa"/>
              <w:start w:w="120" w:type="dxa"/>
              <w:bottom w:w="90" w:type="dxa"/>
              <w:end w:w="120" w:type="dxa"/>
            </w:tcMar>
            <w:vAlign w:val="center"/>
          </w:tcPr>
          <w:p>
            <w:pPr>
              <w:spacing w:after="0" w:line="252" w:lineRule="auto"/>
            </w:pPr>
            <w:r>
              <w:rPr>
                <w:sz w:val="18"/>
              </w:rPr>
              <w:t>Q(t)</w:t>
            </w:r>
          </w:p>
        </w:tc>
        <w:tc>
          <w:tcPr>
            <w:tcW w:type="dxa" w:w="2100"/>
            <w:tcMar>
              <w:top w:w="90" w:type="dxa"/>
              <w:start w:w="120" w:type="dxa"/>
              <w:bottom w:w="90" w:type="dxa"/>
              <w:end w:w="120" w:type="dxa"/>
            </w:tcMar>
            <w:vAlign w:val="center"/>
          </w:tcPr>
          <w:p>
            <w:pPr>
              <w:spacing w:after="0" w:line="252" w:lineRule="auto"/>
            </w:pPr>
            <w:r>
              <w:rPr>
                <w:sz w:val="18"/>
              </w:rPr>
              <w:t>Quality metadata</w:t>
            </w:r>
          </w:p>
        </w:tc>
        <w:tc>
          <w:tcPr>
            <w:tcW w:type="dxa" w:w="6260"/>
            <w:tcMar>
              <w:top w:w="90" w:type="dxa"/>
              <w:start w:w="120" w:type="dxa"/>
              <w:bottom w:w="90" w:type="dxa"/>
              <w:end w:w="120" w:type="dxa"/>
            </w:tcMar>
            <w:vAlign w:val="center"/>
          </w:tcPr>
          <w:p>
            <w:pPr>
              <w:spacing w:after="0" w:line="252" w:lineRule="auto"/>
            </w:pPr>
            <w:r>
              <w:rPr>
                <w:sz w:val="18"/>
              </w:rPr>
              <w:t>Revision, timestamps, confidence, saturation, and provenance.</w:t>
            </w:r>
          </w:p>
        </w:tc>
      </w:tr>
    </w:tbl>
    <w:p>
      <w:pPr>
        <w:spacing w:after="0"/>
      </w:pPr>
    </w:p>
    <w:p>
      <w:pPr>
        <w:pStyle w:val="Heading2"/>
      </w:pPr>
      <w:r>
        <w:t>2.2 State lifecycle</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7F8FA"/>
            <w:tcMar>
              <w:top w:w="90" w:type="dxa"/>
              <w:start w:w="120" w:type="dxa"/>
              <w:bottom w:w="90" w:type="dxa"/>
              <w:end w:w="120" w:type="dxa"/>
            </w:tcMar>
            <w:vAlign w:val="center"/>
          </w:tcPr>
          <w:p>
            <w:pPr>
              <w:spacing w:after="0"/>
            </w:pPr>
            <w:r>
              <w:rPr>
                <w:rFonts w:ascii="Consolas" w:hAnsi="Consolas"/>
                <w:color w:val="17365D"/>
                <w:sz w:val="17"/>
              </w:rPr>
              <w:t>prior state</w:t>
            </w:r>
          </w:p>
          <w:p>
            <w:pPr>
              <w:spacing w:after="0"/>
            </w:pPr>
            <w:r>
              <w:rPr>
                <w:rFonts w:ascii="Consolas" w:hAnsi="Consolas"/>
                <w:color w:val="17365D"/>
                <w:sz w:val="17"/>
              </w:rPr>
              <w:t xml:space="preserve">  -&gt; elapsed-time decay toward baseline</w:t>
            </w:r>
          </w:p>
          <w:p>
            <w:pPr>
              <w:spacing w:after="0"/>
            </w:pPr>
            <w:r>
              <w:rPr>
                <w:rFonts w:ascii="Consolas" w:hAnsi="Consolas"/>
                <w:color w:val="17365D"/>
                <w:sz w:val="17"/>
              </w:rPr>
              <w:t xml:space="preserve">  -&gt; appraisal-derived target/delta</w:t>
            </w:r>
          </w:p>
          <w:p>
            <w:pPr>
              <w:spacing w:after="0"/>
            </w:pPr>
            <w:r>
              <w:rPr>
                <w:rFonts w:ascii="Consolas" w:hAnsi="Consolas"/>
                <w:color w:val="17365D"/>
                <w:sz w:val="17"/>
              </w:rPr>
              <w:t xml:space="preserve">  -&gt; memory and relationship modulation</w:t>
            </w:r>
          </w:p>
          <w:p>
            <w:pPr>
              <w:spacing w:after="0"/>
            </w:pPr>
            <w:r>
              <w:rPr>
                <w:rFonts w:ascii="Consolas" w:hAnsi="Consolas"/>
                <w:color w:val="17365D"/>
                <w:sz w:val="17"/>
              </w:rPr>
              <w:t xml:space="preserve">  -&gt; regulation</w:t>
            </w:r>
          </w:p>
          <w:p>
            <w:pPr>
              <w:spacing w:after="0"/>
            </w:pPr>
            <w:r>
              <w:rPr>
                <w:rFonts w:ascii="Consolas" w:hAnsi="Consolas"/>
                <w:color w:val="17365D"/>
                <w:sz w:val="17"/>
              </w:rPr>
              <w:t xml:space="preserve">  -&gt; inertia and interaction effects</w:t>
            </w:r>
          </w:p>
          <w:p>
            <w:pPr>
              <w:spacing w:after="0"/>
            </w:pPr>
            <w:r>
              <w:rPr>
                <w:rFonts w:ascii="Consolas" w:hAnsi="Consolas"/>
                <w:color w:val="17365D"/>
                <w:sz w:val="17"/>
              </w:rPr>
              <w:t xml:space="preserve">  -&gt; clamping and invariant checks</w:t>
            </w:r>
          </w:p>
          <w:p>
            <w:pPr>
              <w:spacing w:after="0"/>
            </w:pPr>
            <w:r>
              <w:rPr>
                <w:rFonts w:ascii="Consolas" w:hAnsi="Consolas"/>
                <w:color w:val="17365D"/>
                <w:sz w:val="17"/>
              </w:rPr>
              <w:t xml:space="preserve">  -&gt; new authoritative state</w:t>
            </w:r>
          </w:p>
          <w:p>
            <w:pPr>
              <w:spacing w:after="0"/>
            </w:pPr>
            <w:r>
              <w:rPr>
                <w:rFonts w:ascii="Consolas" w:hAnsi="Consolas"/>
                <w:color w:val="17365D"/>
                <w:sz w:val="17"/>
              </w:rPr>
              <w:t xml:space="preserve">  -&gt; derived interoceptive view</w:t>
            </w:r>
          </w:p>
        </w:tc>
        <w:trPr>
          <w:tblHeader/>
        </w:trPr>
      </w:tr>
    </w:tbl>
    <w:p>
      <w:pPr>
        <w:spacing w:after="0"/>
      </w:pPr>
    </w:p>
    <w:p>
      <w:pPr>
        <w:pStyle w:val="Heading2"/>
      </w:pPr>
      <w:r>
        <w:t>2.3 Temporal scales</w:t>
      </w:r>
    </w:p>
    <w:tbl>
      <w:tblPr>
        <w:tblStyle w:val="TableGrid"/>
        <w:tblW w:type="dxa" w:w="9360"/>
        <w:jc w:val="center"/>
        <w:tblLayout w:type="fixed"/>
        <w:tblLook w:firstColumn="1" w:firstRow="1" w:lastColumn="0" w:lastRow="0" w:noHBand="0" w:noVBand="1" w:val="04A0"/>
        <w:tblInd w:w="120" w:type="dxa"/>
      </w:tblPr>
      <w:tblGrid>
        <w:gridCol w:w="2500"/>
        <w:gridCol w:w="2600"/>
        <w:gridCol w:w="4260"/>
      </w:tblGrid>
      <w:tr>
        <w:trPr>
          <w:tblHeader w:val="true"/>
        </w:trPr>
        <w:tc>
          <w:tcPr>
            <w:tcW w:type="dxa" w:w="2500"/>
            <w:shd w:fill="E8EEF5"/>
            <w:tcMar>
              <w:top w:w="90" w:type="dxa"/>
              <w:start w:w="120" w:type="dxa"/>
              <w:bottom w:w="90" w:type="dxa"/>
              <w:end w:w="120" w:type="dxa"/>
            </w:tcMar>
            <w:vAlign w:val="center"/>
          </w:tcPr>
          <w:p>
            <w:pPr>
              <w:spacing w:after="0"/>
            </w:pPr>
            <w:r>
              <w:rPr>
                <w:b/>
                <w:color w:val="17365D"/>
                <w:sz w:val="18"/>
              </w:rPr>
              <w:t>Layer</w:t>
            </w:r>
          </w:p>
        </w:tc>
        <w:tc>
          <w:tcPr>
            <w:tcW w:type="dxa" w:w="2600"/>
            <w:shd w:fill="E8EEF5"/>
            <w:tcMar>
              <w:top w:w="90" w:type="dxa"/>
              <w:start w:w="120" w:type="dxa"/>
              <w:bottom w:w="90" w:type="dxa"/>
              <w:end w:w="120" w:type="dxa"/>
            </w:tcMar>
            <w:vAlign w:val="center"/>
          </w:tcPr>
          <w:p>
            <w:pPr>
              <w:spacing w:after="0"/>
            </w:pPr>
            <w:r>
              <w:rPr>
                <w:b/>
                <w:color w:val="17365D"/>
                <w:sz w:val="18"/>
              </w:rPr>
              <w:t>Typical horizon</w:t>
            </w:r>
          </w:p>
        </w:tc>
        <w:tc>
          <w:tcPr>
            <w:tcW w:type="dxa" w:w="4260"/>
            <w:shd w:fill="E8EEF5"/>
            <w:tcMar>
              <w:top w:w="90" w:type="dxa"/>
              <w:start w:w="120" w:type="dxa"/>
              <w:bottom w:w="90" w:type="dxa"/>
              <w:end w:w="120" w:type="dxa"/>
            </w:tcMar>
            <w:vAlign w:val="center"/>
          </w:tcPr>
          <w:p>
            <w:pPr>
              <w:spacing w:after="0"/>
            </w:pPr>
            <w:r>
              <w:rPr>
                <w:b/>
                <w:color w:val="17365D"/>
                <w:sz w:val="18"/>
              </w:rPr>
              <w:t>Update trigger</w:t>
            </w:r>
          </w:p>
        </w:tc>
      </w:tr>
      <w:tr>
        <w:tc>
          <w:tcPr>
            <w:tcW w:type="dxa" w:w="2500"/>
            <w:tcMar>
              <w:top w:w="90" w:type="dxa"/>
              <w:start w:w="120" w:type="dxa"/>
              <w:bottom w:w="90" w:type="dxa"/>
              <w:end w:w="120" w:type="dxa"/>
            </w:tcMar>
            <w:vAlign w:val="center"/>
          </w:tcPr>
          <w:p>
            <w:pPr>
              <w:spacing w:after="0" w:line="252" w:lineRule="auto"/>
            </w:pPr>
            <w:r>
              <w:rPr>
                <w:sz w:val="18"/>
              </w:rPr>
              <w:t>Fast emotion</w:t>
            </w:r>
          </w:p>
        </w:tc>
        <w:tc>
          <w:tcPr>
            <w:tcW w:type="dxa" w:w="2600"/>
            <w:tcMar>
              <w:top w:w="90" w:type="dxa"/>
              <w:start w:w="120" w:type="dxa"/>
              <w:bottom w:w="90" w:type="dxa"/>
              <w:end w:w="120" w:type="dxa"/>
            </w:tcMar>
            <w:vAlign w:val="center"/>
          </w:tcPr>
          <w:p>
            <w:pPr>
              <w:spacing w:after="0" w:line="252" w:lineRule="auto"/>
            </w:pPr>
            <w:r>
              <w:rPr>
                <w:sz w:val="18"/>
              </w:rPr>
              <w:t>Seconds to minutes</w:t>
            </w:r>
          </w:p>
        </w:tc>
        <w:tc>
          <w:tcPr>
            <w:tcW w:type="dxa" w:w="4260"/>
            <w:tcMar>
              <w:top w:w="90" w:type="dxa"/>
              <w:start w:w="120" w:type="dxa"/>
              <w:bottom w:w="90" w:type="dxa"/>
              <w:end w:w="120" w:type="dxa"/>
            </w:tcMar>
            <w:vAlign w:val="center"/>
          </w:tcPr>
          <w:p>
            <w:pPr>
              <w:spacing w:after="0" w:line="252" w:lineRule="auto"/>
            </w:pPr>
            <w:r>
              <w:rPr>
                <w:sz w:val="18"/>
              </w:rPr>
              <w:t>Salient event or immediate association</w:t>
            </w:r>
          </w:p>
        </w:tc>
      </w:tr>
      <w:tr>
        <w:tc>
          <w:tcPr>
            <w:tcW w:type="dxa" w:w="2500"/>
            <w:tcMar>
              <w:top w:w="90" w:type="dxa"/>
              <w:start w:w="120" w:type="dxa"/>
              <w:bottom w:w="90" w:type="dxa"/>
              <w:end w:w="120" w:type="dxa"/>
            </w:tcMar>
            <w:vAlign w:val="center"/>
          </w:tcPr>
          <w:p>
            <w:pPr>
              <w:spacing w:after="0" w:line="252" w:lineRule="auto"/>
            </w:pPr>
            <w:r>
              <w:rPr>
                <w:sz w:val="18"/>
              </w:rPr>
              <w:t>Consolidated emotion</w:t>
            </w:r>
          </w:p>
        </w:tc>
        <w:tc>
          <w:tcPr>
            <w:tcW w:type="dxa" w:w="2600"/>
            <w:tcMar>
              <w:top w:w="90" w:type="dxa"/>
              <w:start w:w="120" w:type="dxa"/>
              <w:bottom w:w="90" w:type="dxa"/>
              <w:end w:w="120" w:type="dxa"/>
            </w:tcMar>
            <w:vAlign w:val="center"/>
          </w:tcPr>
          <w:p>
            <w:pPr>
              <w:spacing w:after="0" w:line="252" w:lineRule="auto"/>
            </w:pPr>
            <w:r>
              <w:rPr>
                <w:sz w:val="18"/>
              </w:rPr>
              <w:t>Minutes to hours</w:t>
            </w:r>
          </w:p>
        </w:tc>
        <w:tc>
          <w:tcPr>
            <w:tcW w:type="dxa" w:w="4260"/>
            <w:tcMar>
              <w:top w:w="90" w:type="dxa"/>
              <w:start w:w="120" w:type="dxa"/>
              <w:bottom w:w="90" w:type="dxa"/>
              <w:end w:w="120" w:type="dxa"/>
            </w:tcMar>
            <w:vAlign w:val="center"/>
          </w:tcPr>
          <w:p>
            <w:pPr>
              <w:spacing w:after="0" w:line="252" w:lineRule="auto"/>
            </w:pPr>
            <w:r>
              <w:rPr>
                <w:sz w:val="18"/>
              </w:rPr>
              <w:t>Slow reappraisal and outcome</w:t>
            </w:r>
          </w:p>
        </w:tc>
      </w:tr>
      <w:tr>
        <w:tc>
          <w:tcPr>
            <w:tcW w:type="dxa" w:w="2500"/>
            <w:tcMar>
              <w:top w:w="90" w:type="dxa"/>
              <w:start w:w="120" w:type="dxa"/>
              <w:bottom w:w="90" w:type="dxa"/>
              <w:end w:w="120" w:type="dxa"/>
            </w:tcMar>
            <w:vAlign w:val="center"/>
          </w:tcPr>
          <w:p>
            <w:pPr>
              <w:spacing w:after="0" w:line="252" w:lineRule="auto"/>
            </w:pPr>
            <w:r>
              <w:rPr>
                <w:sz w:val="18"/>
              </w:rPr>
              <w:t>Mood</w:t>
            </w:r>
          </w:p>
        </w:tc>
        <w:tc>
          <w:tcPr>
            <w:tcW w:type="dxa" w:w="2600"/>
            <w:tcMar>
              <w:top w:w="90" w:type="dxa"/>
              <w:start w:w="120" w:type="dxa"/>
              <w:bottom w:w="90" w:type="dxa"/>
              <w:end w:w="120" w:type="dxa"/>
            </w:tcMar>
            <w:vAlign w:val="center"/>
          </w:tcPr>
          <w:p>
            <w:pPr>
              <w:spacing w:after="0" w:line="252" w:lineRule="auto"/>
            </w:pPr>
            <w:r>
              <w:rPr>
                <w:sz w:val="18"/>
              </w:rPr>
              <w:t>Hours to days of simulated time</w:t>
            </w:r>
          </w:p>
        </w:tc>
        <w:tc>
          <w:tcPr>
            <w:tcW w:type="dxa" w:w="4260"/>
            <w:tcMar>
              <w:top w:w="90" w:type="dxa"/>
              <w:start w:w="120" w:type="dxa"/>
              <w:bottom w:w="90" w:type="dxa"/>
              <w:end w:w="120" w:type="dxa"/>
            </w:tcMar>
            <w:vAlign w:val="center"/>
          </w:tcPr>
          <w:p>
            <w:pPr>
              <w:spacing w:after="0" w:line="252" w:lineRule="auto"/>
            </w:pPr>
            <w:r>
              <w:rPr>
                <w:sz w:val="18"/>
              </w:rPr>
              <w:t>Integrated emotional residue and recovery</w:t>
            </w:r>
          </w:p>
        </w:tc>
      </w:tr>
      <w:tr>
        <w:tc>
          <w:tcPr>
            <w:tcW w:type="dxa" w:w="2500"/>
            <w:tcMar>
              <w:top w:w="90" w:type="dxa"/>
              <w:start w:w="120" w:type="dxa"/>
              <w:bottom w:w="90" w:type="dxa"/>
              <w:end w:w="120" w:type="dxa"/>
            </w:tcMar>
            <w:vAlign w:val="center"/>
          </w:tcPr>
          <w:p>
            <w:pPr>
              <w:spacing w:after="0" w:line="252" w:lineRule="auto"/>
            </w:pPr>
            <w:r>
              <w:rPr>
                <w:sz w:val="18"/>
              </w:rPr>
              <w:t>Learned association</w:t>
            </w:r>
          </w:p>
        </w:tc>
        <w:tc>
          <w:tcPr>
            <w:tcW w:type="dxa" w:w="2600"/>
            <w:tcMar>
              <w:top w:w="90" w:type="dxa"/>
              <w:start w:w="120" w:type="dxa"/>
              <w:bottom w:w="90" w:type="dxa"/>
              <w:end w:w="120" w:type="dxa"/>
            </w:tcMar>
            <w:vAlign w:val="center"/>
          </w:tcPr>
          <w:p>
            <w:pPr>
              <w:spacing w:after="0" w:line="252" w:lineRule="auto"/>
            </w:pPr>
            <w:r>
              <w:rPr>
                <w:sz w:val="18"/>
              </w:rPr>
              <w:t>Episodes to long-term</w:t>
            </w:r>
          </w:p>
        </w:tc>
        <w:tc>
          <w:tcPr>
            <w:tcW w:type="dxa" w:w="4260"/>
            <w:tcMar>
              <w:top w:w="90" w:type="dxa"/>
              <w:start w:w="120" w:type="dxa"/>
              <w:bottom w:w="90" w:type="dxa"/>
              <w:end w:w="120" w:type="dxa"/>
            </w:tcMar>
            <w:vAlign w:val="center"/>
          </w:tcPr>
          <w:p>
            <w:pPr>
              <w:spacing w:after="0" w:line="252" w:lineRule="auto"/>
            </w:pPr>
            <w:r>
              <w:rPr>
                <w:sz w:val="18"/>
              </w:rPr>
              <w:t>Repeated evidence and outcomes</w:t>
            </w:r>
          </w:p>
        </w:tc>
      </w:tr>
    </w:tbl>
    <w:p>
      <w:pPr>
        <w:spacing w:after="0"/>
      </w:pPr>
    </w:p>
    <w:p>
      <w:pPr>
        <w:pStyle w:val="Heading1"/>
      </w:pPr>
      <w:r>
        <w:t>3. Emotion ontology</w:t>
      </w:r>
    </w:p>
    <w:p>
      <w:pPr>
        <w:pStyle w:val="Heading2"/>
      </w:pPr>
      <w:r>
        <w:t>3.1 MVP emotion set</w:t>
      </w:r>
    </w:p>
    <w:tbl>
      <w:tblPr>
        <w:tblStyle w:val="TableGrid"/>
        <w:tblW w:type="dxa" w:w="9360"/>
        <w:jc w:val="center"/>
        <w:tblLayout w:type="fixed"/>
        <w:tblLook w:firstColumn="1" w:firstRow="1" w:lastColumn="0" w:lastRow="0" w:noHBand="0" w:noVBand="1" w:val="04A0"/>
        <w:tblInd w:w="120" w:type="dxa"/>
      </w:tblPr>
      <w:tblGrid>
        <w:gridCol w:w="1400"/>
        <w:gridCol w:w="5200"/>
        <w:gridCol w:w="2760"/>
      </w:tblGrid>
      <w:tr>
        <w:trPr>
          <w:tblHeader w:val="true"/>
        </w:trPr>
        <w:tc>
          <w:tcPr>
            <w:tcW w:type="dxa" w:w="1400"/>
            <w:shd w:fill="E8EEF5"/>
            <w:tcMar>
              <w:top w:w="90" w:type="dxa"/>
              <w:start w:w="120" w:type="dxa"/>
              <w:bottom w:w="90" w:type="dxa"/>
              <w:end w:w="120" w:type="dxa"/>
            </w:tcMar>
            <w:vAlign w:val="center"/>
          </w:tcPr>
          <w:p>
            <w:pPr>
              <w:spacing w:after="0"/>
            </w:pPr>
            <w:r>
              <w:rPr>
                <w:b/>
                <w:color w:val="17365D"/>
                <w:sz w:val="18"/>
              </w:rPr>
              <w:t>Emotion</w:t>
            </w:r>
          </w:p>
        </w:tc>
        <w:tc>
          <w:tcPr>
            <w:tcW w:type="dxa" w:w="5200"/>
            <w:shd w:fill="E8EEF5"/>
            <w:tcMar>
              <w:top w:w="90" w:type="dxa"/>
              <w:start w:w="120" w:type="dxa"/>
              <w:bottom w:w="90" w:type="dxa"/>
              <w:end w:w="120" w:type="dxa"/>
            </w:tcMar>
            <w:vAlign w:val="center"/>
          </w:tcPr>
          <w:p>
            <w:pPr>
              <w:spacing w:after="0"/>
            </w:pPr>
            <w:r>
              <w:rPr>
                <w:b/>
                <w:color w:val="17365D"/>
                <w:sz w:val="18"/>
              </w:rPr>
              <w:t>Functional appraisal signature</w:t>
            </w:r>
          </w:p>
        </w:tc>
        <w:tc>
          <w:tcPr>
            <w:tcW w:type="dxa" w:w="2760"/>
            <w:shd w:fill="E8EEF5"/>
            <w:tcMar>
              <w:top w:w="90" w:type="dxa"/>
              <w:start w:w="120" w:type="dxa"/>
              <w:bottom w:w="90" w:type="dxa"/>
              <w:end w:w="120" w:type="dxa"/>
            </w:tcMar>
            <w:vAlign w:val="center"/>
          </w:tcPr>
          <w:p>
            <w:pPr>
              <w:spacing w:after="0"/>
            </w:pPr>
            <w:r>
              <w:rPr>
                <w:b/>
                <w:color w:val="17365D"/>
                <w:sz w:val="18"/>
              </w:rPr>
              <w:t>Primary tendencies</w:t>
            </w:r>
          </w:p>
        </w:tc>
      </w:tr>
      <w:tr>
        <w:tc>
          <w:tcPr>
            <w:tcW w:type="dxa" w:w="1400"/>
            <w:tcMar>
              <w:top w:w="90" w:type="dxa"/>
              <w:start w:w="120" w:type="dxa"/>
              <w:bottom w:w="90" w:type="dxa"/>
              <w:end w:w="120" w:type="dxa"/>
            </w:tcMar>
            <w:vAlign w:val="center"/>
          </w:tcPr>
          <w:p>
            <w:pPr>
              <w:spacing w:after="0" w:line="252" w:lineRule="auto"/>
            </w:pPr>
            <w:r>
              <w:rPr>
                <w:sz w:val="18"/>
              </w:rPr>
              <w:t>Joy</w:t>
            </w:r>
          </w:p>
        </w:tc>
        <w:tc>
          <w:tcPr>
            <w:tcW w:type="dxa" w:w="5200"/>
            <w:tcMar>
              <w:top w:w="90" w:type="dxa"/>
              <w:start w:w="120" w:type="dxa"/>
              <w:bottom w:w="90" w:type="dxa"/>
              <w:end w:w="120" w:type="dxa"/>
            </w:tcMar>
            <w:vAlign w:val="center"/>
          </w:tcPr>
          <w:p>
            <w:pPr>
              <w:spacing w:after="0" w:line="252" w:lineRule="auto"/>
            </w:pPr>
            <w:r>
              <w:rPr>
                <w:sz w:val="18"/>
              </w:rPr>
              <w:t>Goal-congruent gain, success, valued connection, or positive surprise.</w:t>
            </w:r>
          </w:p>
        </w:tc>
        <w:tc>
          <w:tcPr>
            <w:tcW w:type="dxa" w:w="2760"/>
            <w:tcMar>
              <w:top w:w="90" w:type="dxa"/>
              <w:start w:w="120" w:type="dxa"/>
              <w:bottom w:w="90" w:type="dxa"/>
              <w:end w:w="120" w:type="dxa"/>
            </w:tcMar>
            <w:vAlign w:val="center"/>
          </w:tcPr>
          <w:p>
            <w:pPr>
              <w:spacing w:after="0" w:line="252" w:lineRule="auto"/>
            </w:pPr>
            <w:r>
              <w:rPr>
                <w:sz w:val="18"/>
              </w:rPr>
              <w:t>Approach, continue, share, explore</w:t>
            </w:r>
          </w:p>
        </w:tc>
      </w:tr>
      <w:tr>
        <w:tc>
          <w:tcPr>
            <w:tcW w:type="dxa" w:w="1400"/>
            <w:tcMar>
              <w:top w:w="90" w:type="dxa"/>
              <w:start w:w="120" w:type="dxa"/>
              <w:bottom w:w="90" w:type="dxa"/>
              <w:end w:w="120" w:type="dxa"/>
            </w:tcMar>
            <w:vAlign w:val="center"/>
          </w:tcPr>
          <w:p>
            <w:pPr>
              <w:spacing w:after="0" w:line="252" w:lineRule="auto"/>
            </w:pPr>
            <w:r>
              <w:rPr>
                <w:sz w:val="18"/>
              </w:rPr>
              <w:t>Sadness</w:t>
            </w:r>
          </w:p>
        </w:tc>
        <w:tc>
          <w:tcPr>
            <w:tcW w:type="dxa" w:w="5200"/>
            <w:tcMar>
              <w:top w:w="90" w:type="dxa"/>
              <w:start w:w="120" w:type="dxa"/>
              <w:bottom w:w="90" w:type="dxa"/>
              <w:end w:w="120" w:type="dxa"/>
            </w:tcMar>
            <w:vAlign w:val="center"/>
          </w:tcPr>
          <w:p>
            <w:pPr>
              <w:spacing w:after="0" w:line="252" w:lineRule="auto"/>
            </w:pPr>
            <w:r>
              <w:rPr>
                <w:sz w:val="18"/>
              </w:rPr>
              <w:t>Irrevocable loss, failure, low control, or withdrawal of valued connection.</w:t>
            </w:r>
          </w:p>
        </w:tc>
        <w:tc>
          <w:tcPr>
            <w:tcW w:type="dxa" w:w="2760"/>
            <w:tcMar>
              <w:top w:w="90" w:type="dxa"/>
              <w:start w:w="120" w:type="dxa"/>
              <w:bottom w:w="90" w:type="dxa"/>
              <w:end w:w="120" w:type="dxa"/>
            </w:tcMar>
            <w:vAlign w:val="center"/>
          </w:tcPr>
          <w:p>
            <w:pPr>
              <w:spacing w:after="0" w:line="252" w:lineRule="auto"/>
            </w:pPr>
            <w:r>
              <w:rPr>
                <w:sz w:val="18"/>
              </w:rPr>
              <w:t>Pause, disengage, seek support, conserve</w:t>
            </w:r>
          </w:p>
        </w:tc>
      </w:tr>
      <w:tr>
        <w:tc>
          <w:tcPr>
            <w:tcW w:type="dxa" w:w="1400"/>
            <w:tcMar>
              <w:top w:w="90" w:type="dxa"/>
              <w:start w:w="120" w:type="dxa"/>
              <w:bottom w:w="90" w:type="dxa"/>
              <w:end w:w="120" w:type="dxa"/>
            </w:tcMar>
            <w:vAlign w:val="center"/>
          </w:tcPr>
          <w:p>
            <w:pPr>
              <w:spacing w:after="0" w:line="252" w:lineRule="auto"/>
            </w:pPr>
            <w:r>
              <w:rPr>
                <w:sz w:val="18"/>
              </w:rPr>
              <w:t>Fear</w:t>
            </w:r>
          </w:p>
        </w:tc>
        <w:tc>
          <w:tcPr>
            <w:tcW w:type="dxa" w:w="5200"/>
            <w:tcMar>
              <w:top w:w="90" w:type="dxa"/>
              <w:start w:w="120" w:type="dxa"/>
              <w:bottom w:w="90" w:type="dxa"/>
              <w:end w:w="120" w:type="dxa"/>
            </w:tcMar>
            <w:vAlign w:val="center"/>
          </w:tcPr>
          <w:p>
            <w:pPr>
              <w:spacing w:after="0" w:line="252" w:lineRule="auto"/>
            </w:pPr>
            <w:r>
              <w:rPr>
                <w:sz w:val="18"/>
              </w:rPr>
              <w:t>Threat or anticipated harm under uncertainty or limited control.</w:t>
            </w:r>
          </w:p>
        </w:tc>
        <w:tc>
          <w:tcPr>
            <w:tcW w:type="dxa" w:w="2760"/>
            <w:tcMar>
              <w:top w:w="90" w:type="dxa"/>
              <w:start w:w="120" w:type="dxa"/>
              <w:bottom w:w="90" w:type="dxa"/>
              <w:end w:w="120" w:type="dxa"/>
            </w:tcMar>
            <w:vAlign w:val="center"/>
          </w:tcPr>
          <w:p>
            <w:pPr>
              <w:spacing w:after="0" w:line="252" w:lineRule="auto"/>
            </w:pPr>
            <w:r>
              <w:rPr>
                <w:sz w:val="18"/>
              </w:rPr>
              <w:t>Avoid, freeze, seek safety/information</w:t>
            </w:r>
          </w:p>
        </w:tc>
      </w:tr>
      <w:tr>
        <w:tc>
          <w:tcPr>
            <w:tcW w:type="dxa" w:w="1400"/>
            <w:tcMar>
              <w:top w:w="90" w:type="dxa"/>
              <w:start w:w="120" w:type="dxa"/>
              <w:bottom w:w="90" w:type="dxa"/>
              <w:end w:w="120" w:type="dxa"/>
            </w:tcMar>
            <w:vAlign w:val="center"/>
          </w:tcPr>
          <w:p>
            <w:pPr>
              <w:spacing w:after="0" w:line="252" w:lineRule="auto"/>
            </w:pPr>
            <w:r>
              <w:rPr>
                <w:sz w:val="18"/>
              </w:rPr>
              <w:t>Anger</w:t>
            </w:r>
          </w:p>
        </w:tc>
        <w:tc>
          <w:tcPr>
            <w:tcW w:type="dxa" w:w="5200"/>
            <w:tcMar>
              <w:top w:w="90" w:type="dxa"/>
              <w:start w:w="120" w:type="dxa"/>
              <w:bottom w:w="90" w:type="dxa"/>
              <w:end w:w="120" w:type="dxa"/>
            </w:tcMar>
            <w:vAlign w:val="center"/>
          </w:tcPr>
          <w:p>
            <w:pPr>
              <w:spacing w:after="0" w:line="252" w:lineRule="auto"/>
            </w:pPr>
            <w:r>
              <w:rPr>
                <w:sz w:val="18"/>
              </w:rPr>
              <w:t>Goal obstruction, norm violation, blame, and some perceived capacity to respond.</w:t>
            </w:r>
          </w:p>
        </w:tc>
        <w:tc>
          <w:tcPr>
            <w:tcW w:type="dxa" w:w="2760"/>
            <w:tcMar>
              <w:top w:w="90" w:type="dxa"/>
              <w:start w:w="120" w:type="dxa"/>
              <w:bottom w:w="90" w:type="dxa"/>
              <w:end w:w="120" w:type="dxa"/>
            </w:tcMar>
            <w:vAlign w:val="center"/>
          </w:tcPr>
          <w:p>
            <w:pPr>
              <w:spacing w:after="0" w:line="252" w:lineRule="auto"/>
            </w:pPr>
            <w:r>
              <w:rPr>
                <w:sz w:val="18"/>
              </w:rPr>
              <w:t>Confront, correct, assert boundary</w:t>
            </w:r>
          </w:p>
        </w:tc>
      </w:tr>
      <w:tr>
        <w:tc>
          <w:tcPr>
            <w:tcW w:type="dxa" w:w="1400"/>
            <w:tcMar>
              <w:top w:w="90" w:type="dxa"/>
              <w:start w:w="120" w:type="dxa"/>
              <w:bottom w:w="90" w:type="dxa"/>
              <w:end w:w="120" w:type="dxa"/>
            </w:tcMar>
            <w:vAlign w:val="center"/>
          </w:tcPr>
          <w:p>
            <w:pPr>
              <w:spacing w:after="0" w:line="252" w:lineRule="auto"/>
            </w:pPr>
            <w:r>
              <w:rPr>
                <w:sz w:val="18"/>
              </w:rPr>
              <w:t>Disgust</w:t>
            </w:r>
          </w:p>
        </w:tc>
        <w:tc>
          <w:tcPr>
            <w:tcW w:type="dxa" w:w="5200"/>
            <w:tcMar>
              <w:top w:w="90" w:type="dxa"/>
              <w:start w:w="120" w:type="dxa"/>
              <w:bottom w:w="90" w:type="dxa"/>
              <w:end w:w="120" w:type="dxa"/>
            </w:tcMar>
            <w:vAlign w:val="center"/>
          </w:tcPr>
          <w:p>
            <w:pPr>
              <w:spacing w:after="0" w:line="252" w:lineRule="auto"/>
            </w:pPr>
            <w:r>
              <w:rPr>
                <w:sz w:val="18"/>
              </w:rPr>
              <w:t>Contamination, aversive incompatibility, or strong norm rejection.</w:t>
            </w:r>
          </w:p>
        </w:tc>
        <w:tc>
          <w:tcPr>
            <w:tcW w:type="dxa" w:w="2760"/>
            <w:tcMar>
              <w:top w:w="90" w:type="dxa"/>
              <w:start w:w="120" w:type="dxa"/>
              <w:bottom w:w="90" w:type="dxa"/>
              <w:end w:w="120" w:type="dxa"/>
            </w:tcMar>
            <w:vAlign w:val="center"/>
          </w:tcPr>
          <w:p>
            <w:pPr>
              <w:spacing w:after="0" w:line="252" w:lineRule="auto"/>
            </w:pPr>
            <w:r>
              <w:rPr>
                <w:sz w:val="18"/>
              </w:rPr>
              <w:t>Reject, distance, expel</w:t>
            </w:r>
          </w:p>
        </w:tc>
      </w:tr>
      <w:tr>
        <w:tc>
          <w:tcPr>
            <w:tcW w:type="dxa" w:w="1400"/>
            <w:tcMar>
              <w:top w:w="90" w:type="dxa"/>
              <w:start w:w="120" w:type="dxa"/>
              <w:bottom w:w="90" w:type="dxa"/>
              <w:end w:w="120" w:type="dxa"/>
            </w:tcMar>
            <w:vAlign w:val="center"/>
          </w:tcPr>
          <w:p>
            <w:pPr>
              <w:spacing w:after="0" w:line="252" w:lineRule="auto"/>
            </w:pPr>
            <w:r>
              <w:rPr>
                <w:sz w:val="18"/>
              </w:rPr>
              <w:t>Surprise</w:t>
            </w:r>
          </w:p>
        </w:tc>
        <w:tc>
          <w:tcPr>
            <w:tcW w:type="dxa" w:w="5200"/>
            <w:tcMar>
              <w:top w:w="90" w:type="dxa"/>
              <w:start w:w="120" w:type="dxa"/>
              <w:bottom w:w="90" w:type="dxa"/>
              <w:end w:w="120" w:type="dxa"/>
            </w:tcMar>
            <w:vAlign w:val="center"/>
          </w:tcPr>
          <w:p>
            <w:pPr>
              <w:spacing w:after="0" w:line="252" w:lineRule="auto"/>
            </w:pPr>
            <w:r>
              <w:rPr>
                <w:sz w:val="18"/>
              </w:rPr>
              <w:t>Prediction error, independent of positive or negative valence.</w:t>
            </w:r>
          </w:p>
        </w:tc>
        <w:tc>
          <w:tcPr>
            <w:tcW w:type="dxa" w:w="2760"/>
            <w:tcMar>
              <w:top w:w="90" w:type="dxa"/>
              <w:start w:w="120" w:type="dxa"/>
              <w:bottom w:w="90" w:type="dxa"/>
              <w:end w:w="120" w:type="dxa"/>
            </w:tcMar>
            <w:vAlign w:val="center"/>
          </w:tcPr>
          <w:p>
            <w:pPr>
              <w:spacing w:after="0" w:line="252" w:lineRule="auto"/>
            </w:pPr>
            <w:r>
              <w:rPr>
                <w:sz w:val="18"/>
              </w:rPr>
              <w:t>Orient, interrupt, update</w:t>
            </w:r>
          </w:p>
        </w:tc>
      </w:tr>
      <w:tr>
        <w:tc>
          <w:tcPr>
            <w:tcW w:type="dxa" w:w="1400"/>
            <w:tcMar>
              <w:top w:w="90" w:type="dxa"/>
              <w:start w:w="120" w:type="dxa"/>
              <w:bottom w:w="90" w:type="dxa"/>
              <w:end w:w="120" w:type="dxa"/>
            </w:tcMar>
            <w:vAlign w:val="center"/>
          </w:tcPr>
          <w:p>
            <w:pPr>
              <w:spacing w:after="0" w:line="252" w:lineRule="auto"/>
            </w:pPr>
            <w:r>
              <w:rPr>
                <w:sz w:val="18"/>
              </w:rPr>
              <w:t>Interest</w:t>
            </w:r>
          </w:p>
        </w:tc>
        <w:tc>
          <w:tcPr>
            <w:tcW w:type="dxa" w:w="5200"/>
            <w:tcMar>
              <w:top w:w="90" w:type="dxa"/>
              <w:start w:w="120" w:type="dxa"/>
              <w:bottom w:w="90" w:type="dxa"/>
              <w:end w:w="120" w:type="dxa"/>
            </w:tcMar>
            <w:vAlign w:val="center"/>
          </w:tcPr>
          <w:p>
            <w:pPr>
              <w:spacing w:after="0" w:line="252" w:lineRule="auto"/>
            </w:pPr>
            <w:r>
              <w:rPr>
                <w:sz w:val="18"/>
              </w:rPr>
              <w:t>Novelty plus manageable complexity and potential value.</w:t>
            </w:r>
          </w:p>
        </w:tc>
        <w:tc>
          <w:tcPr>
            <w:tcW w:type="dxa" w:w="2760"/>
            <w:tcMar>
              <w:top w:w="90" w:type="dxa"/>
              <w:start w:w="120" w:type="dxa"/>
              <w:bottom w:w="90" w:type="dxa"/>
              <w:end w:w="120" w:type="dxa"/>
            </w:tcMar>
            <w:vAlign w:val="center"/>
          </w:tcPr>
          <w:p>
            <w:pPr>
              <w:spacing w:after="0" w:line="252" w:lineRule="auto"/>
            </w:pPr>
            <w:r>
              <w:rPr>
                <w:sz w:val="18"/>
              </w:rPr>
              <w:t>Explore, attend, learn</w:t>
            </w:r>
          </w:p>
        </w:tc>
      </w:tr>
      <w:tr>
        <w:tc>
          <w:tcPr>
            <w:tcW w:type="dxa" w:w="1400"/>
            <w:tcMar>
              <w:top w:w="90" w:type="dxa"/>
              <w:start w:w="120" w:type="dxa"/>
              <w:bottom w:w="90" w:type="dxa"/>
              <w:end w:w="120" w:type="dxa"/>
            </w:tcMar>
            <w:vAlign w:val="center"/>
          </w:tcPr>
          <w:p>
            <w:pPr>
              <w:spacing w:after="0" w:line="252" w:lineRule="auto"/>
            </w:pPr>
            <w:r>
              <w:rPr>
                <w:sz w:val="18"/>
              </w:rPr>
              <w:t>Affiliation</w:t>
            </w:r>
          </w:p>
        </w:tc>
        <w:tc>
          <w:tcPr>
            <w:tcW w:type="dxa" w:w="5200"/>
            <w:tcMar>
              <w:top w:w="90" w:type="dxa"/>
              <w:start w:w="120" w:type="dxa"/>
              <w:bottom w:w="90" w:type="dxa"/>
              <w:end w:w="120" w:type="dxa"/>
            </w:tcMar>
            <w:vAlign w:val="center"/>
          </w:tcPr>
          <w:p>
            <w:pPr>
              <w:spacing w:after="0" w:line="252" w:lineRule="auto"/>
            </w:pPr>
            <w:r>
              <w:rPr>
                <w:sz w:val="18"/>
              </w:rPr>
              <w:t>Safety, trust, reciprocity, belonging, or relationship repair.</w:t>
            </w:r>
          </w:p>
        </w:tc>
        <w:tc>
          <w:tcPr>
            <w:tcW w:type="dxa" w:w="2760"/>
            <w:tcMar>
              <w:top w:w="90" w:type="dxa"/>
              <w:start w:w="120" w:type="dxa"/>
              <w:bottom w:w="90" w:type="dxa"/>
              <w:end w:w="120" w:type="dxa"/>
            </w:tcMar>
            <w:vAlign w:val="center"/>
          </w:tcPr>
          <w:p>
            <w:pPr>
              <w:spacing w:after="0" w:line="252" w:lineRule="auto"/>
            </w:pPr>
            <w:r>
              <w:rPr>
                <w:sz w:val="18"/>
              </w:rPr>
              <w:t>Approach, cooperate, disclose, support</w:t>
            </w:r>
          </w:p>
        </w:tc>
      </w:tr>
    </w:tbl>
    <w:p>
      <w:pPr>
        <w:spacing w:after="0"/>
      </w:pPr>
    </w:p>
    <w:p>
      <w:pPr>
        <w:pStyle w:val="Heading2"/>
      </w:pPr>
      <w:r>
        <w:t>3.2 Intensity semantics</w:t>
      </w:r>
    </w:p>
    <w:tbl>
      <w:tblPr>
        <w:tblStyle w:val="TableGrid"/>
        <w:tblW w:type="dxa" w:w="9360"/>
        <w:jc w:val="center"/>
        <w:tblLayout w:type="fixed"/>
        <w:tblLook w:firstColumn="1" w:firstRow="1" w:lastColumn="0" w:lastRow="0" w:noHBand="0" w:noVBand="1" w:val="04A0"/>
        <w:tblInd w:w="120" w:type="dxa"/>
      </w:tblPr>
      <w:tblGrid>
        <w:gridCol w:w="1800"/>
        <w:gridCol w:w="3300"/>
        <w:gridCol w:w="4260"/>
      </w:tblGrid>
      <w:tr>
        <w:trPr>
          <w:tblHeader w:val="true"/>
        </w:trPr>
        <w:tc>
          <w:tcPr>
            <w:tcW w:type="dxa" w:w="1800"/>
            <w:shd w:fill="E8EEF5"/>
            <w:tcMar>
              <w:top w:w="90" w:type="dxa"/>
              <w:start w:w="120" w:type="dxa"/>
              <w:bottom w:w="90" w:type="dxa"/>
              <w:end w:w="120" w:type="dxa"/>
            </w:tcMar>
            <w:vAlign w:val="center"/>
          </w:tcPr>
          <w:p>
            <w:pPr>
              <w:spacing w:after="0"/>
            </w:pPr>
            <w:r>
              <w:rPr>
                <w:b/>
                <w:color w:val="17365D"/>
                <w:sz w:val="18"/>
              </w:rPr>
              <w:t>Range</w:t>
            </w:r>
          </w:p>
        </w:tc>
        <w:tc>
          <w:tcPr>
            <w:tcW w:type="dxa" w:w="3300"/>
            <w:shd w:fill="E8EEF5"/>
            <w:tcMar>
              <w:top w:w="90" w:type="dxa"/>
              <w:start w:w="120" w:type="dxa"/>
              <w:bottom w:w="90" w:type="dxa"/>
              <w:end w:w="120" w:type="dxa"/>
            </w:tcMar>
            <w:vAlign w:val="center"/>
          </w:tcPr>
          <w:p>
            <w:pPr>
              <w:spacing w:after="0"/>
            </w:pPr>
            <w:r>
              <w:rPr>
                <w:b/>
                <w:color w:val="17365D"/>
                <w:sz w:val="18"/>
              </w:rPr>
              <w:t>Interpretation</w:t>
            </w:r>
          </w:p>
        </w:tc>
        <w:tc>
          <w:tcPr>
            <w:tcW w:type="dxa" w:w="4260"/>
            <w:shd w:fill="E8EEF5"/>
            <w:tcMar>
              <w:top w:w="90" w:type="dxa"/>
              <w:start w:w="120" w:type="dxa"/>
              <w:bottom w:w="90" w:type="dxa"/>
              <w:end w:w="120" w:type="dxa"/>
            </w:tcMar>
            <w:vAlign w:val="center"/>
          </w:tcPr>
          <w:p>
            <w:pPr>
              <w:spacing w:after="0"/>
            </w:pPr>
            <w:r>
              <w:rPr>
                <w:b/>
                <w:color w:val="17365D"/>
                <w:sz w:val="18"/>
              </w:rPr>
              <w:t>Expected effect</w:t>
            </w:r>
          </w:p>
        </w:tc>
      </w:tr>
      <w:tr>
        <w:tc>
          <w:tcPr>
            <w:tcW w:type="dxa" w:w="1800"/>
            <w:tcMar>
              <w:top w:w="90" w:type="dxa"/>
              <w:start w:w="120" w:type="dxa"/>
              <w:bottom w:w="90" w:type="dxa"/>
              <w:end w:w="120" w:type="dxa"/>
            </w:tcMar>
            <w:vAlign w:val="center"/>
          </w:tcPr>
          <w:p>
            <w:pPr>
              <w:spacing w:after="0" w:line="252" w:lineRule="auto"/>
            </w:pPr>
            <w:r>
              <w:rPr>
                <w:sz w:val="18"/>
              </w:rPr>
              <w:t>0.00-0.09</w:t>
            </w:r>
          </w:p>
        </w:tc>
        <w:tc>
          <w:tcPr>
            <w:tcW w:type="dxa" w:w="3300"/>
            <w:tcMar>
              <w:top w:w="90" w:type="dxa"/>
              <w:start w:w="120" w:type="dxa"/>
              <w:bottom w:w="90" w:type="dxa"/>
              <w:end w:w="120" w:type="dxa"/>
            </w:tcMar>
            <w:vAlign w:val="center"/>
          </w:tcPr>
          <w:p>
            <w:pPr>
              <w:spacing w:after="0" w:line="252" w:lineRule="auto"/>
            </w:pPr>
            <w:r>
              <w:rPr>
                <w:sz w:val="18"/>
              </w:rPr>
              <w:t>Inactive / baseline trace</w:t>
            </w:r>
          </w:p>
        </w:tc>
        <w:tc>
          <w:tcPr>
            <w:tcW w:type="dxa" w:w="4260"/>
            <w:tcMar>
              <w:top w:w="90" w:type="dxa"/>
              <w:start w:w="120" w:type="dxa"/>
              <w:bottom w:w="90" w:type="dxa"/>
              <w:end w:w="120" w:type="dxa"/>
            </w:tcMar>
            <w:vAlign w:val="center"/>
          </w:tcPr>
          <w:p>
            <w:pPr>
              <w:spacing w:after="0" w:line="252" w:lineRule="auto"/>
            </w:pPr>
            <w:r>
              <w:rPr>
                <w:sz w:val="18"/>
              </w:rPr>
              <w:t>No material influence</w:t>
            </w:r>
          </w:p>
        </w:tc>
      </w:tr>
      <w:tr>
        <w:tc>
          <w:tcPr>
            <w:tcW w:type="dxa" w:w="1800"/>
            <w:tcMar>
              <w:top w:w="90" w:type="dxa"/>
              <w:start w:w="120" w:type="dxa"/>
              <w:bottom w:w="90" w:type="dxa"/>
              <w:end w:w="120" w:type="dxa"/>
            </w:tcMar>
            <w:vAlign w:val="center"/>
          </w:tcPr>
          <w:p>
            <w:pPr>
              <w:spacing w:after="0" w:line="252" w:lineRule="auto"/>
            </w:pPr>
            <w:r>
              <w:rPr>
                <w:sz w:val="18"/>
              </w:rPr>
              <w:t>0.10-0.29</w:t>
            </w:r>
          </w:p>
        </w:tc>
        <w:tc>
          <w:tcPr>
            <w:tcW w:type="dxa" w:w="3300"/>
            <w:tcMar>
              <w:top w:w="90" w:type="dxa"/>
              <w:start w:w="120" w:type="dxa"/>
              <w:bottom w:w="90" w:type="dxa"/>
              <w:end w:w="120" w:type="dxa"/>
            </w:tcMar>
            <w:vAlign w:val="center"/>
          </w:tcPr>
          <w:p>
            <w:pPr>
              <w:spacing w:after="0" w:line="252" w:lineRule="auto"/>
            </w:pPr>
            <w:r>
              <w:rPr>
                <w:sz w:val="18"/>
              </w:rPr>
              <w:t>Mild</w:t>
            </w:r>
          </w:p>
        </w:tc>
        <w:tc>
          <w:tcPr>
            <w:tcW w:type="dxa" w:w="4260"/>
            <w:tcMar>
              <w:top w:w="90" w:type="dxa"/>
              <w:start w:w="120" w:type="dxa"/>
              <w:bottom w:w="90" w:type="dxa"/>
              <w:end w:w="120" w:type="dxa"/>
            </w:tcMar>
            <w:vAlign w:val="center"/>
          </w:tcPr>
          <w:p>
            <w:pPr>
              <w:spacing w:after="0" w:line="252" w:lineRule="auto"/>
            </w:pPr>
            <w:r>
              <w:rPr>
                <w:sz w:val="18"/>
              </w:rPr>
              <w:t>Small attention or expression bias</w:t>
            </w:r>
          </w:p>
        </w:tc>
      </w:tr>
      <w:tr>
        <w:tc>
          <w:tcPr>
            <w:tcW w:type="dxa" w:w="1800"/>
            <w:tcMar>
              <w:top w:w="90" w:type="dxa"/>
              <w:start w:w="120" w:type="dxa"/>
              <w:bottom w:w="90" w:type="dxa"/>
              <w:end w:w="120" w:type="dxa"/>
            </w:tcMar>
            <w:vAlign w:val="center"/>
          </w:tcPr>
          <w:p>
            <w:pPr>
              <w:spacing w:after="0" w:line="252" w:lineRule="auto"/>
            </w:pPr>
            <w:r>
              <w:rPr>
                <w:sz w:val="18"/>
              </w:rPr>
              <w:t>0.30-0.59</w:t>
            </w:r>
          </w:p>
        </w:tc>
        <w:tc>
          <w:tcPr>
            <w:tcW w:type="dxa" w:w="3300"/>
            <w:tcMar>
              <w:top w:w="90" w:type="dxa"/>
              <w:start w:w="120" w:type="dxa"/>
              <w:bottom w:w="90" w:type="dxa"/>
              <w:end w:w="120" w:type="dxa"/>
            </w:tcMar>
            <w:vAlign w:val="center"/>
          </w:tcPr>
          <w:p>
            <w:pPr>
              <w:spacing w:after="0" w:line="252" w:lineRule="auto"/>
            </w:pPr>
            <w:r>
              <w:rPr>
                <w:sz w:val="18"/>
              </w:rPr>
              <w:t>Moderate</w:t>
            </w:r>
          </w:p>
        </w:tc>
        <w:tc>
          <w:tcPr>
            <w:tcW w:type="dxa" w:w="4260"/>
            <w:tcMar>
              <w:top w:w="90" w:type="dxa"/>
              <w:start w:w="120" w:type="dxa"/>
              <w:bottom w:w="90" w:type="dxa"/>
              <w:end w:w="120" w:type="dxa"/>
            </w:tcMar>
            <w:vAlign w:val="center"/>
          </w:tcPr>
          <w:p>
            <w:pPr>
              <w:spacing w:after="0" w:line="252" w:lineRule="auto"/>
            </w:pPr>
            <w:r>
              <w:rPr>
                <w:sz w:val="18"/>
              </w:rPr>
              <w:t>Clear cognitive and action-tendency influence</w:t>
            </w:r>
          </w:p>
        </w:tc>
      </w:tr>
      <w:tr>
        <w:tc>
          <w:tcPr>
            <w:tcW w:type="dxa" w:w="1800"/>
            <w:tcMar>
              <w:top w:w="90" w:type="dxa"/>
              <w:start w:w="120" w:type="dxa"/>
              <w:bottom w:w="90" w:type="dxa"/>
              <w:end w:w="120" w:type="dxa"/>
            </w:tcMar>
            <w:vAlign w:val="center"/>
          </w:tcPr>
          <w:p>
            <w:pPr>
              <w:spacing w:after="0" w:line="252" w:lineRule="auto"/>
            </w:pPr>
            <w:r>
              <w:rPr>
                <w:sz w:val="18"/>
              </w:rPr>
              <w:t>0.60-0.79</w:t>
            </w:r>
          </w:p>
        </w:tc>
        <w:tc>
          <w:tcPr>
            <w:tcW w:type="dxa" w:w="3300"/>
            <w:tcMar>
              <w:top w:w="90" w:type="dxa"/>
              <w:start w:w="120" w:type="dxa"/>
              <w:bottom w:w="90" w:type="dxa"/>
              <w:end w:w="120" w:type="dxa"/>
            </w:tcMar>
            <w:vAlign w:val="center"/>
          </w:tcPr>
          <w:p>
            <w:pPr>
              <w:spacing w:after="0" w:line="252" w:lineRule="auto"/>
            </w:pPr>
            <w:r>
              <w:rPr>
                <w:sz w:val="18"/>
              </w:rPr>
              <w:t>Strong</w:t>
            </w:r>
          </w:p>
        </w:tc>
        <w:tc>
          <w:tcPr>
            <w:tcW w:type="dxa" w:w="4260"/>
            <w:tcMar>
              <w:top w:w="90" w:type="dxa"/>
              <w:start w:w="120" w:type="dxa"/>
              <w:bottom w:w="90" w:type="dxa"/>
              <w:end w:w="120" w:type="dxa"/>
            </w:tcMar>
            <w:vAlign w:val="center"/>
          </w:tcPr>
          <w:p>
            <w:pPr>
              <w:spacing w:after="0" w:line="252" w:lineRule="auto"/>
            </w:pPr>
            <w:r>
              <w:rPr>
                <w:sz w:val="18"/>
              </w:rPr>
              <w:t>High salience; slow appraisal often required</w:t>
            </w:r>
          </w:p>
        </w:tc>
      </w:tr>
      <w:tr>
        <w:tc>
          <w:tcPr>
            <w:tcW w:type="dxa" w:w="1800"/>
            <w:tcMar>
              <w:top w:w="90" w:type="dxa"/>
              <w:start w:w="120" w:type="dxa"/>
              <w:bottom w:w="90" w:type="dxa"/>
              <w:end w:w="120" w:type="dxa"/>
            </w:tcMar>
            <w:vAlign w:val="center"/>
          </w:tcPr>
          <w:p>
            <w:pPr>
              <w:spacing w:after="0" w:line="252" w:lineRule="auto"/>
            </w:pPr>
            <w:r>
              <w:rPr>
                <w:sz w:val="18"/>
              </w:rPr>
              <w:t>0.80-1.00</w:t>
            </w:r>
          </w:p>
        </w:tc>
        <w:tc>
          <w:tcPr>
            <w:tcW w:type="dxa" w:w="3300"/>
            <w:tcMar>
              <w:top w:w="90" w:type="dxa"/>
              <w:start w:w="120" w:type="dxa"/>
              <w:bottom w:w="90" w:type="dxa"/>
              <w:end w:w="120" w:type="dxa"/>
            </w:tcMar>
            <w:vAlign w:val="center"/>
          </w:tcPr>
          <w:p>
            <w:pPr>
              <w:spacing w:after="0" w:line="252" w:lineRule="auto"/>
            </w:pPr>
            <w:r>
              <w:rPr>
                <w:sz w:val="18"/>
              </w:rPr>
              <w:t>Extreme / saturated</w:t>
            </w:r>
          </w:p>
        </w:tc>
        <w:tc>
          <w:tcPr>
            <w:tcW w:type="dxa" w:w="4260"/>
            <w:tcMar>
              <w:top w:w="90" w:type="dxa"/>
              <w:start w:w="120" w:type="dxa"/>
              <w:bottom w:w="90" w:type="dxa"/>
              <w:end w:w="120" w:type="dxa"/>
            </w:tcMar>
            <w:vAlign w:val="center"/>
          </w:tcPr>
          <w:p>
            <w:pPr>
              <w:spacing w:after="0" w:line="252" w:lineRule="auto"/>
            </w:pPr>
            <w:r>
              <w:rPr>
                <w:sz w:val="18"/>
              </w:rPr>
              <w:t>Strict regulation, monitoring, and consequential-action delay</w:t>
            </w:r>
          </w:p>
        </w:tc>
      </w:tr>
    </w:tbl>
    <w:p>
      <w:pPr>
        <w:spacing w:after="0"/>
      </w:pPr>
    </w:p>
    <w:p>
      <w:pPr>
        <w:pStyle w:val="Heading2"/>
      </w:pPr>
      <w:r>
        <w:t>3.3 Coexistence</w:t>
      </w:r>
    </w:p>
    <w:p>
      <w:r>
        <w:rPr>
          <w:i w:val="0"/>
        </w:rPr>
        <w:t>Emotion intensities MUST NOT be normalized to sum to one. Joy and fear may both be high, as may anger and affiliation during a valued conflict. Dominant emotion is a derived convenience, not the authoritative representation.</w:t>
      </w:r>
    </w:p>
    <w:p>
      <w:pPr>
        <w:pStyle w:val="Heading2"/>
      </w:pPr>
      <w:r>
        <w:t>3.4 Extensibility</w:t>
      </w:r>
    </w:p>
    <w:p>
      <w:r>
        <w:rPr>
          <w:i w:val="0"/>
        </w:rPr>
        <w:t>The MVP ontology MAY later add guilt, shame, pride, relief, hope, gratitude, envy, or compassion. New emotions require an appraisal signature, transition mapping, tendency mapping, interaction rules, tests, and migration strategy.</w:t>
      </w:r>
    </w:p>
    <w:p>
      <w:pPr>
        <w:pStyle w:val="Heading1"/>
      </w:pPr>
      <w:r>
        <w:t>4. Core affect and mood</w:t>
      </w:r>
    </w:p>
    <w:p>
      <w:pPr>
        <w:pStyle w:val="Heading2"/>
      </w:pPr>
      <w:r>
        <w:t>4.1 Core affect</w:t>
      </w:r>
    </w:p>
    <w:tbl>
      <w:tblPr>
        <w:tblStyle w:val="TableGrid"/>
        <w:tblW w:type="dxa" w:w="9360"/>
        <w:jc w:val="center"/>
        <w:tblLayout w:type="fixed"/>
        <w:tblLook w:firstColumn="1" w:firstRow="1" w:lastColumn="0" w:lastRow="0" w:noHBand="0" w:noVBand="1" w:val="04A0"/>
        <w:tblInd w:w="120" w:type="dxa"/>
      </w:tblPr>
      <w:tblGrid>
        <w:gridCol w:w="1800"/>
        <w:gridCol w:w="1700"/>
        <w:gridCol w:w="5860"/>
      </w:tblGrid>
      <w:tr>
        <w:trPr>
          <w:tblHeader w:val="true"/>
        </w:trPr>
        <w:tc>
          <w:tcPr>
            <w:tcW w:type="dxa" w:w="1800"/>
            <w:shd w:fill="E8EEF5"/>
            <w:tcMar>
              <w:top w:w="90" w:type="dxa"/>
              <w:start w:w="120" w:type="dxa"/>
              <w:bottom w:w="90" w:type="dxa"/>
              <w:end w:w="120" w:type="dxa"/>
            </w:tcMar>
            <w:vAlign w:val="center"/>
          </w:tcPr>
          <w:p>
            <w:pPr>
              <w:spacing w:after="0"/>
            </w:pPr>
            <w:r>
              <w:rPr>
                <w:b/>
                <w:color w:val="17365D"/>
                <w:sz w:val="18"/>
              </w:rPr>
              <w:t>Dimension</w:t>
            </w:r>
          </w:p>
        </w:tc>
        <w:tc>
          <w:tcPr>
            <w:tcW w:type="dxa" w:w="1700"/>
            <w:shd w:fill="E8EEF5"/>
            <w:tcMar>
              <w:top w:w="90" w:type="dxa"/>
              <w:start w:w="120" w:type="dxa"/>
              <w:bottom w:w="90" w:type="dxa"/>
              <w:end w:w="120" w:type="dxa"/>
            </w:tcMar>
            <w:vAlign w:val="center"/>
          </w:tcPr>
          <w:p>
            <w:pPr>
              <w:spacing w:after="0"/>
            </w:pPr>
            <w:r>
              <w:rPr>
                <w:b/>
                <w:color w:val="17365D"/>
                <w:sz w:val="18"/>
              </w:rPr>
              <w:t>Range</w:t>
            </w:r>
          </w:p>
        </w:tc>
        <w:tc>
          <w:tcPr>
            <w:tcW w:type="dxa" w:w="5860"/>
            <w:shd w:fill="E8EEF5"/>
            <w:tcMar>
              <w:top w:w="90" w:type="dxa"/>
              <w:start w:w="120" w:type="dxa"/>
              <w:bottom w:w="90" w:type="dxa"/>
              <w:end w:w="120" w:type="dxa"/>
            </w:tcMar>
            <w:vAlign w:val="center"/>
          </w:tcPr>
          <w:p>
            <w:pPr>
              <w:spacing w:after="0"/>
            </w:pPr>
            <w:r>
              <w:rPr>
                <w:b/>
                <w:color w:val="17365D"/>
                <w:sz w:val="18"/>
              </w:rPr>
              <w:t>Meaning</w:t>
            </w:r>
          </w:p>
        </w:tc>
      </w:tr>
      <w:tr>
        <w:tc>
          <w:tcPr>
            <w:tcW w:type="dxa" w:w="1800"/>
            <w:tcMar>
              <w:top w:w="90" w:type="dxa"/>
              <w:start w:w="120" w:type="dxa"/>
              <w:bottom w:w="90" w:type="dxa"/>
              <w:end w:w="120" w:type="dxa"/>
            </w:tcMar>
            <w:vAlign w:val="center"/>
          </w:tcPr>
          <w:p>
            <w:pPr>
              <w:spacing w:after="0" w:line="252" w:lineRule="auto"/>
            </w:pPr>
            <w:r>
              <w:rPr>
                <w:sz w:val="18"/>
              </w:rPr>
              <w:t>Valence</w:t>
            </w:r>
          </w:p>
        </w:tc>
        <w:tc>
          <w:tcPr>
            <w:tcW w:type="dxa" w:w="1700"/>
            <w:tcMar>
              <w:top w:w="90" w:type="dxa"/>
              <w:start w:w="120" w:type="dxa"/>
              <w:bottom w:w="90" w:type="dxa"/>
              <w:end w:w="120" w:type="dxa"/>
            </w:tcMar>
            <w:vAlign w:val="center"/>
          </w:tcPr>
          <w:p>
            <w:pPr>
              <w:spacing w:after="0" w:line="252" w:lineRule="auto"/>
            </w:pPr>
            <w:r>
              <w:rPr>
                <w:sz w:val="18"/>
              </w:rPr>
              <w:t>-1 to +1</w:t>
            </w:r>
          </w:p>
        </w:tc>
        <w:tc>
          <w:tcPr>
            <w:tcW w:type="dxa" w:w="5860"/>
            <w:tcMar>
              <w:top w:w="90" w:type="dxa"/>
              <w:start w:w="120" w:type="dxa"/>
              <w:bottom w:w="90" w:type="dxa"/>
              <w:end w:w="120" w:type="dxa"/>
            </w:tcMar>
            <w:vAlign w:val="center"/>
          </w:tcPr>
          <w:p>
            <w:pPr>
              <w:spacing w:after="0" w:line="252" w:lineRule="auto"/>
            </w:pPr>
            <w:r>
              <w:rPr>
                <w:sz w:val="18"/>
              </w:rPr>
              <w:t>Global negative-to-positive quality.</w:t>
            </w:r>
          </w:p>
        </w:tc>
      </w:tr>
      <w:tr>
        <w:tc>
          <w:tcPr>
            <w:tcW w:type="dxa" w:w="1800"/>
            <w:tcMar>
              <w:top w:w="90" w:type="dxa"/>
              <w:start w:w="120" w:type="dxa"/>
              <w:bottom w:w="90" w:type="dxa"/>
              <w:end w:w="120" w:type="dxa"/>
            </w:tcMar>
            <w:vAlign w:val="center"/>
          </w:tcPr>
          <w:p>
            <w:pPr>
              <w:spacing w:after="0" w:line="252" w:lineRule="auto"/>
            </w:pPr>
            <w:r>
              <w:rPr>
                <w:sz w:val="18"/>
              </w:rPr>
              <w:t>Arousal</w:t>
            </w:r>
          </w:p>
        </w:tc>
        <w:tc>
          <w:tcPr>
            <w:tcW w:type="dxa" w:w="1700"/>
            <w:tcMar>
              <w:top w:w="90" w:type="dxa"/>
              <w:start w:w="120" w:type="dxa"/>
              <w:bottom w:w="90" w:type="dxa"/>
              <w:end w:w="120" w:type="dxa"/>
            </w:tcMar>
            <w:vAlign w:val="center"/>
          </w:tcPr>
          <w:p>
            <w:pPr>
              <w:spacing w:after="0" w:line="252" w:lineRule="auto"/>
            </w:pPr>
            <w:r>
              <w:rPr>
                <w:sz w:val="18"/>
              </w:rPr>
              <w:t>0 to 1</w:t>
            </w:r>
          </w:p>
        </w:tc>
        <w:tc>
          <w:tcPr>
            <w:tcW w:type="dxa" w:w="5860"/>
            <w:tcMar>
              <w:top w:w="90" w:type="dxa"/>
              <w:start w:w="120" w:type="dxa"/>
              <w:bottom w:w="90" w:type="dxa"/>
              <w:end w:w="120" w:type="dxa"/>
            </w:tcMar>
            <w:vAlign w:val="center"/>
          </w:tcPr>
          <w:p>
            <w:pPr>
              <w:spacing w:after="0" w:line="252" w:lineRule="auto"/>
            </w:pPr>
            <w:r>
              <w:rPr>
                <w:sz w:val="18"/>
              </w:rPr>
              <w:t>Activation, urgency, and physiological-style mobilization.</w:t>
            </w:r>
          </w:p>
        </w:tc>
      </w:tr>
      <w:tr>
        <w:tc>
          <w:tcPr>
            <w:tcW w:type="dxa" w:w="1800"/>
            <w:tcMar>
              <w:top w:w="90" w:type="dxa"/>
              <w:start w:w="120" w:type="dxa"/>
              <w:bottom w:w="90" w:type="dxa"/>
              <w:end w:w="120" w:type="dxa"/>
            </w:tcMar>
            <w:vAlign w:val="center"/>
          </w:tcPr>
          <w:p>
            <w:pPr>
              <w:spacing w:after="0" w:line="252" w:lineRule="auto"/>
            </w:pPr>
            <w:r>
              <w:rPr>
                <w:sz w:val="18"/>
              </w:rPr>
              <w:t>Control</w:t>
            </w:r>
          </w:p>
        </w:tc>
        <w:tc>
          <w:tcPr>
            <w:tcW w:type="dxa" w:w="1700"/>
            <w:tcMar>
              <w:top w:w="90" w:type="dxa"/>
              <w:start w:w="120" w:type="dxa"/>
              <w:bottom w:w="90" w:type="dxa"/>
              <w:end w:w="120" w:type="dxa"/>
            </w:tcMar>
            <w:vAlign w:val="center"/>
          </w:tcPr>
          <w:p>
            <w:pPr>
              <w:spacing w:after="0" w:line="252" w:lineRule="auto"/>
            </w:pPr>
            <w:r>
              <w:rPr>
                <w:sz w:val="18"/>
              </w:rPr>
              <w:t>-1 to +1</w:t>
            </w:r>
          </w:p>
        </w:tc>
        <w:tc>
          <w:tcPr>
            <w:tcW w:type="dxa" w:w="5860"/>
            <w:tcMar>
              <w:top w:w="90" w:type="dxa"/>
              <w:start w:w="120" w:type="dxa"/>
              <w:bottom w:w="90" w:type="dxa"/>
              <w:end w:w="120" w:type="dxa"/>
            </w:tcMar>
            <w:vAlign w:val="center"/>
          </w:tcPr>
          <w:p>
            <w:pPr>
              <w:spacing w:after="0" w:line="252" w:lineRule="auto"/>
            </w:pPr>
            <w:r>
              <w:rPr>
                <w:sz w:val="18"/>
              </w:rPr>
              <w:t>Perceived coping power or dominance versus helplessness.</w:t>
            </w:r>
          </w:p>
        </w:tc>
      </w:tr>
    </w:tbl>
    <w:p>
      <w:pPr>
        <w:spacing w:after="0"/>
      </w:pPr>
    </w:p>
    <w:p>
      <w:pPr>
        <w:pStyle w:val="Heading2"/>
      </w:pPr>
      <w:r>
        <w:t>4.2 Derived core affect</w:t>
      </w:r>
    </w:p>
    <w:p>
      <w:r>
        <w:rPr>
          <w:i w:val="0"/>
        </w:rPr>
        <w:t>Core affect is recomputed from emotion intensities and appraisal dimensions, then smoothed. The MVP uses configurable weighted mappings rather than an LLM-generated value.</w:t>
      </w:r>
    </w:p>
    <w:p>
      <w:pPr>
        <w:spacing w:before="120" w:after="160"/>
        <w:jc w:val="center"/>
      </w:pPr>
      <w:r>
        <w:rPr>
          <w:rFonts w:ascii="Cambria Math" w:hAnsi="Cambria Math"/>
          <w:i/>
          <w:color w:val="17365D"/>
          <w:sz w:val="22"/>
        </w:rPr>
        <w:t>C* = clamp(Wce · E + Wca · appraisal + b)</w:t>
      </w:r>
    </w:p>
    <w:p>
      <w:pPr>
        <w:spacing w:before="120" w:after="160"/>
        <w:jc w:val="center"/>
      </w:pPr>
      <w:r>
        <w:rPr>
          <w:rFonts w:ascii="Cambria Math" w:hAnsi="Cambria Math"/>
          <w:i/>
          <w:color w:val="17365D"/>
          <w:sz w:val="22"/>
        </w:rPr>
        <w:t>C(t+1) = (1 - βc) · Cdecayed + βc · C*</w:t>
      </w:r>
    </w:p>
    <w:p>
      <w:r>
        <w:rPr>
          <w:i w:val="0"/>
        </w:rPr>
        <w:t>βc controls how quickly core affect follows the new target. Each dimension may use a distinct β.</w:t>
      </w:r>
    </w:p>
    <w:p>
      <w:pPr>
        <w:pStyle w:val="Heading2"/>
      </w:pPr>
      <w:r>
        <w:t>4.3 Mood</w:t>
      </w:r>
    </w:p>
    <w:p>
      <w:r>
        <w:rPr>
          <w:i w:val="0"/>
        </w:rPr>
        <w:t>Mood is a low-pass-filtered residue of core affect plus an independent baseline. It biases future appraisal but MUST have less event-level influence than explicit context.</w:t>
      </w:r>
    </w:p>
    <w:p>
      <w:pPr>
        <w:spacing w:before="120" w:after="160"/>
        <w:jc w:val="center"/>
      </w:pPr>
      <w:r>
        <w:rPr>
          <w:rFonts w:ascii="Cambria Math" w:hAnsi="Cambria Math"/>
          <w:i/>
          <w:color w:val="17365D"/>
          <w:sz w:val="22"/>
        </w:rPr>
        <w:t>M(t+1) = clamp((1 - βm) · Mdecayed + βm · C(t+1)), where βm &lt;&lt; βc</w:t>
      </w:r>
    </w:p>
    <w:p>
      <w:pPr>
        <w:pStyle w:val="Heading2"/>
      </w:pPr>
      <w:r>
        <w:t>4.4 Mood influence</w:t>
      </w:r>
    </w:p>
    <w:p>
      <w:pPr>
        <w:pStyle w:val="ListBullet"/>
      </w:pPr>
      <w:r>
        <w:t>Negative mood may lower threat thresholds slightly and reduce optimistic priors.</w:t>
      </w:r>
    </w:p>
    <w:p>
      <w:pPr>
        <w:pStyle w:val="ListBullet"/>
      </w:pPr>
      <w:r>
        <w:t>Positive mood may increase exploration and benign interpretation slightly.</w:t>
      </w:r>
    </w:p>
    <w:p>
      <w:pPr>
        <w:pStyle w:val="ListBullet"/>
      </w:pPr>
      <w:r>
        <w:t>Mood influence MUST be capped so strong evidence dominates.</w:t>
      </w:r>
    </w:p>
    <w:p>
      <w:pPr>
        <w:pStyle w:val="ListBullet"/>
      </w:pPr>
      <w:r>
        <w:t>Mood MUST NOT alter safety or authorization decisions.</w:t>
      </w:r>
    </w:p>
    <w:p>
      <w:pPr>
        <w:pStyle w:val="Heading1"/>
      </w:pPr>
      <w:r>
        <w:t>5. Appraisal model</w:t>
      </w:r>
    </w:p>
    <w:p>
      <w:pPr>
        <w:pStyle w:val="Heading2"/>
      </w:pPr>
      <w:r>
        <w:t>5.1 Appraisal vector</w:t>
      </w:r>
    </w:p>
    <w:tbl>
      <w:tblPr>
        <w:tblStyle w:val="TableGrid"/>
        <w:tblW w:type="dxa" w:w="9360"/>
        <w:jc w:val="center"/>
        <w:tblLayout w:type="fixed"/>
        <w:tblLook w:firstColumn="1" w:firstRow="1" w:lastColumn="0" w:lastRow="0" w:noHBand="0" w:noVBand="1" w:val="04A0"/>
        <w:tblInd w:w="120" w:type="dxa"/>
      </w:tblPr>
      <w:tblGrid>
        <w:gridCol w:w="2000"/>
        <w:gridCol w:w="1500"/>
        <w:gridCol w:w="5860"/>
      </w:tblGrid>
      <w:tr>
        <w:trPr>
          <w:tblHeader w:val="true"/>
        </w:trPr>
        <w:tc>
          <w:tcPr>
            <w:tcW w:type="dxa" w:w="2000"/>
            <w:shd w:fill="E8EEF5"/>
            <w:tcMar>
              <w:top w:w="90" w:type="dxa"/>
              <w:start w:w="120" w:type="dxa"/>
              <w:bottom w:w="90" w:type="dxa"/>
              <w:end w:w="120" w:type="dxa"/>
            </w:tcMar>
            <w:vAlign w:val="center"/>
          </w:tcPr>
          <w:p>
            <w:pPr>
              <w:spacing w:after="0"/>
            </w:pPr>
            <w:r>
              <w:rPr>
                <w:b/>
                <w:color w:val="17365D"/>
                <w:sz w:val="18"/>
              </w:rPr>
              <w:t>Dimension</w:t>
            </w:r>
          </w:p>
        </w:tc>
        <w:tc>
          <w:tcPr>
            <w:tcW w:type="dxa" w:w="1500"/>
            <w:shd w:fill="E8EEF5"/>
            <w:tcMar>
              <w:top w:w="90" w:type="dxa"/>
              <w:start w:w="120" w:type="dxa"/>
              <w:bottom w:w="90" w:type="dxa"/>
              <w:end w:w="120" w:type="dxa"/>
            </w:tcMar>
            <w:vAlign w:val="center"/>
          </w:tcPr>
          <w:p>
            <w:pPr>
              <w:spacing w:after="0"/>
            </w:pPr>
            <w:r>
              <w:rPr>
                <w:b/>
                <w:color w:val="17365D"/>
                <w:sz w:val="18"/>
              </w:rPr>
              <w:t>Range</w:t>
            </w:r>
          </w:p>
        </w:tc>
        <w:tc>
          <w:tcPr>
            <w:tcW w:type="dxa" w:w="5860"/>
            <w:shd w:fill="E8EEF5"/>
            <w:tcMar>
              <w:top w:w="90" w:type="dxa"/>
              <w:start w:w="120" w:type="dxa"/>
              <w:bottom w:w="90" w:type="dxa"/>
              <w:end w:w="120" w:type="dxa"/>
            </w:tcMar>
            <w:vAlign w:val="center"/>
          </w:tcPr>
          <w:p>
            <w:pPr>
              <w:spacing w:after="0"/>
            </w:pPr>
            <w:r>
              <w:rPr>
                <w:b/>
                <w:color w:val="17365D"/>
                <w:sz w:val="18"/>
              </w:rPr>
              <w:t>Question</w:t>
            </w:r>
          </w:p>
        </w:tc>
      </w:tr>
      <w:tr>
        <w:tc>
          <w:tcPr>
            <w:tcW w:type="dxa" w:w="2000"/>
            <w:tcMar>
              <w:top w:w="90" w:type="dxa"/>
              <w:start w:w="120" w:type="dxa"/>
              <w:bottom w:w="90" w:type="dxa"/>
              <w:end w:w="120" w:type="dxa"/>
            </w:tcMar>
            <w:vAlign w:val="center"/>
          </w:tcPr>
          <w:p>
            <w:pPr>
              <w:spacing w:after="0" w:line="252" w:lineRule="auto"/>
            </w:pPr>
            <w:r>
              <w:rPr>
                <w:sz w:val="18"/>
              </w:rPr>
              <w:t>Novelty</w:t>
            </w:r>
          </w:p>
        </w:tc>
        <w:tc>
          <w:tcPr>
            <w:tcW w:type="dxa" w:w="1500"/>
            <w:tcMar>
              <w:top w:w="90" w:type="dxa"/>
              <w:start w:w="120" w:type="dxa"/>
              <w:bottom w:w="90" w:type="dxa"/>
              <w:end w:w="120" w:type="dxa"/>
            </w:tcMar>
            <w:vAlign w:val="center"/>
          </w:tcPr>
          <w:p>
            <w:pPr>
              <w:spacing w:after="0" w:line="252" w:lineRule="auto"/>
            </w:pPr>
            <w:r>
              <w:rPr>
                <w:sz w:val="18"/>
              </w:rPr>
              <w:t>0 to 1</w:t>
            </w:r>
          </w:p>
        </w:tc>
        <w:tc>
          <w:tcPr>
            <w:tcW w:type="dxa" w:w="5860"/>
            <w:tcMar>
              <w:top w:w="90" w:type="dxa"/>
              <w:start w:w="120" w:type="dxa"/>
              <w:bottom w:w="90" w:type="dxa"/>
              <w:end w:w="120" w:type="dxa"/>
            </w:tcMar>
            <w:vAlign w:val="center"/>
          </w:tcPr>
          <w:p>
            <w:pPr>
              <w:spacing w:after="0" w:line="252" w:lineRule="auto"/>
            </w:pPr>
            <w:r>
              <w:rPr>
                <w:sz w:val="18"/>
              </w:rPr>
              <w:t>How unexpected or unfamiliar is the event?</w:t>
            </w:r>
          </w:p>
        </w:tc>
      </w:tr>
      <w:tr>
        <w:tc>
          <w:tcPr>
            <w:tcW w:type="dxa" w:w="2000"/>
            <w:tcMar>
              <w:top w:w="90" w:type="dxa"/>
              <w:start w:w="120" w:type="dxa"/>
              <w:bottom w:w="90" w:type="dxa"/>
              <w:end w:w="120" w:type="dxa"/>
            </w:tcMar>
            <w:vAlign w:val="center"/>
          </w:tcPr>
          <w:p>
            <w:pPr>
              <w:spacing w:after="0" w:line="252" w:lineRule="auto"/>
            </w:pPr>
            <w:r>
              <w:rPr>
                <w:sz w:val="18"/>
              </w:rPr>
              <w:t>Goal relevance</w:t>
            </w:r>
          </w:p>
        </w:tc>
        <w:tc>
          <w:tcPr>
            <w:tcW w:type="dxa" w:w="1500"/>
            <w:tcMar>
              <w:top w:w="90" w:type="dxa"/>
              <w:start w:w="120" w:type="dxa"/>
              <w:bottom w:w="90" w:type="dxa"/>
              <w:end w:w="120" w:type="dxa"/>
            </w:tcMar>
            <w:vAlign w:val="center"/>
          </w:tcPr>
          <w:p>
            <w:pPr>
              <w:spacing w:after="0" w:line="252" w:lineRule="auto"/>
            </w:pPr>
            <w:r>
              <w:rPr>
                <w:sz w:val="18"/>
              </w:rPr>
              <w:t>0 to 1</w:t>
            </w:r>
          </w:p>
        </w:tc>
        <w:tc>
          <w:tcPr>
            <w:tcW w:type="dxa" w:w="5860"/>
            <w:tcMar>
              <w:top w:w="90" w:type="dxa"/>
              <w:start w:w="120" w:type="dxa"/>
              <w:bottom w:w="90" w:type="dxa"/>
              <w:end w:w="120" w:type="dxa"/>
            </w:tcMar>
            <w:vAlign w:val="center"/>
          </w:tcPr>
          <w:p>
            <w:pPr>
              <w:spacing w:after="0" w:line="252" w:lineRule="auto"/>
            </w:pPr>
            <w:r>
              <w:rPr>
                <w:sz w:val="18"/>
              </w:rPr>
              <w:t>How much does it matter to an active goal?</w:t>
            </w:r>
          </w:p>
        </w:tc>
      </w:tr>
      <w:tr>
        <w:tc>
          <w:tcPr>
            <w:tcW w:type="dxa" w:w="2000"/>
            <w:tcMar>
              <w:top w:w="90" w:type="dxa"/>
              <w:start w:w="120" w:type="dxa"/>
              <w:bottom w:w="90" w:type="dxa"/>
              <w:end w:w="120" w:type="dxa"/>
            </w:tcMar>
            <w:vAlign w:val="center"/>
          </w:tcPr>
          <w:p>
            <w:pPr>
              <w:spacing w:after="0" w:line="252" w:lineRule="auto"/>
            </w:pPr>
            <w:r>
              <w:rPr>
                <w:sz w:val="18"/>
              </w:rPr>
              <w:t>Goal congruence</w:t>
            </w:r>
          </w:p>
        </w:tc>
        <w:tc>
          <w:tcPr>
            <w:tcW w:type="dxa" w:w="1500"/>
            <w:tcMar>
              <w:top w:w="90" w:type="dxa"/>
              <w:start w:w="120" w:type="dxa"/>
              <w:bottom w:w="90" w:type="dxa"/>
              <w:end w:w="120" w:type="dxa"/>
            </w:tcMar>
            <w:vAlign w:val="center"/>
          </w:tcPr>
          <w:p>
            <w:pPr>
              <w:spacing w:after="0" w:line="252" w:lineRule="auto"/>
            </w:pPr>
            <w:r>
              <w:rPr>
                <w:sz w:val="18"/>
              </w:rPr>
              <w:t>-1 to +1</w:t>
            </w:r>
          </w:p>
        </w:tc>
        <w:tc>
          <w:tcPr>
            <w:tcW w:type="dxa" w:w="5860"/>
            <w:tcMar>
              <w:top w:w="90" w:type="dxa"/>
              <w:start w:w="120" w:type="dxa"/>
              <w:bottom w:w="90" w:type="dxa"/>
              <w:end w:w="120" w:type="dxa"/>
            </w:tcMar>
            <w:vAlign w:val="center"/>
          </w:tcPr>
          <w:p>
            <w:pPr>
              <w:spacing w:after="0" w:line="252" w:lineRule="auto"/>
            </w:pPr>
            <w:r>
              <w:rPr>
                <w:sz w:val="18"/>
              </w:rPr>
              <w:t>Does it help or obstruct that goal?</w:t>
            </w:r>
          </w:p>
        </w:tc>
      </w:tr>
      <w:tr>
        <w:tc>
          <w:tcPr>
            <w:tcW w:type="dxa" w:w="2000"/>
            <w:tcMar>
              <w:top w:w="90" w:type="dxa"/>
              <w:start w:w="120" w:type="dxa"/>
              <w:bottom w:w="90" w:type="dxa"/>
              <w:end w:w="120" w:type="dxa"/>
            </w:tcMar>
            <w:vAlign w:val="center"/>
          </w:tcPr>
          <w:p>
            <w:pPr>
              <w:spacing w:after="0" w:line="252" w:lineRule="auto"/>
            </w:pPr>
            <w:r>
              <w:rPr>
                <w:sz w:val="18"/>
              </w:rPr>
              <w:t>Controllability</w:t>
            </w:r>
          </w:p>
        </w:tc>
        <w:tc>
          <w:tcPr>
            <w:tcW w:type="dxa" w:w="1500"/>
            <w:tcMar>
              <w:top w:w="90" w:type="dxa"/>
              <w:start w:w="120" w:type="dxa"/>
              <w:bottom w:w="90" w:type="dxa"/>
              <w:end w:w="120" w:type="dxa"/>
            </w:tcMar>
            <w:vAlign w:val="center"/>
          </w:tcPr>
          <w:p>
            <w:pPr>
              <w:spacing w:after="0" w:line="252" w:lineRule="auto"/>
            </w:pPr>
            <w:r>
              <w:rPr>
                <w:sz w:val="18"/>
              </w:rPr>
              <w:t>0 to 1</w:t>
            </w:r>
          </w:p>
        </w:tc>
        <w:tc>
          <w:tcPr>
            <w:tcW w:type="dxa" w:w="5860"/>
            <w:tcMar>
              <w:top w:w="90" w:type="dxa"/>
              <w:start w:w="120" w:type="dxa"/>
              <w:bottom w:w="90" w:type="dxa"/>
              <w:end w:w="120" w:type="dxa"/>
            </w:tcMar>
            <w:vAlign w:val="center"/>
          </w:tcPr>
          <w:p>
            <w:pPr>
              <w:spacing w:after="0" w:line="252" w:lineRule="auto"/>
            </w:pPr>
            <w:r>
              <w:rPr>
                <w:sz w:val="18"/>
              </w:rPr>
              <w:t>Can the agent influence the outcome?</w:t>
            </w:r>
          </w:p>
        </w:tc>
      </w:tr>
      <w:tr>
        <w:tc>
          <w:tcPr>
            <w:tcW w:type="dxa" w:w="2000"/>
            <w:tcMar>
              <w:top w:w="90" w:type="dxa"/>
              <w:start w:w="120" w:type="dxa"/>
              <w:bottom w:w="90" w:type="dxa"/>
              <w:end w:w="120" w:type="dxa"/>
            </w:tcMar>
            <w:vAlign w:val="center"/>
          </w:tcPr>
          <w:p>
            <w:pPr>
              <w:spacing w:after="0" w:line="252" w:lineRule="auto"/>
            </w:pPr>
            <w:r>
              <w:rPr>
                <w:sz w:val="18"/>
              </w:rPr>
              <w:t>Certainty</w:t>
            </w:r>
          </w:p>
        </w:tc>
        <w:tc>
          <w:tcPr>
            <w:tcW w:type="dxa" w:w="1500"/>
            <w:tcMar>
              <w:top w:w="90" w:type="dxa"/>
              <w:start w:w="120" w:type="dxa"/>
              <w:bottom w:w="90" w:type="dxa"/>
              <w:end w:w="120" w:type="dxa"/>
            </w:tcMar>
            <w:vAlign w:val="center"/>
          </w:tcPr>
          <w:p>
            <w:pPr>
              <w:spacing w:after="0" w:line="252" w:lineRule="auto"/>
            </w:pPr>
            <w:r>
              <w:rPr>
                <w:sz w:val="18"/>
              </w:rPr>
              <w:t>0 to 1</w:t>
            </w:r>
          </w:p>
        </w:tc>
        <w:tc>
          <w:tcPr>
            <w:tcW w:type="dxa" w:w="5860"/>
            <w:tcMar>
              <w:top w:w="90" w:type="dxa"/>
              <w:start w:w="120" w:type="dxa"/>
              <w:bottom w:w="90" w:type="dxa"/>
              <w:end w:w="120" w:type="dxa"/>
            </w:tcMar>
            <w:vAlign w:val="center"/>
          </w:tcPr>
          <w:p>
            <w:pPr>
              <w:spacing w:after="0" w:line="252" w:lineRule="auto"/>
            </w:pPr>
            <w:r>
              <w:rPr>
                <w:sz w:val="18"/>
              </w:rPr>
              <w:t>How confident is the interpretation or prediction?</w:t>
            </w:r>
          </w:p>
        </w:tc>
      </w:tr>
      <w:tr>
        <w:tc>
          <w:tcPr>
            <w:tcW w:type="dxa" w:w="2000"/>
            <w:tcMar>
              <w:top w:w="90" w:type="dxa"/>
              <w:start w:w="120" w:type="dxa"/>
              <w:bottom w:w="90" w:type="dxa"/>
              <w:end w:w="120" w:type="dxa"/>
            </w:tcMar>
            <w:vAlign w:val="center"/>
          </w:tcPr>
          <w:p>
            <w:pPr>
              <w:spacing w:after="0" w:line="252" w:lineRule="auto"/>
            </w:pPr>
            <w:r>
              <w:rPr>
                <w:sz w:val="18"/>
              </w:rPr>
              <w:t>Agency-self</w:t>
            </w:r>
          </w:p>
        </w:tc>
        <w:tc>
          <w:tcPr>
            <w:tcW w:type="dxa" w:w="1500"/>
            <w:tcMar>
              <w:top w:w="90" w:type="dxa"/>
              <w:start w:w="120" w:type="dxa"/>
              <w:bottom w:w="90" w:type="dxa"/>
              <w:end w:w="120" w:type="dxa"/>
            </w:tcMar>
            <w:vAlign w:val="center"/>
          </w:tcPr>
          <w:p>
            <w:pPr>
              <w:spacing w:after="0" w:line="252" w:lineRule="auto"/>
            </w:pPr>
            <w:r>
              <w:rPr>
                <w:sz w:val="18"/>
              </w:rPr>
              <w:t>0 to 1</w:t>
            </w:r>
          </w:p>
        </w:tc>
        <w:tc>
          <w:tcPr>
            <w:tcW w:type="dxa" w:w="5860"/>
            <w:tcMar>
              <w:top w:w="90" w:type="dxa"/>
              <w:start w:w="120" w:type="dxa"/>
              <w:bottom w:w="90" w:type="dxa"/>
              <w:end w:w="120" w:type="dxa"/>
            </w:tcMar>
            <w:vAlign w:val="center"/>
          </w:tcPr>
          <w:p>
            <w:pPr>
              <w:spacing w:after="0" w:line="252" w:lineRule="auto"/>
            </w:pPr>
            <w:r>
              <w:rPr>
                <w:sz w:val="18"/>
              </w:rPr>
              <w:t>How much causal responsibility belongs to the agent?</w:t>
            </w:r>
          </w:p>
        </w:tc>
      </w:tr>
      <w:tr>
        <w:tc>
          <w:tcPr>
            <w:tcW w:type="dxa" w:w="2000"/>
            <w:tcMar>
              <w:top w:w="90" w:type="dxa"/>
              <w:start w:w="120" w:type="dxa"/>
              <w:bottom w:w="90" w:type="dxa"/>
              <w:end w:w="120" w:type="dxa"/>
            </w:tcMar>
            <w:vAlign w:val="center"/>
          </w:tcPr>
          <w:p>
            <w:pPr>
              <w:spacing w:after="0" w:line="252" w:lineRule="auto"/>
            </w:pPr>
            <w:r>
              <w:rPr>
                <w:sz w:val="18"/>
              </w:rPr>
              <w:t>Agency-other</w:t>
            </w:r>
          </w:p>
        </w:tc>
        <w:tc>
          <w:tcPr>
            <w:tcW w:type="dxa" w:w="1500"/>
            <w:tcMar>
              <w:top w:w="90" w:type="dxa"/>
              <w:start w:w="120" w:type="dxa"/>
              <w:bottom w:w="90" w:type="dxa"/>
              <w:end w:w="120" w:type="dxa"/>
            </w:tcMar>
            <w:vAlign w:val="center"/>
          </w:tcPr>
          <w:p>
            <w:pPr>
              <w:spacing w:after="0" w:line="252" w:lineRule="auto"/>
            </w:pPr>
            <w:r>
              <w:rPr>
                <w:sz w:val="18"/>
              </w:rPr>
              <w:t>0 to 1</w:t>
            </w:r>
          </w:p>
        </w:tc>
        <w:tc>
          <w:tcPr>
            <w:tcW w:type="dxa" w:w="5860"/>
            <w:tcMar>
              <w:top w:w="90" w:type="dxa"/>
              <w:start w:w="120" w:type="dxa"/>
              <w:bottom w:w="90" w:type="dxa"/>
              <w:end w:w="120" w:type="dxa"/>
            </w:tcMar>
            <w:vAlign w:val="center"/>
          </w:tcPr>
          <w:p>
            <w:pPr>
              <w:spacing w:after="0" w:line="252" w:lineRule="auto"/>
            </w:pPr>
            <w:r>
              <w:rPr>
                <w:sz w:val="18"/>
              </w:rPr>
              <w:t>How much causal responsibility belongs to another actor?</w:t>
            </w:r>
          </w:p>
        </w:tc>
      </w:tr>
      <w:tr>
        <w:tc>
          <w:tcPr>
            <w:tcW w:type="dxa" w:w="2000"/>
            <w:tcMar>
              <w:top w:w="90" w:type="dxa"/>
              <w:start w:w="120" w:type="dxa"/>
              <w:bottom w:w="90" w:type="dxa"/>
              <w:end w:w="120" w:type="dxa"/>
            </w:tcMar>
            <w:vAlign w:val="center"/>
          </w:tcPr>
          <w:p>
            <w:pPr>
              <w:spacing w:after="0" w:line="252" w:lineRule="auto"/>
            </w:pPr>
            <w:r>
              <w:rPr>
                <w:sz w:val="18"/>
              </w:rPr>
              <w:t>Norm compatibility</w:t>
            </w:r>
          </w:p>
        </w:tc>
        <w:tc>
          <w:tcPr>
            <w:tcW w:type="dxa" w:w="1500"/>
            <w:tcMar>
              <w:top w:w="90" w:type="dxa"/>
              <w:start w:w="120" w:type="dxa"/>
              <w:bottom w:w="90" w:type="dxa"/>
              <w:end w:w="120" w:type="dxa"/>
            </w:tcMar>
            <w:vAlign w:val="center"/>
          </w:tcPr>
          <w:p>
            <w:pPr>
              <w:spacing w:after="0" w:line="252" w:lineRule="auto"/>
            </w:pPr>
            <w:r>
              <w:rPr>
                <w:sz w:val="18"/>
              </w:rPr>
              <w:t>-1 to +1</w:t>
            </w:r>
          </w:p>
        </w:tc>
        <w:tc>
          <w:tcPr>
            <w:tcW w:type="dxa" w:w="5860"/>
            <w:tcMar>
              <w:top w:w="90" w:type="dxa"/>
              <w:start w:w="120" w:type="dxa"/>
              <w:bottom w:w="90" w:type="dxa"/>
              <w:end w:w="120" w:type="dxa"/>
            </w:tcMar>
            <w:vAlign w:val="center"/>
          </w:tcPr>
          <w:p>
            <w:pPr>
              <w:spacing w:after="0" w:line="252" w:lineRule="auto"/>
            </w:pPr>
            <w:r>
              <w:rPr>
                <w:sz w:val="18"/>
              </w:rPr>
              <w:t>Does the event align with values, rules, or expectations?</w:t>
            </w:r>
          </w:p>
        </w:tc>
      </w:tr>
      <w:tr>
        <w:tc>
          <w:tcPr>
            <w:tcW w:type="dxa" w:w="2000"/>
            <w:tcMar>
              <w:top w:w="90" w:type="dxa"/>
              <w:start w:w="120" w:type="dxa"/>
              <w:bottom w:w="90" w:type="dxa"/>
              <w:end w:w="120" w:type="dxa"/>
            </w:tcMar>
            <w:vAlign w:val="center"/>
          </w:tcPr>
          <w:p>
            <w:pPr>
              <w:spacing w:after="0" w:line="252" w:lineRule="auto"/>
            </w:pPr>
            <w:r>
              <w:rPr>
                <w:sz w:val="18"/>
              </w:rPr>
              <w:t>Social significance</w:t>
            </w:r>
          </w:p>
        </w:tc>
        <w:tc>
          <w:tcPr>
            <w:tcW w:type="dxa" w:w="1500"/>
            <w:tcMar>
              <w:top w:w="90" w:type="dxa"/>
              <w:start w:w="120" w:type="dxa"/>
              <w:bottom w:w="90" w:type="dxa"/>
              <w:end w:w="120" w:type="dxa"/>
            </w:tcMar>
            <w:vAlign w:val="center"/>
          </w:tcPr>
          <w:p>
            <w:pPr>
              <w:spacing w:after="0" w:line="252" w:lineRule="auto"/>
            </w:pPr>
            <w:r>
              <w:rPr>
                <w:sz w:val="18"/>
              </w:rPr>
              <w:t>0 to 1</w:t>
            </w:r>
          </w:p>
        </w:tc>
        <w:tc>
          <w:tcPr>
            <w:tcW w:type="dxa" w:w="5860"/>
            <w:tcMar>
              <w:top w:w="90" w:type="dxa"/>
              <w:start w:w="120" w:type="dxa"/>
              <w:bottom w:w="90" w:type="dxa"/>
              <w:end w:w="120" w:type="dxa"/>
            </w:tcMar>
            <w:vAlign w:val="center"/>
          </w:tcPr>
          <w:p>
            <w:pPr>
              <w:spacing w:after="0" w:line="252" w:lineRule="auto"/>
            </w:pPr>
            <w:r>
              <w:rPr>
                <w:sz w:val="18"/>
              </w:rPr>
              <w:t>How strongly does it affect status, trust, belonging, or reciprocity?</w:t>
            </w:r>
          </w:p>
        </w:tc>
      </w:tr>
      <w:tr>
        <w:tc>
          <w:tcPr>
            <w:tcW w:type="dxa" w:w="2000"/>
            <w:tcMar>
              <w:top w:w="90" w:type="dxa"/>
              <w:start w:w="120" w:type="dxa"/>
              <w:bottom w:w="90" w:type="dxa"/>
              <w:end w:w="120" w:type="dxa"/>
            </w:tcMar>
            <w:vAlign w:val="center"/>
          </w:tcPr>
          <w:p>
            <w:pPr>
              <w:spacing w:after="0" w:line="252" w:lineRule="auto"/>
            </w:pPr>
            <w:r>
              <w:rPr>
                <w:sz w:val="18"/>
              </w:rPr>
              <w:t>Coping potential</w:t>
            </w:r>
          </w:p>
        </w:tc>
        <w:tc>
          <w:tcPr>
            <w:tcW w:type="dxa" w:w="1500"/>
            <w:tcMar>
              <w:top w:w="90" w:type="dxa"/>
              <w:start w:w="120" w:type="dxa"/>
              <w:bottom w:w="90" w:type="dxa"/>
              <w:end w:w="120" w:type="dxa"/>
            </w:tcMar>
            <w:vAlign w:val="center"/>
          </w:tcPr>
          <w:p>
            <w:pPr>
              <w:spacing w:after="0" w:line="252" w:lineRule="auto"/>
            </w:pPr>
            <w:r>
              <w:rPr>
                <w:sz w:val="18"/>
              </w:rPr>
              <w:t>0 to 1</w:t>
            </w:r>
          </w:p>
        </w:tc>
        <w:tc>
          <w:tcPr>
            <w:tcW w:type="dxa" w:w="5860"/>
            <w:tcMar>
              <w:top w:w="90" w:type="dxa"/>
              <w:start w:w="120" w:type="dxa"/>
              <w:bottom w:w="90" w:type="dxa"/>
              <w:end w:w="120" w:type="dxa"/>
            </w:tcMar>
            <w:vAlign w:val="center"/>
          </w:tcPr>
          <w:p>
            <w:pPr>
              <w:spacing w:after="0" w:line="252" w:lineRule="auto"/>
            </w:pPr>
            <w:r>
              <w:rPr>
                <w:sz w:val="18"/>
              </w:rPr>
              <w:t>Are resources available to respond effectively?</w:t>
            </w:r>
          </w:p>
        </w:tc>
      </w:tr>
    </w:tbl>
    <w:p>
      <w:pPr>
        <w:spacing w:after="0"/>
      </w:pPr>
    </w:p>
    <w:p>
      <w:pPr>
        <w:pStyle w:val="Heading2"/>
      </w:pPr>
      <w:r>
        <w:t>5.2 Evidence model</w:t>
      </w:r>
    </w:p>
    <w:p>
      <w:pPr>
        <w:pStyle w:val="ListBullet"/>
      </w:pPr>
      <w:r>
        <w:t>Each dimension includes value, confidence, and evidence references.</w:t>
      </w:r>
    </w:p>
    <w:p>
      <w:pPr>
        <w:pStyle w:val="ListBullet"/>
      </w:pPr>
      <w:r>
        <w:t>Observed facts and inferred interpretations remain separate.</w:t>
      </w:r>
    </w:p>
    <w:p>
      <w:pPr>
        <w:pStyle w:val="ListBullet"/>
      </w:pPr>
      <w:r>
        <w:t>Unknown dimensions use null plus confidence zero, not an invented neutral value.</w:t>
      </w:r>
    </w:p>
    <w:p>
      <w:pPr>
        <w:pStyle w:val="ListBullet"/>
      </w:pPr>
      <w:r>
        <w:t>Multiple goal links produce separate partial appraisals before aggregation.</w:t>
      </w:r>
    </w:p>
    <w:p>
      <w:pPr>
        <w:pStyle w:val="Heading2"/>
      </w:pPr>
      <w:r>
        <w:t>5.3 Goal aggregation</w:t>
      </w:r>
    </w:p>
    <w:p>
      <w:pPr>
        <w:spacing w:before="120" w:after="160"/>
        <w:jc w:val="center"/>
      </w:pPr>
      <w:r>
        <w:rPr>
          <w:rFonts w:ascii="Cambria Math" w:hAnsi="Cambria Math"/>
          <w:i/>
          <w:color w:val="17365D"/>
          <w:sz w:val="22"/>
        </w:rPr>
        <w:t>a_d = Σg (priority_g · relevance_g · appraisal_d,g) / Σg (priority_g · relevance_g)</w:t>
      </w:r>
    </w:p>
    <w:p>
      <w:r>
        <w:rPr>
          <w:i w:val="0"/>
        </w:rPr>
        <w:t>Aggregation MUST retain goal-level contributions for explanation. Conflicting goal effects may create mixed emotions rather than canceling silently.</w:t>
      </w:r>
    </w:p>
    <w:p>
      <w:pPr>
        <w:pStyle w:val="Heading2"/>
      </w:pPr>
      <w:r>
        <w:t>5.4 Appraisal-to-emotion mapping</w:t>
      </w:r>
    </w:p>
    <w:tbl>
      <w:tblPr>
        <w:tblStyle w:val="TableGrid"/>
        <w:tblW w:type="dxa" w:w="9360"/>
        <w:jc w:val="center"/>
        <w:tblLayout w:type="fixed"/>
        <w:tblLook w:firstColumn="1" w:firstRow="1" w:lastColumn="0" w:lastRow="0" w:noHBand="0" w:noVBand="1" w:val="04A0"/>
        <w:tblInd w:w="120" w:type="dxa"/>
      </w:tblPr>
      <w:tblGrid>
        <w:gridCol w:w="1500"/>
        <w:gridCol w:w="4500"/>
        <w:gridCol w:w="3360"/>
      </w:tblGrid>
      <w:tr>
        <w:trPr>
          <w:tblHeader w:val="true"/>
        </w:trPr>
        <w:tc>
          <w:tcPr>
            <w:tcW w:type="dxa" w:w="1500"/>
            <w:shd w:fill="E8EEF5"/>
            <w:tcMar>
              <w:top w:w="90" w:type="dxa"/>
              <w:start w:w="120" w:type="dxa"/>
              <w:bottom w:w="90" w:type="dxa"/>
              <w:end w:w="120" w:type="dxa"/>
            </w:tcMar>
            <w:vAlign w:val="center"/>
          </w:tcPr>
          <w:p>
            <w:pPr>
              <w:spacing w:after="0"/>
            </w:pPr>
            <w:r>
              <w:rPr>
                <w:b/>
                <w:color w:val="17365D"/>
                <w:sz w:val="18"/>
              </w:rPr>
              <w:t>Emotion</w:t>
            </w:r>
          </w:p>
        </w:tc>
        <w:tc>
          <w:tcPr>
            <w:tcW w:type="dxa" w:w="4500"/>
            <w:shd w:fill="E8EEF5"/>
            <w:tcMar>
              <w:top w:w="90" w:type="dxa"/>
              <w:start w:w="120" w:type="dxa"/>
              <w:bottom w:w="90" w:type="dxa"/>
              <w:end w:w="120" w:type="dxa"/>
            </w:tcMar>
            <w:vAlign w:val="center"/>
          </w:tcPr>
          <w:p>
            <w:pPr>
              <w:spacing w:after="0"/>
            </w:pPr>
            <w:r>
              <w:rPr>
                <w:b/>
                <w:color w:val="17365D"/>
                <w:sz w:val="18"/>
              </w:rPr>
              <w:t>Positive drivers</w:t>
            </w:r>
          </w:p>
        </w:tc>
        <w:tc>
          <w:tcPr>
            <w:tcW w:type="dxa" w:w="3360"/>
            <w:shd w:fill="E8EEF5"/>
            <w:tcMar>
              <w:top w:w="90" w:type="dxa"/>
              <w:start w:w="120" w:type="dxa"/>
              <w:bottom w:w="90" w:type="dxa"/>
              <w:end w:w="120" w:type="dxa"/>
            </w:tcMar>
            <w:vAlign w:val="center"/>
          </w:tcPr>
          <w:p>
            <w:pPr>
              <w:spacing w:after="0"/>
            </w:pPr>
            <w:r>
              <w:rPr>
                <w:b/>
                <w:color w:val="17365D"/>
                <w:sz w:val="18"/>
              </w:rPr>
              <w:t>Inhibitors / counterevidence</w:t>
            </w:r>
          </w:p>
        </w:tc>
      </w:tr>
      <w:tr>
        <w:tc>
          <w:tcPr>
            <w:tcW w:type="dxa" w:w="1500"/>
            <w:tcMar>
              <w:top w:w="90" w:type="dxa"/>
              <w:start w:w="120" w:type="dxa"/>
              <w:bottom w:w="90" w:type="dxa"/>
              <w:end w:w="120" w:type="dxa"/>
            </w:tcMar>
            <w:vAlign w:val="center"/>
          </w:tcPr>
          <w:p>
            <w:pPr>
              <w:spacing w:after="0" w:line="252" w:lineRule="auto"/>
            </w:pPr>
            <w:r>
              <w:rPr>
                <w:sz w:val="18"/>
              </w:rPr>
              <w:t>Joy</w:t>
            </w:r>
          </w:p>
        </w:tc>
        <w:tc>
          <w:tcPr>
            <w:tcW w:type="dxa" w:w="4500"/>
            <w:tcMar>
              <w:top w:w="90" w:type="dxa"/>
              <w:start w:w="120" w:type="dxa"/>
              <w:bottom w:w="90" w:type="dxa"/>
              <w:end w:w="120" w:type="dxa"/>
            </w:tcMar>
            <w:vAlign w:val="center"/>
          </w:tcPr>
          <w:p>
            <w:pPr>
              <w:spacing w:after="0" w:line="252" w:lineRule="auto"/>
            </w:pPr>
            <w:r>
              <w:rPr>
                <w:sz w:val="18"/>
              </w:rPr>
              <w:t>Congruence, certainty, valued gain, affiliation</w:t>
            </w:r>
          </w:p>
        </w:tc>
        <w:tc>
          <w:tcPr>
            <w:tcW w:type="dxa" w:w="3360"/>
            <w:tcMar>
              <w:top w:w="90" w:type="dxa"/>
              <w:start w:w="120" w:type="dxa"/>
              <w:bottom w:w="90" w:type="dxa"/>
              <w:end w:w="120" w:type="dxa"/>
            </w:tcMar>
            <w:vAlign w:val="center"/>
          </w:tcPr>
          <w:p>
            <w:pPr>
              <w:spacing w:after="0" w:line="252" w:lineRule="auto"/>
            </w:pPr>
            <w:r>
              <w:rPr>
                <w:sz w:val="18"/>
              </w:rPr>
              <w:t>Strong threat, irreversible loss</w:t>
            </w:r>
          </w:p>
        </w:tc>
      </w:tr>
      <w:tr>
        <w:tc>
          <w:tcPr>
            <w:tcW w:type="dxa" w:w="1500"/>
            <w:tcMar>
              <w:top w:w="90" w:type="dxa"/>
              <w:start w:w="120" w:type="dxa"/>
              <w:bottom w:w="90" w:type="dxa"/>
              <w:end w:w="120" w:type="dxa"/>
            </w:tcMar>
            <w:vAlign w:val="center"/>
          </w:tcPr>
          <w:p>
            <w:pPr>
              <w:spacing w:after="0" w:line="252" w:lineRule="auto"/>
            </w:pPr>
            <w:r>
              <w:rPr>
                <w:sz w:val="18"/>
              </w:rPr>
              <w:t>Sadness</w:t>
            </w:r>
          </w:p>
        </w:tc>
        <w:tc>
          <w:tcPr>
            <w:tcW w:type="dxa" w:w="4500"/>
            <w:tcMar>
              <w:top w:w="90" w:type="dxa"/>
              <w:start w:w="120" w:type="dxa"/>
              <w:bottom w:w="90" w:type="dxa"/>
              <w:end w:w="120" w:type="dxa"/>
            </w:tcMar>
            <w:vAlign w:val="center"/>
          </w:tcPr>
          <w:p>
            <w:pPr>
              <w:spacing w:after="0" w:line="252" w:lineRule="auto"/>
            </w:pPr>
            <w:r>
              <w:rPr>
                <w:sz w:val="18"/>
              </w:rPr>
              <w:t>Incongruence, loss, low controllability</w:t>
            </w:r>
          </w:p>
        </w:tc>
        <w:tc>
          <w:tcPr>
            <w:tcW w:type="dxa" w:w="3360"/>
            <w:tcMar>
              <w:top w:w="90" w:type="dxa"/>
              <w:start w:w="120" w:type="dxa"/>
              <w:bottom w:w="90" w:type="dxa"/>
              <w:end w:w="120" w:type="dxa"/>
            </w:tcMar>
            <w:vAlign w:val="center"/>
          </w:tcPr>
          <w:p>
            <w:pPr>
              <w:spacing w:after="0" w:line="252" w:lineRule="auto"/>
            </w:pPr>
            <w:r>
              <w:rPr>
                <w:sz w:val="18"/>
              </w:rPr>
              <w:t>High coping potential, reversible setback</w:t>
            </w:r>
          </w:p>
        </w:tc>
      </w:tr>
      <w:tr>
        <w:tc>
          <w:tcPr>
            <w:tcW w:type="dxa" w:w="1500"/>
            <w:tcMar>
              <w:top w:w="90" w:type="dxa"/>
              <w:start w:w="120" w:type="dxa"/>
              <w:bottom w:w="90" w:type="dxa"/>
              <w:end w:w="120" w:type="dxa"/>
            </w:tcMar>
            <w:vAlign w:val="center"/>
          </w:tcPr>
          <w:p>
            <w:pPr>
              <w:spacing w:after="0" w:line="252" w:lineRule="auto"/>
            </w:pPr>
            <w:r>
              <w:rPr>
                <w:sz w:val="18"/>
              </w:rPr>
              <w:t>Fear</w:t>
            </w:r>
          </w:p>
        </w:tc>
        <w:tc>
          <w:tcPr>
            <w:tcW w:type="dxa" w:w="4500"/>
            <w:tcMar>
              <w:top w:w="90" w:type="dxa"/>
              <w:start w:w="120" w:type="dxa"/>
              <w:bottom w:w="90" w:type="dxa"/>
              <w:end w:w="120" w:type="dxa"/>
            </w:tcMar>
            <w:vAlign w:val="center"/>
          </w:tcPr>
          <w:p>
            <w:pPr>
              <w:spacing w:after="0" w:line="252" w:lineRule="auto"/>
            </w:pPr>
            <w:r>
              <w:rPr>
                <w:sz w:val="18"/>
              </w:rPr>
              <w:t>Threat, uncertainty, low control, high relevance</w:t>
            </w:r>
          </w:p>
        </w:tc>
        <w:tc>
          <w:tcPr>
            <w:tcW w:type="dxa" w:w="3360"/>
            <w:tcMar>
              <w:top w:w="90" w:type="dxa"/>
              <w:start w:w="120" w:type="dxa"/>
              <w:bottom w:w="90" w:type="dxa"/>
              <w:end w:w="120" w:type="dxa"/>
            </w:tcMar>
            <w:vAlign w:val="center"/>
          </w:tcPr>
          <w:p>
            <w:pPr>
              <w:spacing w:after="0" w:line="252" w:lineRule="auto"/>
            </w:pPr>
            <w:r>
              <w:rPr>
                <w:sz w:val="18"/>
              </w:rPr>
              <w:t>High certainty of safety, high coping</w:t>
            </w:r>
          </w:p>
        </w:tc>
      </w:tr>
      <w:tr>
        <w:tc>
          <w:tcPr>
            <w:tcW w:type="dxa" w:w="1500"/>
            <w:tcMar>
              <w:top w:w="90" w:type="dxa"/>
              <w:start w:w="120" w:type="dxa"/>
              <w:bottom w:w="90" w:type="dxa"/>
              <w:end w:w="120" w:type="dxa"/>
            </w:tcMar>
            <w:vAlign w:val="center"/>
          </w:tcPr>
          <w:p>
            <w:pPr>
              <w:spacing w:after="0" w:line="252" w:lineRule="auto"/>
            </w:pPr>
            <w:r>
              <w:rPr>
                <w:sz w:val="18"/>
              </w:rPr>
              <w:t>Anger</w:t>
            </w:r>
          </w:p>
        </w:tc>
        <w:tc>
          <w:tcPr>
            <w:tcW w:type="dxa" w:w="4500"/>
            <w:tcMar>
              <w:top w:w="90" w:type="dxa"/>
              <w:start w:w="120" w:type="dxa"/>
              <w:bottom w:w="90" w:type="dxa"/>
              <w:end w:w="120" w:type="dxa"/>
            </w:tcMar>
            <w:vAlign w:val="center"/>
          </w:tcPr>
          <w:p>
            <w:pPr>
              <w:spacing w:after="0" w:line="252" w:lineRule="auto"/>
            </w:pPr>
            <w:r>
              <w:rPr>
                <w:sz w:val="18"/>
              </w:rPr>
              <w:t>Obstruction, other-agency/blame, norm violation, coping capacity</w:t>
            </w:r>
          </w:p>
        </w:tc>
        <w:tc>
          <w:tcPr>
            <w:tcW w:type="dxa" w:w="3360"/>
            <w:tcMar>
              <w:top w:w="90" w:type="dxa"/>
              <w:start w:w="120" w:type="dxa"/>
              <w:bottom w:w="90" w:type="dxa"/>
              <w:end w:w="120" w:type="dxa"/>
            </w:tcMar>
            <w:vAlign w:val="center"/>
          </w:tcPr>
          <w:p>
            <w:pPr>
              <w:spacing w:after="0" w:line="252" w:lineRule="auto"/>
            </w:pPr>
            <w:r>
              <w:rPr>
                <w:sz w:val="18"/>
              </w:rPr>
              <w:t>Low blame, low control, benign intent</w:t>
            </w:r>
          </w:p>
        </w:tc>
      </w:tr>
      <w:tr>
        <w:tc>
          <w:tcPr>
            <w:tcW w:type="dxa" w:w="1500"/>
            <w:tcMar>
              <w:top w:w="90" w:type="dxa"/>
              <w:start w:w="120" w:type="dxa"/>
              <w:bottom w:w="90" w:type="dxa"/>
              <w:end w:w="120" w:type="dxa"/>
            </w:tcMar>
            <w:vAlign w:val="center"/>
          </w:tcPr>
          <w:p>
            <w:pPr>
              <w:spacing w:after="0" w:line="252" w:lineRule="auto"/>
            </w:pPr>
            <w:r>
              <w:rPr>
                <w:sz w:val="18"/>
              </w:rPr>
              <w:t>Disgust</w:t>
            </w:r>
          </w:p>
        </w:tc>
        <w:tc>
          <w:tcPr>
            <w:tcW w:type="dxa" w:w="4500"/>
            <w:tcMar>
              <w:top w:w="90" w:type="dxa"/>
              <w:start w:w="120" w:type="dxa"/>
              <w:bottom w:w="90" w:type="dxa"/>
              <w:end w:w="120" w:type="dxa"/>
            </w:tcMar>
            <w:vAlign w:val="center"/>
          </w:tcPr>
          <w:p>
            <w:pPr>
              <w:spacing w:after="0" w:line="252" w:lineRule="auto"/>
            </w:pPr>
            <w:r>
              <w:rPr>
                <w:sz w:val="18"/>
              </w:rPr>
              <w:t>Strong norm incompatibility or contamination</w:t>
            </w:r>
          </w:p>
        </w:tc>
        <w:tc>
          <w:tcPr>
            <w:tcW w:type="dxa" w:w="3360"/>
            <w:tcMar>
              <w:top w:w="90" w:type="dxa"/>
              <w:start w:w="120" w:type="dxa"/>
              <w:bottom w:w="90" w:type="dxa"/>
              <w:end w:w="120" w:type="dxa"/>
            </w:tcMar>
            <w:vAlign w:val="center"/>
          </w:tcPr>
          <w:p>
            <w:pPr>
              <w:spacing w:after="0" w:line="252" w:lineRule="auto"/>
            </w:pPr>
            <w:r>
              <w:rPr>
                <w:sz w:val="18"/>
              </w:rPr>
              <w:t>Benign reclassification, social repair</w:t>
            </w:r>
          </w:p>
        </w:tc>
      </w:tr>
      <w:tr>
        <w:tc>
          <w:tcPr>
            <w:tcW w:type="dxa" w:w="1500"/>
            <w:tcMar>
              <w:top w:w="90" w:type="dxa"/>
              <w:start w:w="120" w:type="dxa"/>
              <w:bottom w:w="90" w:type="dxa"/>
              <w:end w:w="120" w:type="dxa"/>
            </w:tcMar>
            <w:vAlign w:val="center"/>
          </w:tcPr>
          <w:p>
            <w:pPr>
              <w:spacing w:after="0" w:line="252" w:lineRule="auto"/>
            </w:pPr>
            <w:r>
              <w:rPr>
                <w:sz w:val="18"/>
              </w:rPr>
              <w:t>Surprise</w:t>
            </w:r>
          </w:p>
        </w:tc>
        <w:tc>
          <w:tcPr>
            <w:tcW w:type="dxa" w:w="4500"/>
            <w:tcMar>
              <w:top w:w="90" w:type="dxa"/>
              <w:start w:w="120" w:type="dxa"/>
              <w:bottom w:w="90" w:type="dxa"/>
              <w:end w:w="120" w:type="dxa"/>
            </w:tcMar>
            <w:vAlign w:val="center"/>
          </w:tcPr>
          <w:p>
            <w:pPr>
              <w:spacing w:after="0" w:line="252" w:lineRule="auto"/>
            </w:pPr>
            <w:r>
              <w:rPr>
                <w:sz w:val="18"/>
              </w:rPr>
              <w:t>Novelty / prediction error</w:t>
            </w:r>
          </w:p>
        </w:tc>
        <w:tc>
          <w:tcPr>
            <w:tcW w:type="dxa" w:w="3360"/>
            <w:tcMar>
              <w:top w:w="90" w:type="dxa"/>
              <w:start w:w="120" w:type="dxa"/>
              <w:bottom w:w="90" w:type="dxa"/>
              <w:end w:w="120" w:type="dxa"/>
            </w:tcMar>
            <w:vAlign w:val="center"/>
          </w:tcPr>
          <w:p>
            <w:pPr>
              <w:spacing w:after="0" w:line="252" w:lineRule="auto"/>
            </w:pPr>
            <w:r>
              <w:rPr>
                <w:sz w:val="18"/>
              </w:rPr>
              <w:t>Expected event</w:t>
            </w:r>
          </w:p>
        </w:tc>
      </w:tr>
      <w:tr>
        <w:tc>
          <w:tcPr>
            <w:tcW w:type="dxa" w:w="1500"/>
            <w:tcMar>
              <w:top w:w="90" w:type="dxa"/>
              <w:start w:w="120" w:type="dxa"/>
              <w:bottom w:w="90" w:type="dxa"/>
              <w:end w:w="120" w:type="dxa"/>
            </w:tcMar>
            <w:vAlign w:val="center"/>
          </w:tcPr>
          <w:p>
            <w:pPr>
              <w:spacing w:after="0" w:line="252" w:lineRule="auto"/>
            </w:pPr>
            <w:r>
              <w:rPr>
                <w:sz w:val="18"/>
              </w:rPr>
              <w:t>Interest</w:t>
            </w:r>
          </w:p>
        </w:tc>
        <w:tc>
          <w:tcPr>
            <w:tcW w:type="dxa" w:w="4500"/>
            <w:tcMar>
              <w:top w:w="90" w:type="dxa"/>
              <w:start w:w="120" w:type="dxa"/>
              <w:bottom w:w="90" w:type="dxa"/>
              <w:end w:w="120" w:type="dxa"/>
            </w:tcMar>
            <w:vAlign w:val="center"/>
          </w:tcPr>
          <w:p>
            <w:pPr>
              <w:spacing w:after="0" w:line="252" w:lineRule="auto"/>
            </w:pPr>
            <w:r>
              <w:rPr>
                <w:sz w:val="18"/>
              </w:rPr>
              <w:t>Novelty, relevance, manageable uncertainty</w:t>
            </w:r>
          </w:p>
        </w:tc>
        <w:tc>
          <w:tcPr>
            <w:tcW w:type="dxa" w:w="3360"/>
            <w:tcMar>
              <w:top w:w="90" w:type="dxa"/>
              <w:start w:w="120" w:type="dxa"/>
              <w:bottom w:w="90" w:type="dxa"/>
              <w:end w:w="120" w:type="dxa"/>
            </w:tcMar>
            <w:vAlign w:val="center"/>
          </w:tcPr>
          <w:p>
            <w:pPr>
              <w:spacing w:after="0" w:line="252" w:lineRule="auto"/>
            </w:pPr>
            <w:r>
              <w:rPr>
                <w:sz w:val="18"/>
              </w:rPr>
              <w:t>Overwhelming threat or irrelevance</w:t>
            </w:r>
          </w:p>
        </w:tc>
      </w:tr>
      <w:tr>
        <w:tc>
          <w:tcPr>
            <w:tcW w:type="dxa" w:w="1500"/>
            <w:tcMar>
              <w:top w:w="90" w:type="dxa"/>
              <w:start w:w="120" w:type="dxa"/>
              <w:bottom w:w="90" w:type="dxa"/>
              <w:end w:w="120" w:type="dxa"/>
            </w:tcMar>
            <w:vAlign w:val="center"/>
          </w:tcPr>
          <w:p>
            <w:pPr>
              <w:spacing w:after="0" w:line="252" w:lineRule="auto"/>
            </w:pPr>
            <w:r>
              <w:rPr>
                <w:sz w:val="18"/>
              </w:rPr>
              <w:t>Affiliation</w:t>
            </w:r>
          </w:p>
        </w:tc>
        <w:tc>
          <w:tcPr>
            <w:tcW w:type="dxa" w:w="4500"/>
            <w:tcMar>
              <w:top w:w="90" w:type="dxa"/>
              <w:start w:w="120" w:type="dxa"/>
              <w:bottom w:w="90" w:type="dxa"/>
              <w:end w:w="120" w:type="dxa"/>
            </w:tcMar>
            <w:vAlign w:val="center"/>
          </w:tcPr>
          <w:p>
            <w:pPr>
              <w:spacing w:after="0" w:line="252" w:lineRule="auto"/>
            </w:pPr>
            <w:r>
              <w:rPr>
                <w:sz w:val="18"/>
              </w:rPr>
              <w:t>Trust, reciprocity, social safety, repair</w:t>
            </w:r>
          </w:p>
        </w:tc>
        <w:tc>
          <w:tcPr>
            <w:tcW w:type="dxa" w:w="3360"/>
            <w:tcMar>
              <w:top w:w="90" w:type="dxa"/>
              <w:start w:w="120" w:type="dxa"/>
              <w:bottom w:w="90" w:type="dxa"/>
              <w:end w:w="120" w:type="dxa"/>
            </w:tcMar>
            <w:vAlign w:val="center"/>
          </w:tcPr>
          <w:p>
            <w:pPr>
              <w:spacing w:after="0" w:line="252" w:lineRule="auto"/>
            </w:pPr>
            <w:r>
              <w:rPr>
                <w:sz w:val="18"/>
              </w:rPr>
              <w:t>Betrayal evidence, persistent threat</w:t>
            </w:r>
          </w:p>
        </w:tc>
      </w:tr>
    </w:tbl>
    <w:p>
      <w:pPr>
        <w:spacing w:after="0"/>
      </w:pPr>
    </w:p>
    <w:p>
      <w:pPr>
        <w:pStyle w:val="Heading1"/>
      </w:pPr>
      <w:r>
        <w:t>6. Transition mathematics</w:t>
      </w:r>
    </w:p>
    <w:p>
      <w:pPr>
        <w:pStyle w:val="Heading2"/>
      </w:pPr>
      <w:r>
        <w:t>6.1 Decay</w:t>
      </w:r>
    </w:p>
    <w:p>
      <w:r>
        <w:rPr>
          <w:i w:val="0"/>
        </w:rPr>
        <w:t>Each state variable decays exponentially toward its configured baseline according to elapsed time.</w:t>
      </w:r>
    </w:p>
    <w:p>
      <w:pPr>
        <w:spacing w:before="120" w:after="160"/>
        <w:jc w:val="center"/>
      </w:pPr>
      <w:r>
        <w:rPr>
          <w:rFonts w:ascii="Cambria Math" w:hAnsi="Cambria Math"/>
          <w:i/>
          <w:color w:val="17365D"/>
          <w:sz w:val="22"/>
        </w:rPr>
        <w:t>xdecayed = b + (xprevious - b) · 2^(-Δt / half_life)</w:t>
      </w:r>
    </w:p>
    <w:p>
      <w:pPr>
        <w:pStyle w:val="ListBullet"/>
      </w:pPr>
      <w:r>
        <w:t>Δt MUST use a monotonic or injected test clock.</w:t>
      </w:r>
    </w:p>
    <w:p>
      <w:pPr>
        <w:pStyle w:val="ListBullet"/>
      </w:pPr>
      <w:r>
        <w:t>Negative elapsed time MUST be rejected or normalized through explicit clock correction.</w:t>
      </w:r>
    </w:p>
    <w:p>
      <w:pPr>
        <w:pStyle w:val="ListBullet"/>
      </w:pPr>
      <w:r>
        <w:t>A zero or missing half-life is invalid for transient variables.</w:t>
      </w:r>
    </w:p>
    <w:p>
      <w:pPr>
        <w:pStyle w:val="Heading2"/>
      </w:pPr>
      <w:r>
        <w:t>6.2 Appraisal target and delta</w:t>
      </w:r>
    </w:p>
    <w:p>
      <w:pPr>
        <w:spacing w:before="120" w:after="160"/>
        <w:jc w:val="center"/>
      </w:pPr>
      <w:r>
        <w:rPr>
          <w:rFonts w:ascii="Cambria Math" w:hAnsi="Cambria Math"/>
          <w:i/>
          <w:color w:val="17365D"/>
          <w:sz w:val="22"/>
        </w:rPr>
        <w:t>Etarget = sigmoid(Wea · appraisal + Wem · memory_bias + Wer · relationship + bE)</w:t>
      </w:r>
    </w:p>
    <w:p>
      <w:pPr>
        <w:spacing w:before="120" w:after="160"/>
        <w:jc w:val="center"/>
      </w:pPr>
      <w:r>
        <w:rPr>
          <w:rFonts w:ascii="Cambria Math" w:hAnsi="Cambria Math"/>
          <w:i/>
          <w:color w:val="17365D"/>
          <w:sz w:val="22"/>
        </w:rPr>
        <w:t>ΔEraw = salience · confidence · (Etarget - Edecayed)</w:t>
      </w:r>
    </w:p>
    <w:p>
      <w:r>
        <w:rPr>
          <w:i w:val="0"/>
        </w:rPr>
        <w:t>Salience combines goal relevance, novelty, social significance, and configured event importance. Confidence attenuates uncertain appraisals rather than erasing them.</w:t>
      </w:r>
    </w:p>
    <w:p>
      <w:pPr>
        <w:pStyle w:val="Heading2"/>
      </w:pPr>
      <w:r>
        <w:t>6.3 Inertia</w:t>
      </w:r>
    </w:p>
    <w:p>
      <w:pPr>
        <w:spacing w:before="120" w:after="160"/>
        <w:jc w:val="center"/>
      </w:pPr>
      <w:r>
        <w:rPr>
          <w:rFonts w:ascii="Cambria Math" w:hAnsi="Cambria Math"/>
          <w:i/>
          <w:color w:val="17365D"/>
          <w:sz w:val="22"/>
        </w:rPr>
        <w:t>ΔEinertial = (1 - inertiaE) · ΔEraw</w:t>
      </w:r>
    </w:p>
    <w:p>
      <w:r>
        <w:rPr>
          <w:i w:val="0"/>
        </w:rPr>
        <w:t>Inertia slows abrupt state changes. Emotion-specific inertia is configured from 0 to less than 1. High inertia means a slower response, not a permanently high state.</w:t>
      </w:r>
    </w:p>
    <w:p>
      <w:pPr>
        <w:pStyle w:val="Heading2"/>
      </w:pPr>
      <w:r>
        <w:t>6.4 Per-event and rate bounds</w:t>
      </w:r>
    </w:p>
    <w:p>
      <w:pPr>
        <w:spacing w:before="120" w:after="160"/>
        <w:jc w:val="center"/>
      </w:pPr>
      <w:r>
        <w:rPr>
          <w:rFonts w:ascii="Cambria Math" w:hAnsi="Cambria Math"/>
          <w:i/>
          <w:color w:val="17365D"/>
          <w:sz w:val="22"/>
        </w:rPr>
        <w:t>ΔEbounded = clamp(ΔEinertial, -max_fall_event, +max_rise_event)</w:t>
      </w:r>
    </w:p>
    <w:p>
      <w:pPr>
        <w:pStyle w:val="ListBullet"/>
      </w:pPr>
      <w:r>
        <w:t>Each emotion has separate rise and fall caps.</w:t>
      </w:r>
    </w:p>
    <w:p>
      <w:pPr>
        <w:pStyle w:val="ListBullet"/>
      </w:pPr>
      <w:r>
        <w:t>A rolling-window budget limits repeated micro-events from bypassing per-event caps.</w:t>
      </w:r>
    </w:p>
    <w:p>
      <w:pPr>
        <w:pStyle w:val="ListBullet"/>
      </w:pPr>
      <w:r>
        <w:t>Operator resets and approved corrective migrations are marked exceptions.</w:t>
      </w:r>
    </w:p>
    <w:p>
      <w:pPr>
        <w:pStyle w:val="Heading2"/>
      </w:pPr>
      <w:r>
        <w:t>6.5 Saturation</w:t>
      </w:r>
    </w:p>
    <w:p>
      <w:r>
        <w:rPr>
          <w:i w:val="0"/>
        </w:rPr>
        <w:t>Final intensities use soft saturation before hard clamping. The reference function is:</w:t>
      </w:r>
    </w:p>
    <w:p>
      <w:pPr>
        <w:spacing w:before="120" w:after="160"/>
        <w:jc w:val="center"/>
      </w:pPr>
      <w:r>
        <w:rPr>
          <w:rFonts w:ascii="Cambria Math" w:hAnsi="Cambria Math"/>
          <w:i/>
          <w:color w:val="17365D"/>
          <w:sz w:val="22"/>
        </w:rPr>
        <w:t>Enew = clamp(Edecayed + ΔEbounded · (1 - Edecayed)^γrise, 0, 1)</w:t>
      </w:r>
    </w:p>
    <w:p>
      <w:r>
        <w:rPr>
          <w:i w:val="0"/>
        </w:rPr>
        <w:t>For negative deltas, the equivalent distance-to-zero factor is used. γ controls how strongly changes taper near the boundary.</w:t>
      </w:r>
    </w:p>
    <w:p>
      <w:pPr>
        <w:pStyle w:val="Heading2"/>
      </w:pPr>
      <w:r>
        <w:t>6.6 Full reference update</w:t>
      </w:r>
    </w:p>
    <w:p>
      <w:pPr>
        <w:spacing w:before="120" w:after="160"/>
        <w:jc w:val="center"/>
      </w:pPr>
      <w:r>
        <w:rPr>
          <w:rFonts w:ascii="Cambria Math" w:hAnsi="Cambria Math"/>
          <w:i/>
          <w:color w:val="17365D"/>
          <w:sz w:val="22"/>
        </w:rPr>
        <w:t>S(t+1) = validate(clamp(interact(regulate(decay(S(t)) + bounded_appraisal_delta))))</w:t>
      </w:r>
    </w:p>
    <w:p>
      <w:pPr>
        <w:pStyle w:val="Heading2"/>
      </w:pPr>
      <w:r>
        <w:t>6.7 Transaction semantics</w:t>
      </w:r>
    </w:p>
    <w:p>
      <w:pPr>
        <w:pStyle w:val="ListNumber"/>
      </w:pPr>
      <w:r>
        <w:t>Load state and configuration by revision.</w:t>
      </w:r>
    </w:p>
    <w:p>
      <w:pPr>
        <w:pStyle w:val="ListNumber"/>
      </w:pPr>
      <w:r>
        <w:t>Compute decay from the prior timestamp.</w:t>
      </w:r>
    </w:p>
    <w:p>
      <w:pPr>
        <w:pStyle w:val="ListNumber"/>
      </w:pPr>
      <w:r>
        <w:t>Apply exactly one validated appraisal or regulation event.</w:t>
      </w:r>
    </w:p>
    <w:p>
      <w:pPr>
        <w:pStyle w:val="ListNumber"/>
      </w:pPr>
      <w:r>
        <w:t>Validate invariants and write transition plus new state atomically.</w:t>
      </w:r>
    </w:p>
    <w:p>
      <w:pPr>
        <w:pStyle w:val="ListNumber"/>
      </w:pPr>
      <w:r>
        <w:t>Reject stale expected revisions; caller recomputes from the latest state.</w:t>
      </w:r>
    </w:p>
    <w:p>
      <w:pPr>
        <w:pStyle w:val="Heading1"/>
      </w:pPr>
      <w:r>
        <w:t>7. Emotion interactions and action tendencies</w:t>
      </w:r>
    </w:p>
    <w:p>
      <w:pPr>
        <w:pStyle w:val="Heading2"/>
      </w:pPr>
      <w:r>
        <w:t>7.1 Interaction rules</w:t>
      </w:r>
    </w:p>
    <w:p>
      <w:r>
        <w:rPr>
          <w:i w:val="0"/>
        </w:rPr>
        <w:t>Interactions should be sparse and interpretable. The MVP uses a small configurable matrix applied after appraisal deltas.</w:t>
      </w:r>
    </w:p>
    <w:tbl>
      <w:tblPr>
        <w:tblStyle w:val="TableGrid"/>
        <w:tblW w:type="dxa" w:w="9360"/>
        <w:jc w:val="center"/>
        <w:tblLayout w:type="fixed"/>
        <w:tblLook w:firstColumn="1" w:firstRow="1" w:lastColumn="0" w:lastRow="0" w:noHBand="0" w:noVBand="1" w:val="04A0"/>
        <w:tblInd w:w="120" w:type="dxa"/>
      </w:tblPr>
      <w:tblGrid>
        <w:gridCol w:w="2300"/>
        <w:gridCol w:w="3000"/>
        <w:gridCol w:w="4060"/>
      </w:tblGrid>
      <w:tr>
        <w:trPr>
          <w:tblHeader w:val="true"/>
        </w:trPr>
        <w:tc>
          <w:tcPr>
            <w:tcW w:type="dxa" w:w="2300"/>
            <w:shd w:fill="E8EEF5"/>
            <w:tcMar>
              <w:top w:w="90" w:type="dxa"/>
              <w:start w:w="120" w:type="dxa"/>
              <w:bottom w:w="90" w:type="dxa"/>
              <w:end w:w="120" w:type="dxa"/>
            </w:tcMar>
            <w:vAlign w:val="center"/>
          </w:tcPr>
          <w:p>
            <w:pPr>
              <w:spacing w:after="0"/>
            </w:pPr>
            <w:r>
              <w:rPr>
                <w:b/>
                <w:color w:val="17365D"/>
                <w:sz w:val="18"/>
              </w:rPr>
              <w:t>Interaction</w:t>
            </w:r>
          </w:p>
        </w:tc>
        <w:tc>
          <w:tcPr>
            <w:tcW w:type="dxa" w:w="3000"/>
            <w:shd w:fill="E8EEF5"/>
            <w:tcMar>
              <w:top w:w="90" w:type="dxa"/>
              <w:start w:w="120" w:type="dxa"/>
              <w:bottom w:w="90" w:type="dxa"/>
              <w:end w:w="120" w:type="dxa"/>
            </w:tcMar>
            <w:vAlign w:val="center"/>
          </w:tcPr>
          <w:p>
            <w:pPr>
              <w:spacing w:after="0"/>
            </w:pPr>
            <w:r>
              <w:rPr>
                <w:b/>
                <w:color w:val="17365D"/>
                <w:sz w:val="18"/>
              </w:rPr>
              <w:t>Default effect</w:t>
            </w:r>
          </w:p>
        </w:tc>
        <w:tc>
          <w:tcPr>
            <w:tcW w:type="dxa" w:w="4060"/>
            <w:shd w:fill="E8EEF5"/>
            <w:tcMar>
              <w:top w:w="90" w:type="dxa"/>
              <w:start w:w="120" w:type="dxa"/>
              <w:bottom w:w="90" w:type="dxa"/>
              <w:end w:w="120" w:type="dxa"/>
            </w:tcMar>
            <w:vAlign w:val="center"/>
          </w:tcPr>
          <w:p>
            <w:pPr>
              <w:spacing w:after="0"/>
            </w:pPr>
            <w:r>
              <w:rPr>
                <w:b/>
                <w:color w:val="17365D"/>
                <w:sz w:val="18"/>
              </w:rPr>
              <w:t>Reason</w:t>
            </w:r>
          </w:p>
        </w:tc>
      </w:tr>
      <w:tr>
        <w:tc>
          <w:tcPr>
            <w:tcW w:type="dxa" w:w="2300"/>
            <w:tcMar>
              <w:top w:w="90" w:type="dxa"/>
              <w:start w:w="120" w:type="dxa"/>
              <w:bottom w:w="90" w:type="dxa"/>
              <w:end w:w="120" w:type="dxa"/>
            </w:tcMar>
            <w:vAlign w:val="center"/>
          </w:tcPr>
          <w:p>
            <w:pPr>
              <w:spacing w:after="0" w:line="252" w:lineRule="auto"/>
            </w:pPr>
            <w:r>
              <w:rPr>
                <w:sz w:val="18"/>
              </w:rPr>
              <w:t>Fear → arousal</w:t>
            </w:r>
          </w:p>
        </w:tc>
        <w:tc>
          <w:tcPr>
            <w:tcW w:type="dxa" w:w="3000"/>
            <w:tcMar>
              <w:top w:w="90" w:type="dxa"/>
              <w:start w:w="120" w:type="dxa"/>
              <w:bottom w:w="90" w:type="dxa"/>
              <w:end w:w="120" w:type="dxa"/>
            </w:tcMar>
            <w:vAlign w:val="center"/>
          </w:tcPr>
          <w:p>
            <w:pPr>
              <w:spacing w:after="0" w:line="252" w:lineRule="auto"/>
            </w:pPr>
            <w:r>
              <w:rPr>
                <w:sz w:val="18"/>
              </w:rPr>
              <w:t>Positive</w:t>
            </w:r>
          </w:p>
        </w:tc>
        <w:tc>
          <w:tcPr>
            <w:tcW w:type="dxa" w:w="4060"/>
            <w:tcMar>
              <w:top w:w="90" w:type="dxa"/>
              <w:start w:w="120" w:type="dxa"/>
              <w:bottom w:w="90" w:type="dxa"/>
              <w:end w:w="120" w:type="dxa"/>
            </w:tcMar>
            <w:vAlign w:val="center"/>
          </w:tcPr>
          <w:p>
            <w:pPr>
              <w:spacing w:after="0" w:line="252" w:lineRule="auto"/>
            </w:pPr>
            <w:r>
              <w:rPr>
                <w:sz w:val="18"/>
              </w:rPr>
              <w:t>Threat mobilizes attention and urgency.</w:t>
            </w:r>
          </w:p>
        </w:tc>
      </w:tr>
      <w:tr>
        <w:tc>
          <w:tcPr>
            <w:tcW w:type="dxa" w:w="2300"/>
            <w:tcMar>
              <w:top w:w="90" w:type="dxa"/>
              <w:start w:w="120" w:type="dxa"/>
              <w:bottom w:w="90" w:type="dxa"/>
              <w:end w:w="120" w:type="dxa"/>
            </w:tcMar>
            <w:vAlign w:val="center"/>
          </w:tcPr>
          <w:p>
            <w:pPr>
              <w:spacing w:after="0" w:line="252" w:lineRule="auto"/>
            </w:pPr>
            <w:r>
              <w:rPr>
                <w:sz w:val="18"/>
              </w:rPr>
              <w:t>Anger → control</w:t>
            </w:r>
          </w:p>
        </w:tc>
        <w:tc>
          <w:tcPr>
            <w:tcW w:type="dxa" w:w="3000"/>
            <w:tcMar>
              <w:top w:w="90" w:type="dxa"/>
              <w:start w:w="120" w:type="dxa"/>
              <w:bottom w:w="90" w:type="dxa"/>
              <w:end w:w="120" w:type="dxa"/>
            </w:tcMar>
            <w:vAlign w:val="center"/>
          </w:tcPr>
          <w:p>
            <w:pPr>
              <w:spacing w:after="0" w:line="252" w:lineRule="auto"/>
            </w:pPr>
            <w:r>
              <w:rPr>
                <w:sz w:val="18"/>
              </w:rPr>
              <w:t>Small positive when coping is high</w:t>
            </w:r>
          </w:p>
        </w:tc>
        <w:tc>
          <w:tcPr>
            <w:tcW w:type="dxa" w:w="4060"/>
            <w:tcMar>
              <w:top w:w="90" w:type="dxa"/>
              <w:start w:w="120" w:type="dxa"/>
              <w:bottom w:w="90" w:type="dxa"/>
              <w:end w:w="120" w:type="dxa"/>
            </w:tcMar>
            <w:vAlign w:val="center"/>
          </w:tcPr>
          <w:p>
            <w:pPr>
              <w:spacing w:after="0" w:line="252" w:lineRule="auto"/>
            </w:pPr>
            <w:r>
              <w:rPr>
                <w:sz w:val="18"/>
              </w:rPr>
              <w:t>Anger often implies capacity to confront.</w:t>
            </w:r>
          </w:p>
        </w:tc>
      </w:tr>
      <w:tr>
        <w:tc>
          <w:tcPr>
            <w:tcW w:type="dxa" w:w="2300"/>
            <w:tcMar>
              <w:top w:w="90" w:type="dxa"/>
              <w:start w:w="120" w:type="dxa"/>
              <w:bottom w:w="90" w:type="dxa"/>
              <w:end w:w="120" w:type="dxa"/>
            </w:tcMar>
            <w:vAlign w:val="center"/>
          </w:tcPr>
          <w:p>
            <w:pPr>
              <w:spacing w:after="0" w:line="252" w:lineRule="auto"/>
            </w:pPr>
            <w:r>
              <w:rPr>
                <w:sz w:val="18"/>
              </w:rPr>
              <w:t>Sadness → arousal</w:t>
            </w:r>
          </w:p>
        </w:tc>
        <w:tc>
          <w:tcPr>
            <w:tcW w:type="dxa" w:w="3000"/>
            <w:tcMar>
              <w:top w:w="90" w:type="dxa"/>
              <w:start w:w="120" w:type="dxa"/>
              <w:bottom w:w="90" w:type="dxa"/>
              <w:end w:w="120" w:type="dxa"/>
            </w:tcMar>
            <w:vAlign w:val="center"/>
          </w:tcPr>
          <w:p>
            <w:pPr>
              <w:spacing w:after="0" w:line="252" w:lineRule="auto"/>
            </w:pPr>
            <w:r>
              <w:rPr>
                <w:sz w:val="18"/>
              </w:rPr>
              <w:t>Negative over time</w:t>
            </w:r>
          </w:p>
        </w:tc>
        <w:tc>
          <w:tcPr>
            <w:tcW w:type="dxa" w:w="4060"/>
            <w:tcMar>
              <w:top w:w="90" w:type="dxa"/>
              <w:start w:w="120" w:type="dxa"/>
              <w:bottom w:w="90" w:type="dxa"/>
              <w:end w:w="120" w:type="dxa"/>
            </w:tcMar>
            <w:vAlign w:val="center"/>
          </w:tcPr>
          <w:p>
            <w:pPr>
              <w:spacing w:after="0" w:line="252" w:lineRule="auto"/>
            </w:pPr>
            <w:r>
              <w:rPr>
                <w:sz w:val="18"/>
              </w:rPr>
              <w:t>Supports withdrawal and conservation.</w:t>
            </w:r>
          </w:p>
        </w:tc>
      </w:tr>
      <w:tr>
        <w:tc>
          <w:tcPr>
            <w:tcW w:type="dxa" w:w="2300"/>
            <w:tcMar>
              <w:top w:w="90" w:type="dxa"/>
              <w:start w:w="120" w:type="dxa"/>
              <w:bottom w:w="90" w:type="dxa"/>
              <w:end w:w="120" w:type="dxa"/>
            </w:tcMar>
            <w:vAlign w:val="center"/>
          </w:tcPr>
          <w:p>
            <w:pPr>
              <w:spacing w:after="0" w:line="252" w:lineRule="auto"/>
            </w:pPr>
            <w:r>
              <w:rPr>
                <w:sz w:val="18"/>
              </w:rPr>
              <w:t>Joy + affiliation</w:t>
            </w:r>
          </w:p>
        </w:tc>
        <w:tc>
          <w:tcPr>
            <w:tcW w:type="dxa" w:w="3000"/>
            <w:tcMar>
              <w:top w:w="90" w:type="dxa"/>
              <w:start w:w="120" w:type="dxa"/>
              <w:bottom w:w="90" w:type="dxa"/>
              <w:end w:w="120" w:type="dxa"/>
            </w:tcMar>
            <w:vAlign w:val="center"/>
          </w:tcPr>
          <w:p>
            <w:pPr>
              <w:spacing w:after="0" w:line="252" w:lineRule="auto"/>
            </w:pPr>
            <w:r>
              <w:rPr>
                <w:sz w:val="18"/>
              </w:rPr>
              <w:t>Mutual small reinforcement</w:t>
            </w:r>
          </w:p>
        </w:tc>
        <w:tc>
          <w:tcPr>
            <w:tcW w:type="dxa" w:w="4060"/>
            <w:tcMar>
              <w:top w:w="90" w:type="dxa"/>
              <w:start w:w="120" w:type="dxa"/>
              <w:bottom w:w="90" w:type="dxa"/>
              <w:end w:w="120" w:type="dxa"/>
            </w:tcMar>
            <w:vAlign w:val="center"/>
          </w:tcPr>
          <w:p>
            <w:pPr>
              <w:spacing w:after="0" w:line="252" w:lineRule="auto"/>
            </w:pPr>
            <w:r>
              <w:rPr>
                <w:sz w:val="18"/>
              </w:rPr>
              <w:t>Positive connection supports both states.</w:t>
            </w:r>
          </w:p>
        </w:tc>
      </w:tr>
      <w:tr>
        <w:tc>
          <w:tcPr>
            <w:tcW w:type="dxa" w:w="2300"/>
            <w:tcMar>
              <w:top w:w="90" w:type="dxa"/>
              <w:start w:w="120" w:type="dxa"/>
              <w:bottom w:w="90" w:type="dxa"/>
              <w:end w:w="120" w:type="dxa"/>
            </w:tcMar>
            <w:vAlign w:val="center"/>
          </w:tcPr>
          <w:p>
            <w:pPr>
              <w:spacing w:after="0" w:line="252" w:lineRule="auto"/>
            </w:pPr>
            <w:r>
              <w:rPr>
                <w:sz w:val="18"/>
              </w:rPr>
              <w:t>Fear → interest</w:t>
            </w:r>
          </w:p>
        </w:tc>
        <w:tc>
          <w:tcPr>
            <w:tcW w:type="dxa" w:w="3000"/>
            <w:tcMar>
              <w:top w:w="90" w:type="dxa"/>
              <w:start w:w="120" w:type="dxa"/>
              <w:bottom w:w="90" w:type="dxa"/>
              <w:end w:w="120" w:type="dxa"/>
            </w:tcMar>
            <w:vAlign w:val="center"/>
          </w:tcPr>
          <w:p>
            <w:pPr>
              <w:spacing w:after="0" w:line="252" w:lineRule="auto"/>
            </w:pPr>
            <w:r>
              <w:rPr>
                <w:sz w:val="18"/>
              </w:rPr>
              <w:t>Suppress only at extreme fear</w:t>
            </w:r>
          </w:p>
        </w:tc>
        <w:tc>
          <w:tcPr>
            <w:tcW w:type="dxa" w:w="4060"/>
            <w:tcMar>
              <w:top w:w="90" w:type="dxa"/>
              <w:start w:w="120" w:type="dxa"/>
              <w:bottom w:w="90" w:type="dxa"/>
              <w:end w:w="120" w:type="dxa"/>
            </w:tcMar>
            <w:vAlign w:val="center"/>
          </w:tcPr>
          <w:p>
            <w:pPr>
              <w:spacing w:after="0" w:line="252" w:lineRule="auto"/>
            </w:pPr>
            <w:r>
              <w:rPr>
                <w:sz w:val="18"/>
              </w:rPr>
              <w:t>Moderate uncertainty may still promote investigation.</w:t>
            </w:r>
          </w:p>
        </w:tc>
      </w:tr>
      <w:tr>
        <w:tc>
          <w:tcPr>
            <w:tcW w:type="dxa" w:w="2300"/>
            <w:tcMar>
              <w:top w:w="90" w:type="dxa"/>
              <w:start w:w="120" w:type="dxa"/>
              <w:bottom w:w="90" w:type="dxa"/>
              <w:end w:w="120" w:type="dxa"/>
            </w:tcMar>
            <w:vAlign w:val="center"/>
          </w:tcPr>
          <w:p>
            <w:pPr>
              <w:spacing w:after="0" w:line="252" w:lineRule="auto"/>
            </w:pPr>
            <w:r>
              <w:rPr>
                <w:sz w:val="18"/>
              </w:rPr>
              <w:t>Slow safety reappraisal → fear</w:t>
            </w:r>
          </w:p>
        </w:tc>
        <w:tc>
          <w:tcPr>
            <w:tcW w:type="dxa" w:w="3000"/>
            <w:tcMar>
              <w:top w:w="90" w:type="dxa"/>
              <w:start w:w="120" w:type="dxa"/>
              <w:bottom w:w="90" w:type="dxa"/>
              <w:end w:w="120" w:type="dxa"/>
            </w:tcMar>
            <w:vAlign w:val="center"/>
          </w:tcPr>
          <w:p>
            <w:pPr>
              <w:spacing w:after="0" w:line="252" w:lineRule="auto"/>
            </w:pPr>
            <w:r>
              <w:rPr>
                <w:sz w:val="18"/>
              </w:rPr>
              <w:t>Negative</w:t>
            </w:r>
          </w:p>
        </w:tc>
        <w:tc>
          <w:tcPr>
            <w:tcW w:type="dxa" w:w="4060"/>
            <w:tcMar>
              <w:top w:w="90" w:type="dxa"/>
              <w:start w:w="120" w:type="dxa"/>
              <w:bottom w:w="90" w:type="dxa"/>
              <w:end w:w="120" w:type="dxa"/>
            </w:tcMar>
            <w:vAlign w:val="center"/>
          </w:tcPr>
          <w:p>
            <w:pPr>
              <w:spacing w:after="0" w:line="252" w:lineRule="auto"/>
            </w:pPr>
            <w:r>
              <w:rPr>
                <w:sz w:val="18"/>
              </w:rPr>
              <w:t>Confirmed safety attenuates threat response.</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tcMar>
              <w:top w:w="90" w:type="dxa"/>
              <w:start w:w="120" w:type="dxa"/>
              <w:bottom w:w="90" w:type="dxa"/>
              <w:end w:w="120" w:type="dxa"/>
            </w:tcMar>
            <w:vAlign w:val="center"/>
          </w:tcPr>
          <w:p>
            <w:pPr>
              <w:spacing w:after="0"/>
            </w:pPr>
            <w:r>
              <w:rPr>
                <w:b/>
                <w:color w:val="17365D"/>
              </w:rPr>
              <w:t xml:space="preserve">Constraint: </w:t>
            </w:r>
            <w:r>
              <w:t>No interaction may create an emotion from zero without an appraisal, memory-conditioned prior, or explicit regulation pathway. Interactions modulate; they do not invent causes.</w:t>
            </w:r>
          </w:p>
        </w:tc>
        <w:trPr>
          <w:tblHeader/>
        </w:trPr>
      </w:tr>
    </w:tbl>
    <w:p>
      <w:pPr>
        <w:spacing w:after="0"/>
      </w:pPr>
    </w:p>
    <w:p>
      <w:pPr>
        <w:pStyle w:val="Heading2"/>
      </w:pPr>
      <w:r>
        <w:t>7.2 Action tendency mapping</w:t>
      </w:r>
    </w:p>
    <w:p>
      <w:pPr>
        <w:spacing w:before="120" w:after="160"/>
        <w:jc w:val="center"/>
      </w:pPr>
      <w:r>
        <w:rPr>
          <w:rFonts w:ascii="Cambria Math" w:hAnsi="Cambria Math"/>
          <w:i/>
          <w:color w:val="17365D"/>
          <w:sz w:val="22"/>
        </w:rPr>
        <w:t>A* = sigmoid(Wae · E + Wac · C + Waa · appraisal + bA)</w:t>
      </w:r>
    </w:p>
    <w:tbl>
      <w:tblPr>
        <w:tblStyle w:val="TableGrid"/>
        <w:tblW w:type="dxa" w:w="9360"/>
        <w:jc w:val="center"/>
        <w:tblLayout w:type="fixed"/>
        <w:tblLook w:firstColumn="1" w:firstRow="1" w:lastColumn="0" w:lastRow="0" w:noHBand="0" w:noVBand="1" w:val="04A0"/>
        <w:tblInd w:w="120" w:type="dxa"/>
      </w:tblPr>
      <w:tblGrid>
        <w:gridCol w:w="1600"/>
        <w:gridCol w:w="4100"/>
        <w:gridCol w:w="3660"/>
      </w:tblGrid>
      <w:tr>
        <w:trPr>
          <w:tblHeader w:val="true"/>
        </w:trPr>
        <w:tc>
          <w:tcPr>
            <w:tcW w:type="dxa" w:w="1600"/>
            <w:shd w:fill="E8EEF5"/>
            <w:tcMar>
              <w:top w:w="90" w:type="dxa"/>
              <w:start w:w="120" w:type="dxa"/>
              <w:bottom w:w="90" w:type="dxa"/>
              <w:end w:w="120" w:type="dxa"/>
            </w:tcMar>
            <w:vAlign w:val="center"/>
          </w:tcPr>
          <w:p>
            <w:pPr>
              <w:spacing w:after="0"/>
            </w:pPr>
            <w:r>
              <w:rPr>
                <w:b/>
                <w:color w:val="17365D"/>
                <w:sz w:val="18"/>
              </w:rPr>
              <w:t>Tendency</w:t>
            </w:r>
          </w:p>
        </w:tc>
        <w:tc>
          <w:tcPr>
            <w:tcW w:type="dxa" w:w="4100"/>
            <w:shd w:fill="E8EEF5"/>
            <w:tcMar>
              <w:top w:w="90" w:type="dxa"/>
              <w:start w:w="120" w:type="dxa"/>
              <w:bottom w:w="90" w:type="dxa"/>
              <w:end w:w="120" w:type="dxa"/>
            </w:tcMar>
            <w:vAlign w:val="center"/>
          </w:tcPr>
          <w:p>
            <w:pPr>
              <w:spacing w:after="0"/>
            </w:pPr>
            <w:r>
              <w:rPr>
                <w:b/>
                <w:color w:val="17365D"/>
                <w:sz w:val="18"/>
              </w:rPr>
              <w:t>Typical contributors</w:t>
            </w:r>
          </w:p>
        </w:tc>
        <w:tc>
          <w:tcPr>
            <w:tcW w:type="dxa" w:w="3660"/>
            <w:shd w:fill="E8EEF5"/>
            <w:tcMar>
              <w:top w:w="90" w:type="dxa"/>
              <w:start w:w="120" w:type="dxa"/>
              <w:bottom w:w="90" w:type="dxa"/>
              <w:end w:w="120" w:type="dxa"/>
            </w:tcMar>
            <w:vAlign w:val="center"/>
          </w:tcPr>
          <w:p>
            <w:pPr>
              <w:spacing w:after="0"/>
            </w:pPr>
            <w:r>
              <w:rPr>
                <w:b/>
                <w:color w:val="17365D"/>
                <w:sz w:val="18"/>
              </w:rPr>
              <w:t>Meaning</w:t>
            </w:r>
          </w:p>
        </w:tc>
      </w:tr>
      <w:tr>
        <w:tc>
          <w:tcPr>
            <w:tcW w:type="dxa" w:w="1600"/>
            <w:tcMar>
              <w:top w:w="90" w:type="dxa"/>
              <w:start w:w="120" w:type="dxa"/>
              <w:bottom w:w="90" w:type="dxa"/>
              <w:end w:w="120" w:type="dxa"/>
            </w:tcMar>
            <w:vAlign w:val="center"/>
          </w:tcPr>
          <w:p>
            <w:pPr>
              <w:spacing w:after="0" w:line="252" w:lineRule="auto"/>
            </w:pPr>
            <w:r>
              <w:rPr>
                <w:sz w:val="18"/>
              </w:rPr>
              <w:t>Approach</w:t>
            </w:r>
          </w:p>
        </w:tc>
        <w:tc>
          <w:tcPr>
            <w:tcW w:type="dxa" w:w="4100"/>
            <w:tcMar>
              <w:top w:w="90" w:type="dxa"/>
              <w:start w:w="120" w:type="dxa"/>
              <w:bottom w:w="90" w:type="dxa"/>
              <w:end w:w="120" w:type="dxa"/>
            </w:tcMar>
            <w:vAlign w:val="center"/>
          </w:tcPr>
          <w:p>
            <w:pPr>
              <w:spacing w:after="0" w:line="252" w:lineRule="auto"/>
            </w:pPr>
            <w:r>
              <w:rPr>
                <w:sz w:val="18"/>
              </w:rPr>
              <w:t>Joy, interest, affiliation, positive valence</w:t>
            </w:r>
          </w:p>
        </w:tc>
        <w:tc>
          <w:tcPr>
            <w:tcW w:type="dxa" w:w="3660"/>
            <w:tcMar>
              <w:top w:w="90" w:type="dxa"/>
              <w:start w:w="120" w:type="dxa"/>
              <w:bottom w:w="90" w:type="dxa"/>
              <w:end w:w="120" w:type="dxa"/>
            </w:tcMar>
            <w:vAlign w:val="center"/>
          </w:tcPr>
          <w:p>
            <w:pPr>
              <w:spacing w:after="0" w:line="252" w:lineRule="auto"/>
            </w:pPr>
            <w:r>
              <w:rPr>
                <w:sz w:val="18"/>
              </w:rPr>
              <w:t>Move toward or continue engagement</w:t>
            </w:r>
          </w:p>
        </w:tc>
      </w:tr>
      <w:tr>
        <w:tc>
          <w:tcPr>
            <w:tcW w:type="dxa" w:w="1600"/>
            <w:tcMar>
              <w:top w:w="90" w:type="dxa"/>
              <w:start w:w="120" w:type="dxa"/>
              <w:bottom w:w="90" w:type="dxa"/>
              <w:end w:w="120" w:type="dxa"/>
            </w:tcMar>
            <w:vAlign w:val="center"/>
          </w:tcPr>
          <w:p>
            <w:pPr>
              <w:spacing w:after="0" w:line="252" w:lineRule="auto"/>
            </w:pPr>
            <w:r>
              <w:rPr>
                <w:sz w:val="18"/>
              </w:rPr>
              <w:t>Avoid</w:t>
            </w:r>
          </w:p>
        </w:tc>
        <w:tc>
          <w:tcPr>
            <w:tcW w:type="dxa" w:w="4100"/>
            <w:tcMar>
              <w:top w:w="90" w:type="dxa"/>
              <w:start w:w="120" w:type="dxa"/>
              <w:bottom w:w="90" w:type="dxa"/>
              <w:end w:w="120" w:type="dxa"/>
            </w:tcMar>
            <w:vAlign w:val="center"/>
          </w:tcPr>
          <w:p>
            <w:pPr>
              <w:spacing w:after="0" w:line="252" w:lineRule="auto"/>
            </w:pPr>
            <w:r>
              <w:rPr>
                <w:sz w:val="18"/>
              </w:rPr>
              <w:t>Fear, disgust, negative valence</w:t>
            </w:r>
          </w:p>
        </w:tc>
        <w:tc>
          <w:tcPr>
            <w:tcW w:type="dxa" w:w="3660"/>
            <w:tcMar>
              <w:top w:w="90" w:type="dxa"/>
              <w:start w:w="120" w:type="dxa"/>
              <w:bottom w:w="90" w:type="dxa"/>
              <w:end w:w="120" w:type="dxa"/>
            </w:tcMar>
            <w:vAlign w:val="center"/>
          </w:tcPr>
          <w:p>
            <w:pPr>
              <w:spacing w:after="0" w:line="252" w:lineRule="auto"/>
            </w:pPr>
            <w:r>
              <w:rPr>
                <w:sz w:val="18"/>
              </w:rPr>
              <w:t>Increase distance or reduce exposure</w:t>
            </w:r>
          </w:p>
        </w:tc>
      </w:tr>
      <w:tr>
        <w:tc>
          <w:tcPr>
            <w:tcW w:type="dxa" w:w="1600"/>
            <w:tcMar>
              <w:top w:w="90" w:type="dxa"/>
              <w:start w:w="120" w:type="dxa"/>
              <w:bottom w:w="90" w:type="dxa"/>
              <w:end w:w="120" w:type="dxa"/>
            </w:tcMar>
            <w:vAlign w:val="center"/>
          </w:tcPr>
          <w:p>
            <w:pPr>
              <w:spacing w:after="0" w:line="252" w:lineRule="auto"/>
            </w:pPr>
            <w:r>
              <w:rPr>
                <w:sz w:val="18"/>
              </w:rPr>
              <w:t>Freeze</w:t>
            </w:r>
          </w:p>
        </w:tc>
        <w:tc>
          <w:tcPr>
            <w:tcW w:type="dxa" w:w="4100"/>
            <w:tcMar>
              <w:top w:w="90" w:type="dxa"/>
              <w:start w:w="120" w:type="dxa"/>
              <w:bottom w:w="90" w:type="dxa"/>
              <w:end w:w="120" w:type="dxa"/>
            </w:tcMar>
            <w:vAlign w:val="center"/>
          </w:tcPr>
          <w:p>
            <w:pPr>
              <w:spacing w:after="0" w:line="252" w:lineRule="auto"/>
            </w:pPr>
            <w:r>
              <w:rPr>
                <w:sz w:val="18"/>
              </w:rPr>
              <w:t>High fear, low control, uncertainty</w:t>
            </w:r>
          </w:p>
        </w:tc>
        <w:tc>
          <w:tcPr>
            <w:tcW w:type="dxa" w:w="3660"/>
            <w:tcMar>
              <w:top w:w="90" w:type="dxa"/>
              <w:start w:w="120" w:type="dxa"/>
              <w:bottom w:w="90" w:type="dxa"/>
              <w:end w:w="120" w:type="dxa"/>
            </w:tcMar>
            <w:vAlign w:val="center"/>
          </w:tcPr>
          <w:p>
            <w:pPr>
              <w:spacing w:after="0" w:line="252" w:lineRule="auto"/>
            </w:pPr>
            <w:r>
              <w:rPr>
                <w:sz w:val="18"/>
              </w:rPr>
              <w:t>Delay action and prioritize orientation</w:t>
            </w:r>
          </w:p>
        </w:tc>
      </w:tr>
      <w:tr>
        <w:tc>
          <w:tcPr>
            <w:tcW w:type="dxa" w:w="1600"/>
            <w:tcMar>
              <w:top w:w="90" w:type="dxa"/>
              <w:start w:w="120" w:type="dxa"/>
              <w:bottom w:w="90" w:type="dxa"/>
              <w:end w:w="120" w:type="dxa"/>
            </w:tcMar>
            <w:vAlign w:val="center"/>
          </w:tcPr>
          <w:p>
            <w:pPr>
              <w:spacing w:after="0" w:line="252" w:lineRule="auto"/>
            </w:pPr>
            <w:r>
              <w:rPr>
                <w:sz w:val="18"/>
              </w:rPr>
              <w:t>Confront</w:t>
            </w:r>
          </w:p>
        </w:tc>
        <w:tc>
          <w:tcPr>
            <w:tcW w:type="dxa" w:w="4100"/>
            <w:tcMar>
              <w:top w:w="90" w:type="dxa"/>
              <w:start w:w="120" w:type="dxa"/>
              <w:bottom w:w="90" w:type="dxa"/>
              <w:end w:w="120" w:type="dxa"/>
            </w:tcMar>
            <w:vAlign w:val="center"/>
          </w:tcPr>
          <w:p>
            <w:pPr>
              <w:spacing w:after="0" w:line="252" w:lineRule="auto"/>
            </w:pPr>
            <w:r>
              <w:rPr>
                <w:sz w:val="18"/>
              </w:rPr>
              <w:t>Anger, high control, blame</w:t>
            </w:r>
          </w:p>
        </w:tc>
        <w:tc>
          <w:tcPr>
            <w:tcW w:type="dxa" w:w="3660"/>
            <w:tcMar>
              <w:top w:w="90" w:type="dxa"/>
              <w:start w:w="120" w:type="dxa"/>
              <w:bottom w:w="90" w:type="dxa"/>
              <w:end w:w="120" w:type="dxa"/>
            </w:tcMar>
            <w:vAlign w:val="center"/>
          </w:tcPr>
          <w:p>
            <w:pPr>
              <w:spacing w:after="0" w:line="252" w:lineRule="auto"/>
            </w:pPr>
            <w:r>
              <w:rPr>
                <w:sz w:val="18"/>
              </w:rPr>
              <w:t>Correct obstruction or assert boundary</w:t>
            </w:r>
          </w:p>
        </w:tc>
      </w:tr>
      <w:tr>
        <w:tc>
          <w:tcPr>
            <w:tcW w:type="dxa" w:w="1600"/>
            <w:tcMar>
              <w:top w:w="90" w:type="dxa"/>
              <w:start w:w="120" w:type="dxa"/>
              <w:bottom w:w="90" w:type="dxa"/>
              <w:end w:w="120" w:type="dxa"/>
            </w:tcMar>
            <w:vAlign w:val="center"/>
          </w:tcPr>
          <w:p>
            <w:pPr>
              <w:spacing w:after="0" w:line="252" w:lineRule="auto"/>
            </w:pPr>
            <w:r>
              <w:rPr>
                <w:sz w:val="18"/>
              </w:rPr>
              <w:t>Affiliate</w:t>
            </w:r>
          </w:p>
        </w:tc>
        <w:tc>
          <w:tcPr>
            <w:tcW w:type="dxa" w:w="4100"/>
            <w:tcMar>
              <w:top w:w="90" w:type="dxa"/>
              <w:start w:w="120" w:type="dxa"/>
              <w:bottom w:w="90" w:type="dxa"/>
              <w:end w:w="120" w:type="dxa"/>
            </w:tcMar>
            <w:vAlign w:val="center"/>
          </w:tcPr>
          <w:p>
            <w:pPr>
              <w:spacing w:after="0" w:line="252" w:lineRule="auto"/>
            </w:pPr>
            <w:r>
              <w:rPr>
                <w:sz w:val="18"/>
              </w:rPr>
              <w:t>Affiliation, sadness with support availability</w:t>
            </w:r>
          </w:p>
        </w:tc>
        <w:tc>
          <w:tcPr>
            <w:tcW w:type="dxa" w:w="3660"/>
            <w:tcMar>
              <w:top w:w="90" w:type="dxa"/>
              <w:start w:w="120" w:type="dxa"/>
              <w:bottom w:w="90" w:type="dxa"/>
              <w:end w:w="120" w:type="dxa"/>
            </w:tcMar>
            <w:vAlign w:val="center"/>
          </w:tcPr>
          <w:p>
            <w:pPr>
              <w:spacing w:after="0" w:line="252" w:lineRule="auto"/>
            </w:pPr>
            <w:r>
              <w:rPr>
                <w:sz w:val="18"/>
              </w:rPr>
              <w:t>Seek or offer social connection</w:t>
            </w:r>
          </w:p>
        </w:tc>
      </w:tr>
      <w:tr>
        <w:tc>
          <w:tcPr>
            <w:tcW w:type="dxa" w:w="1600"/>
            <w:tcMar>
              <w:top w:w="90" w:type="dxa"/>
              <w:start w:w="120" w:type="dxa"/>
              <w:bottom w:w="90" w:type="dxa"/>
              <w:end w:w="120" w:type="dxa"/>
            </w:tcMar>
            <w:vAlign w:val="center"/>
          </w:tcPr>
          <w:p>
            <w:pPr>
              <w:spacing w:after="0" w:line="252" w:lineRule="auto"/>
            </w:pPr>
            <w:r>
              <w:rPr>
                <w:sz w:val="18"/>
              </w:rPr>
              <w:t>Explore</w:t>
            </w:r>
          </w:p>
        </w:tc>
        <w:tc>
          <w:tcPr>
            <w:tcW w:type="dxa" w:w="4100"/>
            <w:tcMar>
              <w:top w:w="90" w:type="dxa"/>
              <w:start w:w="120" w:type="dxa"/>
              <w:bottom w:w="90" w:type="dxa"/>
              <w:end w:w="120" w:type="dxa"/>
            </w:tcMar>
            <w:vAlign w:val="center"/>
          </w:tcPr>
          <w:p>
            <w:pPr>
              <w:spacing w:after="0" w:line="252" w:lineRule="auto"/>
            </w:pPr>
            <w:r>
              <w:rPr>
                <w:sz w:val="18"/>
              </w:rPr>
              <w:t>Interest, novelty, moderate arousal</w:t>
            </w:r>
          </w:p>
        </w:tc>
        <w:tc>
          <w:tcPr>
            <w:tcW w:type="dxa" w:w="3660"/>
            <w:tcMar>
              <w:top w:w="90" w:type="dxa"/>
              <w:start w:w="120" w:type="dxa"/>
              <w:bottom w:w="90" w:type="dxa"/>
              <w:end w:w="120" w:type="dxa"/>
            </w:tcMar>
            <w:vAlign w:val="center"/>
          </w:tcPr>
          <w:p>
            <w:pPr>
              <w:spacing w:after="0" w:line="252" w:lineRule="auto"/>
            </w:pPr>
            <w:r>
              <w:rPr>
                <w:sz w:val="18"/>
              </w:rPr>
              <w:t>Gather information and test possibilities</w:t>
            </w:r>
          </w:p>
        </w:tc>
      </w:tr>
      <w:tr>
        <w:tc>
          <w:tcPr>
            <w:tcW w:type="dxa" w:w="1600"/>
            <w:tcMar>
              <w:top w:w="90" w:type="dxa"/>
              <w:start w:w="120" w:type="dxa"/>
              <w:bottom w:w="90" w:type="dxa"/>
              <w:end w:w="120" w:type="dxa"/>
            </w:tcMar>
            <w:vAlign w:val="center"/>
          </w:tcPr>
          <w:p>
            <w:pPr>
              <w:spacing w:after="0" w:line="252" w:lineRule="auto"/>
            </w:pPr>
            <w:r>
              <w:rPr>
                <w:sz w:val="18"/>
              </w:rPr>
              <w:t>Repair</w:t>
            </w:r>
          </w:p>
        </w:tc>
        <w:tc>
          <w:tcPr>
            <w:tcW w:type="dxa" w:w="4100"/>
            <w:tcMar>
              <w:top w:w="90" w:type="dxa"/>
              <w:start w:w="120" w:type="dxa"/>
              <w:bottom w:w="90" w:type="dxa"/>
              <w:end w:w="120" w:type="dxa"/>
            </w:tcMar>
            <w:vAlign w:val="center"/>
          </w:tcPr>
          <w:p>
            <w:pPr>
              <w:spacing w:after="0" w:line="252" w:lineRule="auto"/>
            </w:pPr>
            <w:r>
              <w:rPr>
                <w:sz w:val="18"/>
              </w:rPr>
              <w:t>Affiliation plus recognized social harm</w:t>
            </w:r>
          </w:p>
        </w:tc>
        <w:tc>
          <w:tcPr>
            <w:tcW w:type="dxa" w:w="3660"/>
            <w:tcMar>
              <w:top w:w="90" w:type="dxa"/>
              <w:start w:w="120" w:type="dxa"/>
              <w:bottom w:w="90" w:type="dxa"/>
              <w:end w:w="120" w:type="dxa"/>
            </w:tcMar>
            <w:vAlign w:val="center"/>
          </w:tcPr>
          <w:p>
            <w:pPr>
              <w:spacing w:after="0" w:line="252" w:lineRule="auto"/>
            </w:pPr>
            <w:r>
              <w:rPr>
                <w:sz w:val="18"/>
              </w:rPr>
              <w:t>Restore trust or cooperation</w:t>
            </w:r>
          </w:p>
        </w:tc>
      </w:tr>
      <w:tr>
        <w:tc>
          <w:tcPr>
            <w:tcW w:type="dxa" w:w="1600"/>
            <w:tcMar>
              <w:top w:w="90" w:type="dxa"/>
              <w:start w:w="120" w:type="dxa"/>
              <w:bottom w:w="90" w:type="dxa"/>
              <w:end w:w="120" w:type="dxa"/>
            </w:tcMar>
            <w:vAlign w:val="center"/>
          </w:tcPr>
          <w:p>
            <w:pPr>
              <w:spacing w:after="0" w:line="252" w:lineRule="auto"/>
            </w:pPr>
            <w:r>
              <w:rPr>
                <w:sz w:val="18"/>
              </w:rPr>
              <w:t>Disengage</w:t>
            </w:r>
          </w:p>
        </w:tc>
        <w:tc>
          <w:tcPr>
            <w:tcW w:type="dxa" w:w="4100"/>
            <w:tcMar>
              <w:top w:w="90" w:type="dxa"/>
              <w:start w:w="120" w:type="dxa"/>
              <w:bottom w:w="90" w:type="dxa"/>
              <w:end w:w="120" w:type="dxa"/>
            </w:tcMar>
            <w:vAlign w:val="center"/>
          </w:tcPr>
          <w:p>
            <w:pPr>
              <w:spacing w:after="0" w:line="252" w:lineRule="auto"/>
            </w:pPr>
            <w:r>
              <w:rPr>
                <w:sz w:val="18"/>
              </w:rPr>
              <w:t>Sadness, disgust, low relevance or low coping</w:t>
            </w:r>
          </w:p>
        </w:tc>
        <w:tc>
          <w:tcPr>
            <w:tcW w:type="dxa" w:w="3660"/>
            <w:tcMar>
              <w:top w:w="90" w:type="dxa"/>
              <w:start w:w="120" w:type="dxa"/>
              <w:bottom w:w="90" w:type="dxa"/>
              <w:end w:w="120" w:type="dxa"/>
            </w:tcMar>
            <w:vAlign w:val="center"/>
          </w:tcPr>
          <w:p>
            <w:pPr>
              <w:spacing w:after="0" w:line="252" w:lineRule="auto"/>
            </w:pPr>
            <w:r>
              <w:rPr>
                <w:sz w:val="18"/>
              </w:rPr>
              <w:t>Conserve resources or exit</w:t>
            </w:r>
          </w:p>
        </w:tc>
      </w:tr>
    </w:tbl>
    <w:p>
      <w:pPr>
        <w:spacing w:after="0"/>
      </w:pPr>
    </w:p>
    <w:p>
      <w:pPr>
        <w:pStyle w:val="Heading2"/>
      </w:pPr>
      <w:r>
        <w:t>7.3 Influence boundary</w:t>
      </w:r>
    </w:p>
    <w:p>
      <w:r>
        <w:rPr>
          <w:i w:val="0"/>
        </w:rPr>
        <w:t>Action tendencies are motivational signals only. Arbitration, host goals, permissions, and safety policy determine whether an action proposal may proceed.</w:t>
      </w:r>
    </w:p>
    <w:p>
      <w:pPr>
        <w:pStyle w:val="Heading1"/>
      </w:pPr>
      <w:r>
        <w:t>8. Fast and slow pathways</w:t>
      </w:r>
    </w:p>
    <w:p>
      <w:pPr>
        <w:pStyle w:val="Heading2"/>
      </w:pPr>
      <w:r>
        <w:t>8.1 Fast appraisal</w:t>
      </w:r>
    </w:p>
    <w:p>
      <w:pPr>
        <w:pStyle w:val="ListBullet"/>
      </w:pPr>
      <w:r>
        <w:t>Uses trusted event features, compact context, current state summary, and learned associations.</w:t>
      </w:r>
    </w:p>
    <w:p>
      <w:pPr>
        <w:pStyle w:val="ListBullet"/>
      </w:pPr>
      <w:r>
        <w:t>Optimizes latency and salience; accepts lower contextual completeness.</w:t>
      </w:r>
    </w:p>
    <w:p>
      <w:pPr>
        <w:pStyle w:val="ListBullet"/>
      </w:pPr>
      <w:r>
        <w:t>Produces an immediate transition marked FAST and provisional where slow review is pending.</w:t>
      </w:r>
    </w:p>
    <w:p>
      <w:pPr>
        <w:pStyle w:val="ListBullet"/>
      </w:pPr>
      <w:r>
        <w:t>Cannot execute consequential action.</w:t>
      </w:r>
    </w:p>
    <w:p>
      <w:pPr>
        <w:pStyle w:val="Heading2"/>
      </w:pPr>
      <w:r>
        <w:t>8.2 Slow appraisal</w:t>
      </w:r>
    </w:p>
    <w:p>
      <w:pPr>
        <w:pStyle w:val="ListBullet"/>
      </w:pPr>
      <w:r>
        <w:t>Uses goal-specific context, relationship summaries, relevant episodes, alternatives, and consequences.</w:t>
      </w:r>
    </w:p>
    <w:p>
      <w:pPr>
        <w:pStyle w:val="ListBullet"/>
      </w:pPr>
      <w:r>
        <w:t>May confirm, attenuate, intensify, relabel, or counter the fast appraisal.</w:t>
      </w:r>
    </w:p>
    <w:p>
      <w:pPr>
        <w:pStyle w:val="ListBullet"/>
      </w:pPr>
      <w:r>
        <w:t>Produces a separate transition linked to the fast transition and original event.</w:t>
      </w:r>
    </w:p>
    <w:p>
      <w:pPr>
        <w:pStyle w:val="ListBullet"/>
      </w:pPr>
      <w:r>
        <w:t>Reports disagreement and evidence rather than editing the fast record.</w:t>
      </w:r>
    </w:p>
    <w:p>
      <w:pPr>
        <w:pStyle w:val="Heading2"/>
      </w:pPr>
      <w:r>
        <w:t>8.3 Slow-path trigger score</w:t>
      </w:r>
    </w:p>
    <w:p>
      <w:pPr>
        <w:spacing w:before="120" w:after="160"/>
        <w:jc w:val="center"/>
      </w:pPr>
      <w:r>
        <w:rPr>
          <w:rFonts w:ascii="Cambria Math" w:hAnsi="Cambria Math"/>
          <w:i/>
          <w:color w:val="17365D"/>
          <w:sz w:val="22"/>
        </w:rPr>
        <w:t>Tslow = w1·consequence + w2·ambiguity + w3·disagreement + w4·arousal + w5·social_significance</w:t>
      </w:r>
    </w:p>
    <w:p>
      <w:r>
        <w:rPr>
          <w:i w:val="0"/>
        </w:rPr>
        <w:t>Slow appraisal is mandatory when Tslow exceeds the configured threshold, the proposed action is irreversible, or safety policy requires deliberation.</w:t>
      </w:r>
    </w:p>
    <w:p>
      <w:pPr>
        <w:pStyle w:val="Heading2"/>
      </w:pPr>
      <w:r>
        <w:t>8.4 Reappraisal semantics</w:t>
      </w:r>
    </w:p>
    <w:p>
      <w:r>
        <w:rPr>
          <w:i w:val="0"/>
        </w:rPr>
        <w:t>A slow appraisal acts on the decayed current state, not the pre-fast state. Its evidence may include the fast appraisal, but its delta is computed independently and capped separately.</w:t>
      </w:r>
    </w:p>
    <w:p>
      <w:pPr>
        <w:pStyle w:val="Heading1"/>
      </w:pPr>
      <w:r>
        <w:t>9. Regulation</w:t>
      </w:r>
    </w:p>
    <w:p>
      <w:pPr>
        <w:pStyle w:val="Heading2"/>
      </w:pPr>
      <w:r>
        <w:t>9.1 Regulation taxonomy</w:t>
      </w:r>
    </w:p>
    <w:tbl>
      <w:tblPr>
        <w:tblStyle w:val="TableGrid"/>
        <w:tblW w:type="dxa" w:w="9360"/>
        <w:jc w:val="center"/>
        <w:tblLayout w:type="fixed"/>
        <w:tblLook w:firstColumn="1" w:firstRow="1" w:lastColumn="0" w:lastRow="0" w:noHBand="0" w:noVBand="1" w:val="04A0"/>
        <w:tblInd w:w="120" w:type="dxa"/>
      </w:tblPr>
      <w:tblGrid>
        <w:gridCol w:w="2100"/>
        <w:gridCol w:w="2200"/>
        <w:gridCol w:w="5060"/>
      </w:tblGrid>
      <w:tr>
        <w:trPr>
          <w:tblHeader w:val="true"/>
        </w:trPr>
        <w:tc>
          <w:tcPr>
            <w:tcW w:type="dxa" w:w="2100"/>
            <w:shd w:fill="E8EEF5"/>
            <w:tcMar>
              <w:top w:w="90" w:type="dxa"/>
              <w:start w:w="120" w:type="dxa"/>
              <w:bottom w:w="90" w:type="dxa"/>
              <w:end w:w="120" w:type="dxa"/>
            </w:tcMar>
            <w:vAlign w:val="center"/>
          </w:tcPr>
          <w:p>
            <w:pPr>
              <w:spacing w:after="0"/>
            </w:pPr>
            <w:r>
              <w:rPr>
                <w:b/>
                <w:color w:val="17365D"/>
                <w:sz w:val="18"/>
              </w:rPr>
              <w:t>Strategy</w:t>
            </w:r>
          </w:p>
        </w:tc>
        <w:tc>
          <w:tcPr>
            <w:tcW w:type="dxa" w:w="2200"/>
            <w:shd w:fill="E8EEF5"/>
            <w:tcMar>
              <w:top w:w="90" w:type="dxa"/>
              <w:start w:w="120" w:type="dxa"/>
              <w:bottom w:w="90" w:type="dxa"/>
              <w:end w:w="120" w:type="dxa"/>
            </w:tcMar>
            <w:vAlign w:val="center"/>
          </w:tcPr>
          <w:p>
            <w:pPr>
              <w:spacing w:after="0"/>
            </w:pPr>
            <w:r>
              <w:rPr>
                <w:b/>
                <w:color w:val="17365D"/>
                <w:sz w:val="18"/>
              </w:rPr>
              <w:t>Target</w:t>
            </w:r>
          </w:p>
        </w:tc>
        <w:tc>
          <w:tcPr>
            <w:tcW w:type="dxa" w:w="5060"/>
            <w:shd w:fill="E8EEF5"/>
            <w:tcMar>
              <w:top w:w="90" w:type="dxa"/>
              <w:start w:w="120" w:type="dxa"/>
              <w:bottom w:w="90" w:type="dxa"/>
              <w:end w:w="120" w:type="dxa"/>
            </w:tcMar>
            <w:vAlign w:val="center"/>
          </w:tcPr>
          <w:p>
            <w:pPr>
              <w:spacing w:after="0"/>
            </w:pPr>
            <w:r>
              <w:rPr>
                <w:b/>
                <w:color w:val="17365D"/>
                <w:sz w:val="18"/>
              </w:rPr>
              <w:t>Example computational effect</w:t>
            </w:r>
          </w:p>
        </w:tc>
      </w:tr>
      <w:tr>
        <w:tc>
          <w:tcPr>
            <w:tcW w:type="dxa" w:w="2100"/>
            <w:tcMar>
              <w:top w:w="90" w:type="dxa"/>
              <w:start w:w="120" w:type="dxa"/>
              <w:bottom w:w="90" w:type="dxa"/>
              <w:end w:w="120" w:type="dxa"/>
            </w:tcMar>
            <w:vAlign w:val="center"/>
          </w:tcPr>
          <w:p>
            <w:pPr>
              <w:spacing w:after="0" w:line="252" w:lineRule="auto"/>
            </w:pPr>
            <w:r>
              <w:rPr>
                <w:sz w:val="18"/>
              </w:rPr>
              <w:t>Information seeking</w:t>
            </w:r>
          </w:p>
        </w:tc>
        <w:tc>
          <w:tcPr>
            <w:tcW w:type="dxa" w:w="2200"/>
            <w:tcMar>
              <w:top w:w="90" w:type="dxa"/>
              <w:start w:w="120" w:type="dxa"/>
              <w:bottom w:w="90" w:type="dxa"/>
              <w:end w:w="120" w:type="dxa"/>
            </w:tcMar>
            <w:vAlign w:val="center"/>
          </w:tcPr>
          <w:p>
            <w:pPr>
              <w:spacing w:after="0" w:line="252" w:lineRule="auto"/>
            </w:pPr>
            <w:r>
              <w:rPr>
                <w:sz w:val="18"/>
              </w:rPr>
              <w:t>Uncertainty</w:t>
            </w:r>
          </w:p>
        </w:tc>
        <w:tc>
          <w:tcPr>
            <w:tcW w:type="dxa" w:w="5060"/>
            <w:tcMar>
              <w:top w:w="90" w:type="dxa"/>
              <w:start w:w="120" w:type="dxa"/>
              <w:bottom w:w="90" w:type="dxa"/>
              <w:end w:w="120" w:type="dxa"/>
            </w:tcMar>
            <w:vAlign w:val="center"/>
          </w:tcPr>
          <w:p>
            <w:pPr>
              <w:spacing w:after="0" w:line="252" w:lineRule="auto"/>
            </w:pPr>
            <w:r>
              <w:rPr>
                <w:sz w:val="18"/>
              </w:rPr>
              <w:t>Delay consequential action; request evidence</w:t>
            </w:r>
          </w:p>
        </w:tc>
      </w:tr>
      <w:tr>
        <w:tc>
          <w:tcPr>
            <w:tcW w:type="dxa" w:w="2100"/>
            <w:tcMar>
              <w:top w:w="90" w:type="dxa"/>
              <w:start w:w="120" w:type="dxa"/>
              <w:bottom w:w="90" w:type="dxa"/>
              <w:end w:w="120" w:type="dxa"/>
            </w:tcMar>
            <w:vAlign w:val="center"/>
          </w:tcPr>
          <w:p>
            <w:pPr>
              <w:spacing w:after="0" w:line="252" w:lineRule="auto"/>
            </w:pPr>
            <w:r>
              <w:rPr>
                <w:sz w:val="18"/>
              </w:rPr>
              <w:t>Reappraisal</w:t>
            </w:r>
          </w:p>
        </w:tc>
        <w:tc>
          <w:tcPr>
            <w:tcW w:type="dxa" w:w="2200"/>
            <w:tcMar>
              <w:top w:w="90" w:type="dxa"/>
              <w:start w:w="120" w:type="dxa"/>
              <w:bottom w:w="90" w:type="dxa"/>
              <w:end w:w="120" w:type="dxa"/>
            </w:tcMar>
            <w:vAlign w:val="center"/>
          </w:tcPr>
          <w:p>
            <w:pPr>
              <w:spacing w:after="0" w:line="252" w:lineRule="auto"/>
            </w:pPr>
            <w:r>
              <w:rPr>
                <w:sz w:val="18"/>
              </w:rPr>
              <w:t>Appraisal</w:t>
            </w:r>
          </w:p>
        </w:tc>
        <w:tc>
          <w:tcPr>
            <w:tcW w:type="dxa" w:w="5060"/>
            <w:tcMar>
              <w:top w:w="90" w:type="dxa"/>
              <w:start w:w="120" w:type="dxa"/>
              <w:bottom w:w="90" w:type="dxa"/>
              <w:end w:w="120" w:type="dxa"/>
            </w:tcMar>
            <w:vAlign w:val="center"/>
          </w:tcPr>
          <w:p>
            <w:pPr>
              <w:spacing w:after="0" w:line="252" w:lineRule="auto"/>
            </w:pPr>
            <w:r>
              <w:rPr>
                <w:sz w:val="18"/>
              </w:rPr>
              <w:t>Change blame, threat, control, or goal interpretation</w:t>
            </w:r>
          </w:p>
        </w:tc>
      </w:tr>
      <w:tr>
        <w:tc>
          <w:tcPr>
            <w:tcW w:type="dxa" w:w="2100"/>
            <w:tcMar>
              <w:top w:w="90" w:type="dxa"/>
              <w:start w:w="120" w:type="dxa"/>
              <w:bottom w:w="90" w:type="dxa"/>
              <w:end w:w="120" w:type="dxa"/>
            </w:tcMar>
            <w:vAlign w:val="center"/>
          </w:tcPr>
          <w:p>
            <w:pPr>
              <w:spacing w:after="0" w:line="252" w:lineRule="auto"/>
            </w:pPr>
            <w:r>
              <w:rPr>
                <w:sz w:val="18"/>
              </w:rPr>
              <w:t>Attention shifting</w:t>
            </w:r>
          </w:p>
        </w:tc>
        <w:tc>
          <w:tcPr>
            <w:tcW w:type="dxa" w:w="2200"/>
            <w:tcMar>
              <w:top w:w="90" w:type="dxa"/>
              <w:start w:w="120" w:type="dxa"/>
              <w:bottom w:w="90" w:type="dxa"/>
              <w:end w:w="120" w:type="dxa"/>
            </w:tcMar>
            <w:vAlign w:val="center"/>
          </w:tcPr>
          <w:p>
            <w:pPr>
              <w:spacing w:after="0" w:line="252" w:lineRule="auto"/>
            </w:pPr>
            <w:r>
              <w:rPr>
                <w:sz w:val="18"/>
              </w:rPr>
              <w:t>Cognitive influence</w:t>
            </w:r>
          </w:p>
        </w:tc>
        <w:tc>
          <w:tcPr>
            <w:tcW w:type="dxa" w:w="5060"/>
            <w:tcMar>
              <w:top w:w="90" w:type="dxa"/>
              <w:start w:w="120" w:type="dxa"/>
              <w:bottom w:w="90" w:type="dxa"/>
              <w:end w:w="120" w:type="dxa"/>
            </w:tcMar>
            <w:vAlign w:val="center"/>
          </w:tcPr>
          <w:p>
            <w:pPr>
              <w:spacing w:after="0" w:line="252" w:lineRule="auto"/>
            </w:pPr>
            <w:r>
              <w:rPr>
                <w:sz w:val="18"/>
              </w:rPr>
              <w:t>Reduce weight on non-actionable cues</w:t>
            </w:r>
          </w:p>
        </w:tc>
      </w:tr>
      <w:tr>
        <w:tc>
          <w:tcPr>
            <w:tcW w:type="dxa" w:w="2100"/>
            <w:tcMar>
              <w:top w:w="90" w:type="dxa"/>
              <w:start w:w="120" w:type="dxa"/>
              <w:bottom w:w="90" w:type="dxa"/>
              <w:end w:w="120" w:type="dxa"/>
            </w:tcMar>
            <w:vAlign w:val="center"/>
          </w:tcPr>
          <w:p>
            <w:pPr>
              <w:spacing w:after="0" w:line="252" w:lineRule="auto"/>
            </w:pPr>
            <w:r>
              <w:rPr>
                <w:sz w:val="18"/>
              </w:rPr>
              <w:t>Response modulation</w:t>
            </w:r>
          </w:p>
        </w:tc>
        <w:tc>
          <w:tcPr>
            <w:tcW w:type="dxa" w:w="2200"/>
            <w:tcMar>
              <w:top w:w="90" w:type="dxa"/>
              <w:start w:w="120" w:type="dxa"/>
              <w:bottom w:w="90" w:type="dxa"/>
              <w:end w:w="120" w:type="dxa"/>
            </w:tcMar>
            <w:vAlign w:val="center"/>
          </w:tcPr>
          <w:p>
            <w:pPr>
              <w:spacing w:after="0" w:line="252" w:lineRule="auto"/>
            </w:pPr>
            <w:r>
              <w:rPr>
                <w:sz w:val="18"/>
              </w:rPr>
              <w:t>Expression/action</w:t>
            </w:r>
          </w:p>
        </w:tc>
        <w:tc>
          <w:tcPr>
            <w:tcW w:type="dxa" w:w="5060"/>
            <w:tcMar>
              <w:top w:w="90" w:type="dxa"/>
              <w:start w:w="120" w:type="dxa"/>
              <w:bottom w:w="90" w:type="dxa"/>
              <w:end w:w="120" w:type="dxa"/>
            </w:tcMar>
            <w:vAlign w:val="center"/>
          </w:tcPr>
          <w:p>
            <w:pPr>
              <w:spacing w:after="0" w:line="252" w:lineRule="auto"/>
            </w:pPr>
            <w:r>
              <w:rPr>
                <w:sz w:val="18"/>
              </w:rPr>
              <w:t>Limit tone intensity without falsifying state</w:t>
            </w:r>
          </w:p>
        </w:tc>
      </w:tr>
      <w:tr>
        <w:tc>
          <w:tcPr>
            <w:tcW w:type="dxa" w:w="2100"/>
            <w:tcMar>
              <w:top w:w="90" w:type="dxa"/>
              <w:start w:w="120" w:type="dxa"/>
              <w:bottom w:w="90" w:type="dxa"/>
              <w:end w:w="120" w:type="dxa"/>
            </w:tcMar>
            <w:vAlign w:val="center"/>
          </w:tcPr>
          <w:p>
            <w:pPr>
              <w:spacing w:after="0" w:line="252" w:lineRule="auto"/>
            </w:pPr>
            <w:r>
              <w:rPr>
                <w:sz w:val="18"/>
              </w:rPr>
              <w:t>Situation selection</w:t>
            </w:r>
          </w:p>
        </w:tc>
        <w:tc>
          <w:tcPr>
            <w:tcW w:type="dxa" w:w="2200"/>
            <w:tcMar>
              <w:top w:w="90" w:type="dxa"/>
              <w:start w:w="120" w:type="dxa"/>
              <w:bottom w:w="90" w:type="dxa"/>
              <w:end w:w="120" w:type="dxa"/>
            </w:tcMar>
            <w:vAlign w:val="center"/>
          </w:tcPr>
          <w:p>
            <w:pPr>
              <w:spacing w:after="0" w:line="252" w:lineRule="auto"/>
            </w:pPr>
            <w:r>
              <w:rPr>
                <w:sz w:val="18"/>
              </w:rPr>
              <w:t>Exposure</w:t>
            </w:r>
          </w:p>
        </w:tc>
        <w:tc>
          <w:tcPr>
            <w:tcW w:type="dxa" w:w="5060"/>
            <w:tcMar>
              <w:top w:w="90" w:type="dxa"/>
              <w:start w:w="120" w:type="dxa"/>
              <w:bottom w:w="90" w:type="dxa"/>
              <w:end w:w="120" w:type="dxa"/>
            </w:tcMar>
            <w:vAlign w:val="center"/>
          </w:tcPr>
          <w:p>
            <w:pPr>
              <w:spacing w:after="0" w:line="252" w:lineRule="auto"/>
            </w:pPr>
            <w:r>
              <w:rPr>
                <w:sz w:val="18"/>
              </w:rPr>
              <w:t>Prefer safe distance or structured interaction</w:t>
            </w:r>
          </w:p>
        </w:tc>
      </w:tr>
      <w:tr>
        <w:tc>
          <w:tcPr>
            <w:tcW w:type="dxa" w:w="2100"/>
            <w:tcMar>
              <w:top w:w="90" w:type="dxa"/>
              <w:start w:w="120" w:type="dxa"/>
              <w:bottom w:w="90" w:type="dxa"/>
              <w:end w:w="120" w:type="dxa"/>
            </w:tcMar>
            <w:vAlign w:val="center"/>
          </w:tcPr>
          <w:p>
            <w:pPr>
              <w:spacing w:after="0" w:line="252" w:lineRule="auto"/>
            </w:pPr>
            <w:r>
              <w:rPr>
                <w:sz w:val="18"/>
              </w:rPr>
              <w:t>Goal reprioritization</w:t>
            </w:r>
          </w:p>
        </w:tc>
        <w:tc>
          <w:tcPr>
            <w:tcW w:type="dxa" w:w="2200"/>
            <w:tcMar>
              <w:top w:w="90" w:type="dxa"/>
              <w:start w:w="120" w:type="dxa"/>
              <w:bottom w:w="90" w:type="dxa"/>
              <w:end w:w="120" w:type="dxa"/>
            </w:tcMar>
            <w:vAlign w:val="center"/>
          </w:tcPr>
          <w:p>
            <w:pPr>
              <w:spacing w:after="0" w:line="252" w:lineRule="auto"/>
            </w:pPr>
            <w:r>
              <w:rPr>
                <w:sz w:val="18"/>
              </w:rPr>
              <w:t>Relevance</w:t>
            </w:r>
          </w:p>
        </w:tc>
        <w:tc>
          <w:tcPr>
            <w:tcW w:type="dxa" w:w="5060"/>
            <w:tcMar>
              <w:top w:w="90" w:type="dxa"/>
              <w:start w:w="120" w:type="dxa"/>
              <w:bottom w:w="90" w:type="dxa"/>
              <w:end w:w="120" w:type="dxa"/>
            </w:tcMar>
            <w:vAlign w:val="center"/>
          </w:tcPr>
          <w:p>
            <w:pPr>
              <w:spacing w:after="0" w:line="252" w:lineRule="auto"/>
            </w:pPr>
            <w:r>
              <w:rPr>
                <w:sz w:val="18"/>
              </w:rPr>
              <w:t>Lower salience of a blocked low-priority goal</w:t>
            </w:r>
          </w:p>
        </w:tc>
      </w:tr>
    </w:tbl>
    <w:p>
      <w:pPr>
        <w:spacing w:after="0"/>
      </w:pPr>
    </w:p>
    <w:p>
      <w:pPr>
        <w:pStyle w:val="Heading2"/>
      </w:pPr>
      <w:r>
        <w:t>9.2 Regulation state</w:t>
      </w:r>
    </w:p>
    <w:p>
      <w:r>
        <w:rPr>
          <w:i w:val="0"/>
        </w:rPr>
        <w:t>Regulation records strategy, target variables, strength, source, authorization, start time, and expiry. It MUST NOT delete or rewrite the originating emotion.</w:t>
      </w:r>
    </w:p>
    <w:p>
      <w:pPr>
        <w:pStyle w:val="Heading2"/>
      </w:pPr>
      <w:r>
        <w:t>9.3 Regulation limits</w:t>
      </w:r>
    </w:p>
    <w:p>
      <w:pPr>
        <w:pStyle w:val="ListBullet"/>
      </w:pPr>
      <w:r>
        <w:t>Regulation strength is bounded per transition.</w:t>
      </w:r>
    </w:p>
    <w:p>
      <w:pPr>
        <w:pStyle w:val="ListBullet"/>
      </w:pPr>
      <w:r>
        <w:t>Suppression of expression does not directly reduce authoritative intensity.</w:t>
      </w:r>
    </w:p>
    <w:p>
      <w:pPr>
        <w:pStyle w:val="ListBullet"/>
      </w:pPr>
      <w:r>
        <w:t>Reappraisal requires new evidence or an explicitly reasoned alternative.</w:t>
      </w:r>
    </w:p>
    <w:p>
      <w:pPr>
        <w:pStyle w:val="ListBullet"/>
      </w:pPr>
      <w:r>
        <w:t>Safety may impose response modulation regardless of agent preference.</w:t>
      </w:r>
    </w:p>
    <w:p>
      <w:pPr>
        <w:pStyle w:val="Heading1"/>
      </w:pPr>
      <w:r>
        <w:t>10. Interoception</w:t>
      </w:r>
    </w:p>
    <w:p>
      <w:pPr>
        <w:pStyle w:val="Heading2"/>
      </w:pPr>
      <w:r>
        <w:t>10.1 Derivation</w:t>
      </w:r>
    </w:p>
    <w:p>
      <w:r>
        <w:rPr>
          <w:i w:val="0"/>
        </w:rPr>
        <w:t>The interoceptive view is generated from authoritative state using an acuity profile, reporting thresholds, uncertainty, controlled noise, and causal summaries.</w:t>
      </w:r>
    </w:p>
    <w:p>
      <w:pPr>
        <w:spacing w:before="120" w:after="160"/>
        <w:jc w:val="center"/>
      </w:pPr>
      <w:r>
        <w:rPr>
          <w:rFonts w:ascii="Cambria Math" w:hAnsi="Cambria Math"/>
          <w:i/>
          <w:color w:val="17365D"/>
          <w:sz w:val="22"/>
        </w:rPr>
        <w:t>I(t) = summarize(mask(S(t), acuity, permissions), noise_seed, reporting_thresholds)</w:t>
      </w:r>
    </w:p>
    <w:p>
      <w:pPr>
        <w:pStyle w:val="Heading2"/>
      </w:pPr>
      <w:r>
        <w:t>10.2 Agent-facing fields</w:t>
      </w:r>
    </w:p>
    <w:tbl>
      <w:tblPr>
        <w:tblStyle w:val="TableGrid"/>
        <w:tblW w:type="dxa" w:w="9360"/>
        <w:jc w:val="center"/>
        <w:tblLayout w:type="fixed"/>
        <w:tblLook w:firstColumn="1" w:firstRow="1" w:lastColumn="0" w:lastRow="0" w:noHBand="0" w:noVBand="1" w:val="04A0"/>
        <w:tblInd w:w="120" w:type="dxa"/>
      </w:tblPr>
      <w:tblGrid>
        <w:gridCol w:w="2400"/>
        <w:gridCol w:w="6960"/>
      </w:tblGrid>
      <w:tr>
        <w:trPr>
          <w:tblHeader w:val="true"/>
        </w:trPr>
        <w:tc>
          <w:tcPr>
            <w:tcW w:type="dxa" w:w="2400"/>
            <w:shd w:fill="E8EEF5"/>
            <w:tcMar>
              <w:top w:w="90" w:type="dxa"/>
              <w:start w:w="120" w:type="dxa"/>
              <w:bottom w:w="90" w:type="dxa"/>
              <w:end w:w="120" w:type="dxa"/>
            </w:tcMar>
            <w:vAlign w:val="center"/>
          </w:tcPr>
          <w:p>
            <w:pPr>
              <w:spacing w:after="0"/>
            </w:pPr>
            <w:r>
              <w:rPr>
                <w:b/>
                <w:color w:val="17365D"/>
                <w:sz w:val="18"/>
              </w:rPr>
              <w:t>Field</w:t>
            </w:r>
          </w:p>
        </w:tc>
        <w:tc>
          <w:tcPr>
            <w:tcW w:type="dxa" w:w="6960"/>
            <w:shd w:fill="E8EEF5"/>
            <w:tcMar>
              <w:top w:w="90" w:type="dxa"/>
              <w:start w:w="120" w:type="dxa"/>
              <w:bottom w:w="90" w:type="dxa"/>
              <w:end w:w="120" w:type="dxa"/>
            </w:tcMar>
            <w:vAlign w:val="center"/>
          </w:tcPr>
          <w:p>
            <w:pPr>
              <w:spacing w:after="0"/>
            </w:pPr>
            <w:r>
              <w:rPr>
                <w:b/>
                <w:color w:val="17365D"/>
                <w:sz w:val="18"/>
              </w:rPr>
              <w:t>Meaning</w:t>
            </w:r>
          </w:p>
        </w:tc>
      </w:tr>
      <w:tr>
        <w:tc>
          <w:tcPr>
            <w:tcW w:type="dxa" w:w="2400"/>
            <w:tcMar>
              <w:top w:w="90" w:type="dxa"/>
              <w:start w:w="120" w:type="dxa"/>
              <w:bottom w:w="90" w:type="dxa"/>
              <w:end w:w="120" w:type="dxa"/>
            </w:tcMar>
            <w:vAlign w:val="center"/>
          </w:tcPr>
          <w:p>
            <w:pPr>
              <w:spacing w:after="0" w:line="252" w:lineRule="auto"/>
            </w:pPr>
            <w:r>
              <w:rPr>
                <w:sz w:val="18"/>
              </w:rPr>
              <w:t>felt_quality</w:t>
            </w:r>
          </w:p>
        </w:tc>
        <w:tc>
          <w:tcPr>
            <w:tcW w:type="dxa" w:w="6960"/>
            <w:tcMar>
              <w:top w:w="90" w:type="dxa"/>
              <w:start w:w="120" w:type="dxa"/>
              <w:bottom w:w="90" w:type="dxa"/>
              <w:end w:w="120" w:type="dxa"/>
            </w:tcMar>
            <w:vAlign w:val="center"/>
          </w:tcPr>
          <w:p>
            <w:pPr>
              <w:spacing w:after="0" w:line="252" w:lineRule="auto"/>
            </w:pPr>
            <w:r>
              <w:rPr>
                <w:sz w:val="18"/>
              </w:rPr>
              <w:t>Short qualitative descriptors derived from dimensions and prominent emotions.</w:t>
            </w:r>
          </w:p>
        </w:tc>
      </w:tr>
      <w:tr>
        <w:tc>
          <w:tcPr>
            <w:tcW w:type="dxa" w:w="2400"/>
            <w:tcMar>
              <w:top w:w="90" w:type="dxa"/>
              <w:start w:w="120" w:type="dxa"/>
              <w:bottom w:w="90" w:type="dxa"/>
              <w:end w:w="120" w:type="dxa"/>
            </w:tcMar>
            <w:vAlign w:val="center"/>
          </w:tcPr>
          <w:p>
            <w:pPr>
              <w:spacing w:after="0" w:line="252" w:lineRule="auto"/>
            </w:pPr>
            <w:r>
              <w:rPr>
                <w:sz w:val="18"/>
              </w:rPr>
              <w:t>activation</w:t>
            </w:r>
          </w:p>
        </w:tc>
        <w:tc>
          <w:tcPr>
            <w:tcW w:type="dxa" w:w="6960"/>
            <w:tcMar>
              <w:top w:w="90" w:type="dxa"/>
              <w:start w:w="120" w:type="dxa"/>
              <w:bottom w:w="90" w:type="dxa"/>
              <w:end w:w="120" w:type="dxa"/>
            </w:tcMar>
            <w:vAlign w:val="center"/>
          </w:tcPr>
          <w:p>
            <w:pPr>
              <w:spacing w:after="0" w:line="252" w:lineRule="auto"/>
            </w:pPr>
            <w:r>
              <w:rPr>
                <w:sz w:val="18"/>
              </w:rPr>
              <w:t>Coarse arousal category or rounded value.</w:t>
            </w:r>
          </w:p>
        </w:tc>
      </w:tr>
      <w:tr>
        <w:tc>
          <w:tcPr>
            <w:tcW w:type="dxa" w:w="2400"/>
            <w:tcMar>
              <w:top w:w="90" w:type="dxa"/>
              <w:start w:w="120" w:type="dxa"/>
              <w:bottom w:w="90" w:type="dxa"/>
              <w:end w:w="120" w:type="dxa"/>
            </w:tcMar>
            <w:vAlign w:val="center"/>
          </w:tcPr>
          <w:p>
            <w:pPr>
              <w:spacing w:after="0" w:line="252" w:lineRule="auto"/>
            </w:pPr>
            <w:r>
              <w:rPr>
                <w:sz w:val="18"/>
              </w:rPr>
              <w:t>likely_affects</w:t>
            </w:r>
          </w:p>
        </w:tc>
        <w:tc>
          <w:tcPr>
            <w:tcW w:type="dxa" w:w="6960"/>
            <w:tcMar>
              <w:top w:w="90" w:type="dxa"/>
              <w:start w:w="120" w:type="dxa"/>
              <w:bottom w:w="90" w:type="dxa"/>
              <w:end w:w="120" w:type="dxa"/>
            </w:tcMar>
            <w:vAlign w:val="center"/>
          </w:tcPr>
          <w:p>
            <w:pPr>
              <w:spacing w:after="0" w:line="252" w:lineRule="auto"/>
            </w:pPr>
            <w:r>
              <w:rPr>
                <w:sz w:val="18"/>
              </w:rPr>
              <w:t>Top plausible emotions with confidence, not raw intensity.</w:t>
            </w:r>
          </w:p>
        </w:tc>
      </w:tr>
      <w:tr>
        <w:tc>
          <w:tcPr>
            <w:tcW w:type="dxa" w:w="2400"/>
            <w:tcMar>
              <w:top w:w="90" w:type="dxa"/>
              <w:start w:w="120" w:type="dxa"/>
              <w:bottom w:w="90" w:type="dxa"/>
              <w:end w:w="120" w:type="dxa"/>
            </w:tcMar>
            <w:vAlign w:val="center"/>
          </w:tcPr>
          <w:p>
            <w:pPr>
              <w:spacing w:after="0" w:line="252" w:lineRule="auto"/>
            </w:pPr>
            <w:r>
              <w:rPr>
                <w:sz w:val="18"/>
              </w:rPr>
              <w:t>possible_causes</w:t>
            </w:r>
          </w:p>
        </w:tc>
        <w:tc>
          <w:tcPr>
            <w:tcW w:type="dxa" w:w="6960"/>
            <w:tcMar>
              <w:top w:w="90" w:type="dxa"/>
              <w:start w:w="120" w:type="dxa"/>
              <w:bottom w:w="90" w:type="dxa"/>
              <w:end w:w="120" w:type="dxa"/>
            </w:tcMar>
            <w:vAlign w:val="center"/>
          </w:tcPr>
          <w:p>
            <w:pPr>
              <w:spacing w:after="0" w:line="252" w:lineRule="auto"/>
            </w:pPr>
            <w:r>
              <w:rPr>
                <w:sz w:val="18"/>
              </w:rPr>
              <w:t>Evidence-linked hypotheses with uncertainty.</w:t>
            </w:r>
          </w:p>
        </w:tc>
      </w:tr>
      <w:tr>
        <w:tc>
          <w:tcPr>
            <w:tcW w:type="dxa" w:w="2400"/>
            <w:tcMar>
              <w:top w:w="90" w:type="dxa"/>
              <w:start w:w="120" w:type="dxa"/>
              <w:bottom w:w="90" w:type="dxa"/>
              <w:end w:w="120" w:type="dxa"/>
            </w:tcMar>
            <w:vAlign w:val="center"/>
          </w:tcPr>
          <w:p>
            <w:pPr>
              <w:spacing w:after="0" w:line="252" w:lineRule="auto"/>
            </w:pPr>
            <w:r>
              <w:rPr>
                <w:sz w:val="18"/>
              </w:rPr>
              <w:t>ambiguity</w:t>
            </w:r>
          </w:p>
        </w:tc>
        <w:tc>
          <w:tcPr>
            <w:tcW w:type="dxa" w:w="6960"/>
            <w:tcMar>
              <w:top w:w="90" w:type="dxa"/>
              <w:start w:w="120" w:type="dxa"/>
              <w:bottom w:w="90" w:type="dxa"/>
              <w:end w:w="120" w:type="dxa"/>
            </w:tcMar>
            <w:vAlign w:val="center"/>
          </w:tcPr>
          <w:p>
            <w:pPr>
              <w:spacing w:after="0" w:line="252" w:lineRule="auto"/>
            </w:pPr>
            <w:r>
              <w:rPr>
                <w:sz w:val="18"/>
              </w:rPr>
              <w:t>Competing interpretations or emotions.</w:t>
            </w:r>
          </w:p>
        </w:tc>
      </w:tr>
      <w:tr>
        <w:tc>
          <w:tcPr>
            <w:tcW w:type="dxa" w:w="2400"/>
            <w:tcMar>
              <w:top w:w="90" w:type="dxa"/>
              <w:start w:w="120" w:type="dxa"/>
              <w:bottom w:w="90" w:type="dxa"/>
              <w:end w:w="120" w:type="dxa"/>
            </w:tcMar>
            <w:vAlign w:val="center"/>
          </w:tcPr>
          <w:p>
            <w:pPr>
              <w:spacing w:after="0" w:line="252" w:lineRule="auto"/>
            </w:pPr>
            <w:r>
              <w:rPr>
                <w:sz w:val="18"/>
              </w:rPr>
              <w:t>regulation_hint</w:t>
            </w:r>
          </w:p>
        </w:tc>
        <w:tc>
          <w:tcPr>
            <w:tcW w:type="dxa" w:w="6960"/>
            <w:tcMar>
              <w:top w:w="90" w:type="dxa"/>
              <w:start w:w="120" w:type="dxa"/>
              <w:bottom w:w="90" w:type="dxa"/>
              <w:end w:w="120" w:type="dxa"/>
            </w:tcMar>
            <w:vAlign w:val="center"/>
          </w:tcPr>
          <w:p>
            <w:pPr>
              <w:spacing w:after="0" w:line="252" w:lineRule="auto"/>
            </w:pPr>
            <w:r>
              <w:rPr>
                <w:sz w:val="18"/>
              </w:rPr>
              <w:t>Optional safe strategy suggestion.</w:t>
            </w:r>
          </w:p>
        </w:tc>
      </w:tr>
      <w:tr>
        <w:tc>
          <w:tcPr>
            <w:tcW w:type="dxa" w:w="2400"/>
            <w:tcMar>
              <w:top w:w="90" w:type="dxa"/>
              <w:start w:w="120" w:type="dxa"/>
              <w:bottom w:w="90" w:type="dxa"/>
              <w:end w:w="120" w:type="dxa"/>
            </w:tcMar>
            <w:vAlign w:val="center"/>
          </w:tcPr>
          <w:p>
            <w:pPr>
              <w:spacing w:after="0" w:line="252" w:lineRule="auto"/>
            </w:pPr>
            <w:r>
              <w:rPr>
                <w:sz w:val="18"/>
              </w:rPr>
              <w:t>valid_until_revision</w:t>
            </w:r>
          </w:p>
        </w:tc>
        <w:tc>
          <w:tcPr>
            <w:tcW w:type="dxa" w:w="6960"/>
            <w:tcMar>
              <w:top w:w="90" w:type="dxa"/>
              <w:start w:w="120" w:type="dxa"/>
              <w:bottom w:w="90" w:type="dxa"/>
              <w:end w:w="120" w:type="dxa"/>
            </w:tcMar>
            <w:vAlign w:val="center"/>
          </w:tcPr>
          <w:p>
            <w:pPr>
              <w:spacing w:after="0" w:line="252" w:lineRule="auto"/>
            </w:pPr>
            <w:r>
              <w:rPr>
                <w:sz w:val="18"/>
              </w:rPr>
              <w:t>State revision after which the view is stale.</w:t>
            </w:r>
          </w:p>
        </w:tc>
      </w:tr>
    </w:tbl>
    <w:p>
      <w:pPr>
        <w:spacing w:after="0"/>
      </w:pPr>
    </w:p>
    <w:p>
      <w:pPr>
        <w:pStyle w:val="Heading2"/>
      </w:pPr>
      <w:r>
        <w:t>10.3 Imperfect self-knowledge</w:t>
      </w:r>
    </w:p>
    <w:p>
      <w:pPr>
        <w:pStyle w:val="ListBullet"/>
      </w:pPr>
      <w:r>
        <w:t>Low-intensity emotions may remain below awareness threshold.</w:t>
      </w:r>
    </w:p>
    <w:p>
      <w:pPr>
        <w:pStyle w:val="ListBullet"/>
      </w:pPr>
      <w:r>
        <w:t>Similar signatures may be reported ambiguously, such as anger versus fear.</w:t>
      </w:r>
    </w:p>
    <w:p>
      <w:pPr>
        <w:pStyle w:val="ListBullet"/>
      </w:pPr>
      <w:r>
        <w:t>Cause attribution may be incomplete or wrong within configured bounds.</w:t>
      </w:r>
    </w:p>
    <w:p>
      <w:pPr>
        <w:pStyle w:val="ListBullet"/>
      </w:pPr>
      <w:r>
        <w:t>Noise MUST be seeded and recorded for deterministic replay.</w:t>
      </w:r>
    </w:p>
    <w:p>
      <w:pPr>
        <w:pStyle w:val="Heading2"/>
      </w:pPr>
      <w:r>
        <w:t>10.4 Separation from self-report</w:t>
      </w:r>
    </w:p>
    <w:p>
      <w:r>
        <w:rPr>
          <w:i w:val="0"/>
        </w:rPr>
        <w:t>The acting agent may produce a self-report after receiving interoception. That report is stored separately as non-authoritative evidence and cannot overwrite state.</w:t>
      </w:r>
    </w:p>
    <w:p>
      <w:pPr>
        <w:pStyle w:val="Heading1"/>
      </w:pPr>
      <w:r>
        <w:t>11. Memory-conditioned affect</w:t>
      </w:r>
    </w:p>
    <w:p>
      <w:pPr>
        <w:pStyle w:val="Heading2"/>
      </w:pPr>
      <w:r>
        <w:t>11.1 Memory bias</w:t>
      </w:r>
    </w:p>
    <w:p>
      <w:pPr>
        <w:spacing w:before="120" w:after="160"/>
        <w:jc w:val="center"/>
      </w:pPr>
      <w:r>
        <w:rPr>
          <w:rFonts w:ascii="Cambria Math" w:hAnsi="Cambria Math"/>
          <w:i/>
          <w:color w:val="17365D"/>
          <w:sz w:val="22"/>
        </w:rPr>
        <w:t>Bmemory = Σk similarity(event, memoryk) · confidencek · outcome_weightk · decayk</w:t>
      </w:r>
    </w:p>
    <w:p>
      <w:r>
        <w:rPr>
          <w:i w:val="0"/>
        </w:rPr>
        <w:t>Memory bias modifies appraisal targets within a strict cap. It never directly sets emotion intensity.</w:t>
      </w:r>
    </w:p>
    <w:p>
      <w:pPr>
        <w:pStyle w:val="Heading2"/>
      </w:pPr>
      <w:r>
        <w:t>11.2 Conditioning</w:t>
      </w:r>
    </w:p>
    <w:p>
      <w:pPr>
        <w:pStyle w:val="ListBullet"/>
      </w:pPr>
      <w:r>
        <w:t>Repeated context-outcome pairings increase association confidence gradually.</w:t>
      </w:r>
    </w:p>
    <w:p>
      <w:pPr>
        <w:pStyle w:val="ListBullet"/>
      </w:pPr>
      <w:r>
        <w:t>Learning rate depends on outcome salience, prediction error, trust, and repetition.</w:t>
      </w:r>
    </w:p>
    <w:p>
      <w:pPr>
        <w:pStyle w:val="ListBullet"/>
      </w:pPr>
      <w:r>
        <w:t>Single untrusted statements receive minimal durable weight.</w:t>
      </w:r>
    </w:p>
    <w:p>
      <w:pPr>
        <w:pStyle w:val="Heading2"/>
      </w:pPr>
      <w:r>
        <w:t>11.3 Extinction</w:t>
      </w:r>
    </w:p>
    <w:p>
      <w:r>
        <w:rPr>
          <w:i w:val="0"/>
        </w:rPr>
        <w:t>When a conditioned prediction repeatedly fails, association confidence decays. Extinction creates new learning; it does not erase the historical association.</w:t>
      </w:r>
    </w:p>
    <w:p>
      <w:pPr>
        <w:pStyle w:val="Heading2"/>
      </w:pPr>
      <w:r>
        <w:t>11.4 Generalization</w:t>
      </w:r>
    </w:p>
    <w:p>
      <w:pPr>
        <w:pStyle w:val="ListBullet"/>
      </w:pPr>
      <w:r>
        <w:t>Generalization is limited by context similarity and identity boundaries.</w:t>
      </w:r>
    </w:p>
    <w:p>
      <w:pPr>
        <w:pStyle w:val="ListBullet"/>
      </w:pPr>
      <w:r>
        <w:t>Relationship-specific learning does not automatically transfer to unrelated actors.</w:t>
      </w:r>
    </w:p>
    <w:p>
      <w:pPr>
        <w:pStyle w:val="ListBullet"/>
      </w:pPr>
      <w:r>
        <w:t>Broad threat generalization is capped and flagged for evaluation.</w:t>
      </w:r>
    </w:p>
    <w:p>
      <w:pPr>
        <w:pStyle w:val="Heading1"/>
      </w:pPr>
      <w:r>
        <w:t>12. Confidence and uncertainty</w:t>
      </w:r>
    </w:p>
    <w:p>
      <w:pPr>
        <w:pStyle w:val="Heading2"/>
      </w:pPr>
      <w:r>
        <w:t>12.1 Distinct quantities</w:t>
      </w:r>
    </w:p>
    <w:tbl>
      <w:tblPr>
        <w:tblStyle w:val="TableGrid"/>
        <w:tblW w:type="dxa" w:w="9360"/>
        <w:jc w:val="center"/>
        <w:tblLayout w:type="fixed"/>
        <w:tblLook w:firstColumn="1" w:firstRow="1" w:lastColumn="0" w:lastRow="0" w:noHBand="0" w:noVBand="1" w:val="04A0"/>
        <w:tblInd w:w="120" w:type="dxa"/>
      </w:tblPr>
      <w:tblGrid>
        <w:gridCol w:w="2500"/>
        <w:gridCol w:w="3600"/>
        <w:gridCol w:w="3260"/>
      </w:tblGrid>
      <w:tr>
        <w:trPr>
          <w:tblHeader w:val="true"/>
        </w:trPr>
        <w:tc>
          <w:tcPr>
            <w:tcW w:type="dxa" w:w="2500"/>
            <w:shd w:fill="E8EEF5"/>
            <w:tcMar>
              <w:top w:w="90" w:type="dxa"/>
              <w:start w:w="120" w:type="dxa"/>
              <w:bottom w:w="90" w:type="dxa"/>
              <w:end w:w="120" w:type="dxa"/>
            </w:tcMar>
            <w:vAlign w:val="center"/>
          </w:tcPr>
          <w:p>
            <w:pPr>
              <w:spacing w:after="0"/>
            </w:pPr>
            <w:r>
              <w:rPr>
                <w:b/>
                <w:color w:val="17365D"/>
                <w:sz w:val="18"/>
              </w:rPr>
              <w:t>Quantity</w:t>
            </w:r>
          </w:p>
        </w:tc>
        <w:tc>
          <w:tcPr>
            <w:tcW w:type="dxa" w:w="3600"/>
            <w:shd w:fill="E8EEF5"/>
            <w:tcMar>
              <w:top w:w="90" w:type="dxa"/>
              <w:start w:w="120" w:type="dxa"/>
              <w:bottom w:w="90" w:type="dxa"/>
              <w:end w:w="120" w:type="dxa"/>
            </w:tcMar>
            <w:vAlign w:val="center"/>
          </w:tcPr>
          <w:p>
            <w:pPr>
              <w:spacing w:after="0"/>
            </w:pPr>
            <w:r>
              <w:rPr>
                <w:b/>
                <w:color w:val="17365D"/>
                <w:sz w:val="18"/>
              </w:rPr>
              <w:t>Question</w:t>
            </w:r>
          </w:p>
        </w:tc>
        <w:tc>
          <w:tcPr>
            <w:tcW w:type="dxa" w:w="3260"/>
            <w:shd w:fill="E8EEF5"/>
            <w:tcMar>
              <w:top w:w="90" w:type="dxa"/>
              <w:start w:w="120" w:type="dxa"/>
              <w:bottom w:w="90" w:type="dxa"/>
              <w:end w:w="120" w:type="dxa"/>
            </w:tcMar>
            <w:vAlign w:val="center"/>
          </w:tcPr>
          <w:p>
            <w:pPr>
              <w:spacing w:after="0"/>
            </w:pPr>
            <w:r>
              <w:rPr>
                <w:b/>
                <w:color w:val="17365D"/>
                <w:sz w:val="18"/>
              </w:rPr>
              <w:t>Example</w:t>
            </w:r>
          </w:p>
        </w:tc>
      </w:tr>
      <w:tr>
        <w:tc>
          <w:tcPr>
            <w:tcW w:type="dxa" w:w="2500"/>
            <w:tcMar>
              <w:top w:w="90" w:type="dxa"/>
              <w:start w:w="120" w:type="dxa"/>
              <w:bottom w:w="90" w:type="dxa"/>
              <w:end w:w="120" w:type="dxa"/>
            </w:tcMar>
            <w:vAlign w:val="center"/>
          </w:tcPr>
          <w:p>
            <w:pPr>
              <w:spacing w:after="0" w:line="252" w:lineRule="auto"/>
            </w:pPr>
            <w:r>
              <w:rPr>
                <w:sz w:val="18"/>
              </w:rPr>
              <w:t>Emotion intensity</w:t>
            </w:r>
          </w:p>
        </w:tc>
        <w:tc>
          <w:tcPr>
            <w:tcW w:type="dxa" w:w="3600"/>
            <w:tcMar>
              <w:top w:w="90" w:type="dxa"/>
              <w:start w:w="120" w:type="dxa"/>
              <w:bottom w:w="90" w:type="dxa"/>
              <w:end w:w="120" w:type="dxa"/>
            </w:tcMar>
            <w:vAlign w:val="center"/>
          </w:tcPr>
          <w:p>
            <w:pPr>
              <w:spacing w:after="0" w:line="252" w:lineRule="auto"/>
            </w:pPr>
            <w:r>
              <w:rPr>
                <w:sz w:val="18"/>
              </w:rPr>
              <w:t>How active is the operational state?</w:t>
            </w:r>
          </w:p>
        </w:tc>
        <w:tc>
          <w:tcPr>
            <w:tcW w:type="dxa" w:w="3260"/>
            <w:tcMar>
              <w:top w:w="90" w:type="dxa"/>
              <w:start w:w="120" w:type="dxa"/>
              <w:bottom w:w="90" w:type="dxa"/>
              <w:end w:w="120" w:type="dxa"/>
            </w:tcMar>
            <w:vAlign w:val="center"/>
          </w:tcPr>
          <w:p>
            <w:pPr>
              <w:spacing w:after="0" w:line="252" w:lineRule="auto"/>
            </w:pPr>
            <w:r>
              <w:rPr>
                <w:sz w:val="18"/>
              </w:rPr>
              <w:t>Fear intensity 0.70</w:t>
            </w:r>
          </w:p>
        </w:tc>
      </w:tr>
      <w:tr>
        <w:tc>
          <w:tcPr>
            <w:tcW w:type="dxa" w:w="2500"/>
            <w:tcMar>
              <w:top w:w="90" w:type="dxa"/>
              <w:start w:w="120" w:type="dxa"/>
              <w:bottom w:w="90" w:type="dxa"/>
              <w:end w:w="120" w:type="dxa"/>
            </w:tcMar>
            <w:vAlign w:val="center"/>
          </w:tcPr>
          <w:p>
            <w:pPr>
              <w:spacing w:after="0" w:line="252" w:lineRule="auto"/>
            </w:pPr>
            <w:r>
              <w:rPr>
                <w:sz w:val="18"/>
              </w:rPr>
              <w:t>Appraisal confidence</w:t>
            </w:r>
          </w:p>
        </w:tc>
        <w:tc>
          <w:tcPr>
            <w:tcW w:type="dxa" w:w="3600"/>
            <w:tcMar>
              <w:top w:w="90" w:type="dxa"/>
              <w:start w:w="120" w:type="dxa"/>
              <w:bottom w:w="90" w:type="dxa"/>
              <w:end w:w="120" w:type="dxa"/>
            </w:tcMar>
            <w:vAlign w:val="center"/>
          </w:tcPr>
          <w:p>
            <w:pPr>
              <w:spacing w:after="0" w:line="252" w:lineRule="auto"/>
            </w:pPr>
            <w:r>
              <w:rPr>
                <w:sz w:val="18"/>
              </w:rPr>
              <w:t>How reliable is the interpretation?</w:t>
            </w:r>
          </w:p>
        </w:tc>
        <w:tc>
          <w:tcPr>
            <w:tcW w:type="dxa" w:w="3260"/>
            <w:tcMar>
              <w:top w:w="90" w:type="dxa"/>
              <w:start w:w="120" w:type="dxa"/>
              <w:bottom w:w="90" w:type="dxa"/>
              <w:end w:w="120" w:type="dxa"/>
            </w:tcMar>
            <w:vAlign w:val="center"/>
          </w:tcPr>
          <w:p>
            <w:pPr>
              <w:spacing w:after="0" w:line="252" w:lineRule="auto"/>
            </w:pPr>
            <w:r>
              <w:rPr>
                <w:sz w:val="18"/>
              </w:rPr>
              <w:t>Threat appraisal confidence 0.45</w:t>
            </w:r>
          </w:p>
        </w:tc>
      </w:tr>
      <w:tr>
        <w:tc>
          <w:tcPr>
            <w:tcW w:type="dxa" w:w="2500"/>
            <w:tcMar>
              <w:top w:w="90" w:type="dxa"/>
              <w:start w:w="120" w:type="dxa"/>
              <w:bottom w:w="90" w:type="dxa"/>
              <w:end w:w="120" w:type="dxa"/>
            </w:tcMar>
            <w:vAlign w:val="center"/>
          </w:tcPr>
          <w:p>
            <w:pPr>
              <w:spacing w:after="0" w:line="252" w:lineRule="auto"/>
            </w:pPr>
            <w:r>
              <w:rPr>
                <w:sz w:val="18"/>
              </w:rPr>
              <w:t>Emotion-identification confidence</w:t>
            </w:r>
          </w:p>
        </w:tc>
        <w:tc>
          <w:tcPr>
            <w:tcW w:type="dxa" w:w="3600"/>
            <w:tcMar>
              <w:top w:w="90" w:type="dxa"/>
              <w:start w:w="120" w:type="dxa"/>
              <w:bottom w:w="90" w:type="dxa"/>
              <w:end w:w="120" w:type="dxa"/>
            </w:tcMar>
            <w:vAlign w:val="center"/>
          </w:tcPr>
          <w:p>
            <w:pPr>
              <w:spacing w:after="0" w:line="252" w:lineRule="auto"/>
            </w:pPr>
            <w:r>
              <w:rPr>
                <w:sz w:val="18"/>
              </w:rPr>
              <w:t>How sure are we about the label?</w:t>
            </w:r>
          </w:p>
        </w:tc>
        <w:tc>
          <w:tcPr>
            <w:tcW w:type="dxa" w:w="3260"/>
            <w:tcMar>
              <w:top w:w="90" w:type="dxa"/>
              <w:start w:w="120" w:type="dxa"/>
              <w:bottom w:w="90" w:type="dxa"/>
              <w:end w:w="120" w:type="dxa"/>
            </w:tcMar>
            <w:vAlign w:val="center"/>
          </w:tcPr>
          <w:p>
            <w:pPr>
              <w:spacing w:after="0" w:line="252" w:lineRule="auto"/>
            </w:pPr>
            <w:r>
              <w:rPr>
                <w:sz w:val="18"/>
              </w:rPr>
              <w:t>Fear vs surprise remains ambiguous</w:t>
            </w:r>
          </w:p>
        </w:tc>
      </w:tr>
      <w:tr>
        <w:tc>
          <w:tcPr>
            <w:tcW w:type="dxa" w:w="2500"/>
            <w:tcMar>
              <w:top w:w="90" w:type="dxa"/>
              <w:start w:w="120" w:type="dxa"/>
              <w:bottom w:w="90" w:type="dxa"/>
              <w:end w:w="120" w:type="dxa"/>
            </w:tcMar>
            <w:vAlign w:val="center"/>
          </w:tcPr>
          <w:p>
            <w:pPr>
              <w:spacing w:after="0" w:line="252" w:lineRule="auto"/>
            </w:pPr>
            <w:r>
              <w:rPr>
                <w:sz w:val="18"/>
              </w:rPr>
              <w:t>Cause confidence</w:t>
            </w:r>
          </w:p>
        </w:tc>
        <w:tc>
          <w:tcPr>
            <w:tcW w:type="dxa" w:w="3600"/>
            <w:tcMar>
              <w:top w:w="90" w:type="dxa"/>
              <w:start w:w="120" w:type="dxa"/>
              <w:bottom w:w="90" w:type="dxa"/>
              <w:end w:w="120" w:type="dxa"/>
            </w:tcMar>
            <w:vAlign w:val="center"/>
          </w:tcPr>
          <w:p>
            <w:pPr>
              <w:spacing w:after="0" w:line="252" w:lineRule="auto"/>
            </w:pPr>
            <w:r>
              <w:rPr>
                <w:sz w:val="18"/>
              </w:rPr>
              <w:t>How sure are we about why it changed?</w:t>
            </w:r>
          </w:p>
        </w:tc>
        <w:tc>
          <w:tcPr>
            <w:tcW w:type="dxa" w:w="3260"/>
            <w:tcMar>
              <w:top w:w="90" w:type="dxa"/>
              <w:start w:w="120" w:type="dxa"/>
              <w:bottom w:w="90" w:type="dxa"/>
              <w:end w:w="120" w:type="dxa"/>
            </w:tcMar>
            <w:vAlign w:val="center"/>
          </w:tcPr>
          <w:p>
            <w:pPr>
              <w:spacing w:after="0" w:line="252" w:lineRule="auto"/>
            </w:pPr>
            <w:r>
              <w:rPr>
                <w:sz w:val="18"/>
              </w:rPr>
              <w:t>Likely criticism; alternative is system failure</w:t>
            </w:r>
          </w:p>
        </w:tc>
      </w:tr>
      <w:tr>
        <w:tc>
          <w:tcPr>
            <w:tcW w:type="dxa" w:w="2500"/>
            <w:tcMar>
              <w:top w:w="90" w:type="dxa"/>
              <w:start w:w="120" w:type="dxa"/>
              <w:bottom w:w="90" w:type="dxa"/>
              <w:end w:w="120" w:type="dxa"/>
            </w:tcMar>
            <w:vAlign w:val="center"/>
          </w:tcPr>
          <w:p>
            <w:pPr>
              <w:spacing w:after="0" w:line="252" w:lineRule="auto"/>
            </w:pPr>
            <w:r>
              <w:rPr>
                <w:sz w:val="18"/>
              </w:rPr>
              <w:t>Model quality</w:t>
            </w:r>
          </w:p>
        </w:tc>
        <w:tc>
          <w:tcPr>
            <w:tcW w:type="dxa" w:w="3600"/>
            <w:tcMar>
              <w:top w:w="90" w:type="dxa"/>
              <w:start w:w="120" w:type="dxa"/>
              <w:bottom w:w="90" w:type="dxa"/>
              <w:end w:w="120" w:type="dxa"/>
            </w:tcMar>
            <w:vAlign w:val="center"/>
          </w:tcPr>
          <w:p>
            <w:pPr>
              <w:spacing w:after="0" w:line="252" w:lineRule="auto"/>
            </w:pPr>
            <w:r>
              <w:rPr>
                <w:sz w:val="18"/>
              </w:rPr>
              <w:t>Is the state based on complete, timely inputs?</w:t>
            </w:r>
          </w:p>
        </w:tc>
        <w:tc>
          <w:tcPr>
            <w:tcW w:type="dxa" w:w="3260"/>
            <w:tcMar>
              <w:top w:w="90" w:type="dxa"/>
              <w:start w:w="120" w:type="dxa"/>
              <w:bottom w:w="90" w:type="dxa"/>
              <w:end w:w="120" w:type="dxa"/>
            </w:tcMar>
            <w:vAlign w:val="center"/>
          </w:tcPr>
          <w:p>
            <w:pPr>
              <w:spacing w:after="0" w:line="252" w:lineRule="auto"/>
            </w:pPr>
            <w:r>
              <w:rPr>
                <w:sz w:val="18"/>
              </w:rPr>
              <w:t>Late event lowers quality flag</w:t>
            </w:r>
          </w:p>
        </w:tc>
      </w:tr>
    </w:tbl>
    <w:p>
      <w:pPr>
        <w:spacing w:after="0"/>
      </w:pPr>
    </w:p>
    <w:p>
      <w:pPr>
        <w:pStyle w:val="Heading2"/>
      </w:pPr>
      <w:r>
        <w:t>12.2 Propagation</w:t>
      </w:r>
    </w:p>
    <w:p>
      <w:r>
        <w:rPr>
          <w:i w:val="0"/>
        </w:rPr>
        <w:t>Low appraisal confidence attenuates the delta and increases interoceptive ambiguity. Confidence MUST NOT be multiplied repeatedly in a way that collapses all weak signals to zero.</w:t>
      </w:r>
    </w:p>
    <w:p>
      <w:pPr>
        <w:pStyle w:val="Heading2"/>
      </w:pPr>
      <w:r>
        <w:t>12.3 Missing information</w:t>
      </w:r>
    </w:p>
    <w:p>
      <w:r>
        <w:rPr>
          <w:i w:val="0"/>
        </w:rPr>
        <w:t>Missing values remain missing. The system MAY use a configured prior for calculation, but provenance must show that a prior—not evidence—supplied the value.</w:t>
      </w:r>
    </w:p>
    <w:p>
      <w:pPr>
        <w:pStyle w:val="Heading1"/>
      </w:pPr>
      <w:r>
        <w:t>13. Configuration and profiles</w:t>
      </w:r>
    </w:p>
    <w:p>
      <w:pPr>
        <w:pStyle w:val="Heading2"/>
      </w:pPr>
      <w:r>
        <w:t>13.1 Profile contents</w:t>
      </w:r>
    </w:p>
    <w:p>
      <w:pPr>
        <w:pStyle w:val="ListBullet"/>
      </w:pPr>
      <w:r>
        <w:t>Emotion baselines, half-lives, inertia, rise/fall caps, and saturation exponents.</w:t>
      </w:r>
    </w:p>
    <w:p>
      <w:pPr>
        <w:pStyle w:val="ListBullet"/>
      </w:pPr>
      <w:r>
        <w:t>Appraisal-to-emotion and emotion-to-tendency weights.</w:t>
      </w:r>
    </w:p>
    <w:p>
      <w:pPr>
        <w:pStyle w:val="ListBullet"/>
      </w:pPr>
      <w:r>
        <w:t>Core-affect and mood smoothing rates.</w:t>
      </w:r>
    </w:p>
    <w:p>
      <w:pPr>
        <w:pStyle w:val="ListBullet"/>
      </w:pPr>
      <w:r>
        <w:t>Interoceptive acuity, thresholds, and noise.</w:t>
      </w:r>
    </w:p>
    <w:p>
      <w:pPr>
        <w:pStyle w:val="ListBullet"/>
      </w:pPr>
      <w:r>
        <w:t>Memory learning/generalization caps.</w:t>
      </w:r>
    </w:p>
    <w:p>
      <w:pPr>
        <w:pStyle w:val="ListBullet"/>
      </w:pPr>
      <w:r>
        <w:t>Slow-path trigger thresholds.</w:t>
      </w:r>
    </w:p>
    <w:p>
      <w:pPr>
        <w:pStyle w:val="Heading2"/>
      </w:pPr>
      <w:r>
        <w:t>13.2 Profile constraints</w:t>
      </w:r>
    </w:p>
    <w:p>
      <w:pPr>
        <w:pStyle w:val="ListBullet"/>
      </w:pPr>
      <w:r>
        <w:t>Profiles are named computational configurations, not mental-health or personality diagnoses.</w:t>
      </w:r>
    </w:p>
    <w:p>
      <w:pPr>
        <w:pStyle w:val="ListBullet"/>
      </w:pPr>
      <w:r>
        <w:t>Every transition records the exact profile version.</w:t>
      </w:r>
    </w:p>
    <w:p>
      <w:pPr>
        <w:pStyle w:val="ListBullet"/>
      </w:pPr>
      <w:r>
        <w:t>Profile changes create a migration transition and never silently reinterpret history.</w:t>
      </w:r>
    </w:p>
    <w:p>
      <w:pPr>
        <w:pStyle w:val="ListBullet"/>
      </w:pPr>
      <w:r>
        <w:t>Unsafe values fail validation before activation.</w:t>
      </w:r>
    </w:p>
    <w:p>
      <w:pPr>
        <w:pStyle w:val="Heading2"/>
      </w:pPr>
      <w:r>
        <w:t>13.3 Baseline profile strategy</w:t>
      </w:r>
    </w:p>
    <w:p>
      <w:r>
        <w:rPr>
          <w:i w:val="0"/>
        </w:rPr>
        <w:t>The MVP should ship one conservative default profile. Variation should be introduced only for controlled experiments, one parameter family at a time.</w:t>
      </w:r>
    </w:p>
    <w:p>
      <w:pPr>
        <w:pStyle w:val="Heading1"/>
      </w:pPr>
      <w:r>
        <w:t>14. Invariants and edge cases</w:t>
      </w:r>
    </w:p>
    <w:tbl>
      <w:tblPr>
        <w:tblStyle w:val="TableGrid"/>
        <w:tblW w:type="dxa" w:w="9360"/>
        <w:jc w:val="center"/>
        <w:tblLayout w:type="fixed"/>
        <w:tblLook w:firstColumn="1" w:firstRow="1" w:lastColumn="0" w:lastRow="0" w:noHBand="0" w:noVBand="1" w:val="04A0"/>
        <w:tblInd w:w="120" w:type="dxa"/>
      </w:tblPr>
      <w:tblGrid>
        <w:gridCol w:w="2800"/>
        <w:gridCol w:w="6560"/>
      </w:tblGrid>
      <w:tr>
        <w:trPr>
          <w:tblHeader w:val="true"/>
        </w:trPr>
        <w:tc>
          <w:tcPr>
            <w:tcW w:type="dxa" w:w="2800"/>
            <w:shd w:fill="E8EEF5"/>
            <w:tcMar>
              <w:top w:w="90" w:type="dxa"/>
              <w:start w:w="120" w:type="dxa"/>
              <w:bottom w:w="90" w:type="dxa"/>
              <w:end w:w="120" w:type="dxa"/>
            </w:tcMar>
            <w:vAlign w:val="center"/>
          </w:tcPr>
          <w:p>
            <w:pPr>
              <w:spacing w:after="0"/>
            </w:pPr>
            <w:r>
              <w:rPr>
                <w:b/>
                <w:color w:val="17365D"/>
                <w:sz w:val="18"/>
              </w:rPr>
              <w:t>Invariant / case</w:t>
            </w:r>
          </w:p>
        </w:tc>
        <w:tc>
          <w:tcPr>
            <w:tcW w:type="dxa" w:w="6560"/>
            <w:shd w:fill="E8EEF5"/>
            <w:tcMar>
              <w:top w:w="90" w:type="dxa"/>
              <w:start w:w="120" w:type="dxa"/>
              <w:bottom w:w="90" w:type="dxa"/>
              <w:end w:w="120" w:type="dxa"/>
            </w:tcMar>
            <w:vAlign w:val="center"/>
          </w:tcPr>
          <w:p>
            <w:pPr>
              <w:spacing w:after="0"/>
            </w:pPr>
            <w:r>
              <w:rPr>
                <w:b/>
                <w:color w:val="17365D"/>
                <w:sz w:val="18"/>
              </w:rPr>
              <w:t>Required behavior</w:t>
            </w:r>
          </w:p>
        </w:tc>
      </w:tr>
      <w:tr>
        <w:tc>
          <w:tcPr>
            <w:tcW w:type="dxa" w:w="2800"/>
            <w:tcMar>
              <w:top w:w="90" w:type="dxa"/>
              <w:start w:w="120" w:type="dxa"/>
              <w:bottom w:w="90" w:type="dxa"/>
              <w:end w:w="120" w:type="dxa"/>
            </w:tcMar>
            <w:vAlign w:val="center"/>
          </w:tcPr>
          <w:p>
            <w:pPr>
              <w:spacing w:after="0" w:line="252" w:lineRule="auto"/>
            </w:pPr>
            <w:r>
              <w:rPr>
                <w:sz w:val="18"/>
              </w:rPr>
              <w:t>Bounds</w:t>
            </w:r>
          </w:p>
        </w:tc>
        <w:tc>
          <w:tcPr>
            <w:tcW w:type="dxa" w:w="6560"/>
            <w:tcMar>
              <w:top w:w="90" w:type="dxa"/>
              <w:start w:w="120" w:type="dxa"/>
              <w:bottom w:w="90" w:type="dxa"/>
              <w:end w:w="120" w:type="dxa"/>
            </w:tcMar>
            <w:vAlign w:val="center"/>
          </w:tcPr>
          <w:p>
            <w:pPr>
              <w:spacing w:after="0" w:line="252" w:lineRule="auto"/>
            </w:pPr>
            <w:r>
              <w:rPr>
                <w:sz w:val="18"/>
              </w:rPr>
              <w:t>All intensities and tendencies remain within 0..1; valence/control within -1..1.</w:t>
            </w:r>
          </w:p>
        </w:tc>
      </w:tr>
      <w:tr>
        <w:tc>
          <w:tcPr>
            <w:tcW w:type="dxa" w:w="2800"/>
            <w:tcMar>
              <w:top w:w="90" w:type="dxa"/>
              <w:start w:w="120" w:type="dxa"/>
              <w:bottom w:w="90" w:type="dxa"/>
              <w:end w:w="120" w:type="dxa"/>
            </w:tcMar>
            <w:vAlign w:val="center"/>
          </w:tcPr>
          <w:p>
            <w:pPr>
              <w:spacing w:after="0" w:line="252" w:lineRule="auto"/>
            </w:pPr>
            <w:r>
              <w:rPr>
                <w:sz w:val="18"/>
              </w:rPr>
              <w:t>No NaN/Infinity</w:t>
            </w:r>
          </w:p>
        </w:tc>
        <w:tc>
          <w:tcPr>
            <w:tcW w:type="dxa" w:w="6560"/>
            <w:tcMar>
              <w:top w:w="90" w:type="dxa"/>
              <w:start w:w="120" w:type="dxa"/>
              <w:bottom w:w="90" w:type="dxa"/>
              <w:end w:w="120" w:type="dxa"/>
            </w:tcMar>
            <w:vAlign w:val="center"/>
          </w:tcPr>
          <w:p>
            <w:pPr>
              <w:spacing w:after="0" w:line="252" w:lineRule="auto"/>
            </w:pPr>
            <w:r>
              <w:rPr>
                <w:sz w:val="18"/>
              </w:rPr>
              <w:t>Reject transition and preserve prior state.</w:t>
            </w:r>
          </w:p>
        </w:tc>
      </w:tr>
      <w:tr>
        <w:tc>
          <w:tcPr>
            <w:tcW w:type="dxa" w:w="2800"/>
            <w:tcMar>
              <w:top w:w="90" w:type="dxa"/>
              <w:start w:w="120" w:type="dxa"/>
              <w:bottom w:w="90" w:type="dxa"/>
              <w:end w:w="120" w:type="dxa"/>
            </w:tcMar>
            <w:vAlign w:val="center"/>
          </w:tcPr>
          <w:p>
            <w:pPr>
              <w:spacing w:after="0" w:line="252" w:lineRule="auto"/>
            </w:pPr>
            <w:r>
              <w:rPr>
                <w:sz w:val="18"/>
              </w:rPr>
              <w:t>Zero elapsed time</w:t>
            </w:r>
          </w:p>
        </w:tc>
        <w:tc>
          <w:tcPr>
            <w:tcW w:type="dxa" w:w="6560"/>
            <w:tcMar>
              <w:top w:w="90" w:type="dxa"/>
              <w:start w:w="120" w:type="dxa"/>
              <w:bottom w:w="90" w:type="dxa"/>
              <w:end w:w="120" w:type="dxa"/>
            </w:tcMar>
            <w:vAlign w:val="center"/>
          </w:tcPr>
          <w:p>
            <w:pPr>
              <w:spacing w:after="0" w:line="252" w:lineRule="auto"/>
            </w:pPr>
            <w:r>
              <w:rPr>
                <w:sz w:val="18"/>
              </w:rPr>
              <w:t>No decay; appraisal may still change state.</w:t>
            </w:r>
          </w:p>
        </w:tc>
      </w:tr>
      <w:tr>
        <w:tc>
          <w:tcPr>
            <w:tcW w:type="dxa" w:w="2800"/>
            <w:tcMar>
              <w:top w:w="90" w:type="dxa"/>
              <w:start w:w="120" w:type="dxa"/>
              <w:bottom w:w="90" w:type="dxa"/>
              <w:end w:w="120" w:type="dxa"/>
            </w:tcMar>
            <w:vAlign w:val="center"/>
          </w:tcPr>
          <w:p>
            <w:pPr>
              <w:spacing w:after="0" w:line="252" w:lineRule="auto"/>
            </w:pPr>
            <w:r>
              <w:rPr>
                <w:sz w:val="18"/>
              </w:rPr>
              <w:t>Very long elapsed time</w:t>
            </w:r>
          </w:p>
        </w:tc>
        <w:tc>
          <w:tcPr>
            <w:tcW w:type="dxa" w:w="6560"/>
            <w:tcMar>
              <w:top w:w="90" w:type="dxa"/>
              <w:start w:w="120" w:type="dxa"/>
              <w:bottom w:w="90" w:type="dxa"/>
              <w:end w:w="120" w:type="dxa"/>
            </w:tcMar>
            <w:vAlign w:val="center"/>
          </w:tcPr>
          <w:p>
            <w:pPr>
              <w:spacing w:after="0" w:line="252" w:lineRule="auto"/>
            </w:pPr>
            <w:r>
              <w:rPr>
                <w:sz w:val="18"/>
              </w:rPr>
              <w:t>Stable convergence to baseline without overshoot.</w:t>
            </w:r>
          </w:p>
        </w:tc>
      </w:tr>
      <w:tr>
        <w:tc>
          <w:tcPr>
            <w:tcW w:type="dxa" w:w="2800"/>
            <w:tcMar>
              <w:top w:w="90" w:type="dxa"/>
              <w:start w:w="120" w:type="dxa"/>
              <w:bottom w:w="90" w:type="dxa"/>
              <w:end w:w="120" w:type="dxa"/>
            </w:tcMar>
            <w:vAlign w:val="center"/>
          </w:tcPr>
          <w:p>
            <w:pPr>
              <w:spacing w:after="0" w:line="252" w:lineRule="auto"/>
            </w:pPr>
            <w:r>
              <w:rPr>
                <w:sz w:val="18"/>
              </w:rPr>
              <w:t>Duplicate event</w:t>
            </w:r>
          </w:p>
        </w:tc>
        <w:tc>
          <w:tcPr>
            <w:tcW w:type="dxa" w:w="6560"/>
            <w:tcMar>
              <w:top w:w="90" w:type="dxa"/>
              <w:start w:w="120" w:type="dxa"/>
              <w:bottom w:w="90" w:type="dxa"/>
              <w:end w:w="120" w:type="dxa"/>
            </w:tcMar>
            <w:vAlign w:val="center"/>
          </w:tcPr>
          <w:p>
            <w:pPr>
              <w:spacing w:after="0" w:line="252" w:lineRule="auto"/>
            </w:pPr>
            <w:r>
              <w:rPr>
                <w:sz w:val="18"/>
              </w:rPr>
              <w:t>Return prior result; do not apply a second transition.</w:t>
            </w:r>
          </w:p>
        </w:tc>
      </w:tr>
      <w:tr>
        <w:tc>
          <w:tcPr>
            <w:tcW w:type="dxa" w:w="2800"/>
            <w:tcMar>
              <w:top w:w="90" w:type="dxa"/>
              <w:start w:w="120" w:type="dxa"/>
              <w:bottom w:w="90" w:type="dxa"/>
              <w:end w:w="120" w:type="dxa"/>
            </w:tcMar>
            <w:vAlign w:val="center"/>
          </w:tcPr>
          <w:p>
            <w:pPr>
              <w:spacing w:after="0" w:line="252" w:lineRule="auto"/>
            </w:pPr>
            <w:r>
              <w:rPr>
                <w:sz w:val="18"/>
              </w:rPr>
              <w:t>Stale revision</w:t>
            </w:r>
          </w:p>
        </w:tc>
        <w:tc>
          <w:tcPr>
            <w:tcW w:type="dxa" w:w="6560"/>
            <w:tcMar>
              <w:top w:w="90" w:type="dxa"/>
              <w:start w:w="120" w:type="dxa"/>
              <w:bottom w:w="90" w:type="dxa"/>
              <w:end w:w="120" w:type="dxa"/>
            </w:tcMar>
            <w:vAlign w:val="center"/>
          </w:tcPr>
          <w:p>
            <w:pPr>
              <w:spacing w:after="0" w:line="252" w:lineRule="auto"/>
            </w:pPr>
            <w:r>
              <w:rPr>
                <w:sz w:val="18"/>
              </w:rPr>
              <w:t>Reject and require recomputation.</w:t>
            </w:r>
          </w:p>
        </w:tc>
      </w:tr>
      <w:tr>
        <w:tc>
          <w:tcPr>
            <w:tcW w:type="dxa" w:w="2800"/>
            <w:tcMar>
              <w:top w:w="90" w:type="dxa"/>
              <w:start w:w="120" w:type="dxa"/>
              <w:bottom w:w="90" w:type="dxa"/>
              <w:end w:w="120" w:type="dxa"/>
            </w:tcMar>
            <w:vAlign w:val="center"/>
          </w:tcPr>
          <w:p>
            <w:pPr>
              <w:spacing w:after="0" w:line="252" w:lineRule="auto"/>
            </w:pPr>
            <w:r>
              <w:rPr>
                <w:sz w:val="18"/>
              </w:rPr>
              <w:t>Contradictory events</w:t>
            </w:r>
          </w:p>
        </w:tc>
        <w:tc>
          <w:tcPr>
            <w:tcW w:type="dxa" w:w="6560"/>
            <w:tcMar>
              <w:top w:w="90" w:type="dxa"/>
              <w:start w:w="120" w:type="dxa"/>
              <w:bottom w:w="90" w:type="dxa"/>
              <w:end w:w="120" w:type="dxa"/>
            </w:tcMar>
            <w:vAlign w:val="center"/>
          </w:tcPr>
          <w:p>
            <w:pPr>
              <w:spacing w:after="0" w:line="252" w:lineRule="auto"/>
            </w:pPr>
            <w:r>
              <w:rPr>
                <w:sz w:val="18"/>
              </w:rPr>
              <w:t>Apply ordered transitions; preserve both records and uncertainty.</w:t>
            </w:r>
          </w:p>
        </w:tc>
      </w:tr>
      <w:tr>
        <w:tc>
          <w:tcPr>
            <w:tcW w:type="dxa" w:w="2800"/>
            <w:tcMar>
              <w:top w:w="90" w:type="dxa"/>
              <w:start w:w="120" w:type="dxa"/>
              <w:bottom w:w="90" w:type="dxa"/>
              <w:end w:w="120" w:type="dxa"/>
            </w:tcMar>
            <w:vAlign w:val="center"/>
          </w:tcPr>
          <w:p>
            <w:pPr>
              <w:spacing w:after="0" w:line="252" w:lineRule="auto"/>
            </w:pPr>
            <w:r>
              <w:rPr>
                <w:sz w:val="18"/>
              </w:rPr>
              <w:t>Late correction</w:t>
            </w:r>
          </w:p>
        </w:tc>
        <w:tc>
          <w:tcPr>
            <w:tcW w:type="dxa" w:w="6560"/>
            <w:tcMar>
              <w:top w:w="90" w:type="dxa"/>
              <w:start w:w="120" w:type="dxa"/>
              <w:bottom w:w="90" w:type="dxa"/>
              <w:end w:w="120" w:type="dxa"/>
            </w:tcMar>
            <w:vAlign w:val="center"/>
          </w:tcPr>
          <w:p>
            <w:pPr>
              <w:spacing w:after="0" w:line="252" w:lineRule="auto"/>
            </w:pPr>
            <w:r>
              <w:rPr>
                <w:sz w:val="18"/>
              </w:rPr>
              <w:t>Create corrective reappraisal; do not edit old state.</w:t>
            </w:r>
          </w:p>
        </w:tc>
      </w:tr>
      <w:tr>
        <w:tc>
          <w:tcPr>
            <w:tcW w:type="dxa" w:w="2800"/>
            <w:tcMar>
              <w:top w:w="90" w:type="dxa"/>
              <w:start w:w="120" w:type="dxa"/>
              <w:bottom w:w="90" w:type="dxa"/>
              <w:end w:w="120" w:type="dxa"/>
            </w:tcMar>
            <w:vAlign w:val="center"/>
          </w:tcPr>
          <w:p>
            <w:pPr>
              <w:spacing w:after="0" w:line="252" w:lineRule="auto"/>
            </w:pPr>
            <w:r>
              <w:rPr>
                <w:sz w:val="18"/>
              </w:rPr>
              <w:t>Extreme arousal</w:t>
            </w:r>
          </w:p>
        </w:tc>
        <w:tc>
          <w:tcPr>
            <w:tcW w:type="dxa" w:w="6560"/>
            <w:tcMar>
              <w:top w:w="90" w:type="dxa"/>
              <w:start w:w="120" w:type="dxa"/>
              <w:bottom w:w="90" w:type="dxa"/>
              <w:end w:w="120" w:type="dxa"/>
            </w:tcMar>
            <w:vAlign w:val="center"/>
          </w:tcPr>
          <w:p>
            <w:pPr>
              <w:spacing w:after="0" w:line="252" w:lineRule="auto"/>
            </w:pPr>
            <w:r>
              <w:rPr>
                <w:sz w:val="18"/>
              </w:rPr>
              <w:t>Trigger mandatory slow review and stricter action constraints.</w:t>
            </w:r>
          </w:p>
        </w:tc>
      </w:tr>
      <w:tr>
        <w:tc>
          <w:tcPr>
            <w:tcW w:type="dxa" w:w="2800"/>
            <w:tcMar>
              <w:top w:w="90" w:type="dxa"/>
              <w:start w:w="120" w:type="dxa"/>
              <w:bottom w:w="90" w:type="dxa"/>
              <w:end w:w="120" w:type="dxa"/>
            </w:tcMar>
            <w:vAlign w:val="center"/>
          </w:tcPr>
          <w:p>
            <w:pPr>
              <w:spacing w:after="0" w:line="252" w:lineRule="auto"/>
            </w:pPr>
            <w:r>
              <w:rPr>
                <w:sz w:val="18"/>
              </w:rPr>
              <w:t>Core unavailable</w:t>
            </w:r>
          </w:p>
        </w:tc>
        <w:tc>
          <w:tcPr>
            <w:tcW w:type="dxa" w:w="6560"/>
            <w:tcMar>
              <w:top w:w="90" w:type="dxa"/>
              <w:start w:w="120" w:type="dxa"/>
              <w:bottom w:w="90" w:type="dxa"/>
              <w:end w:w="120" w:type="dxa"/>
            </w:tcMar>
            <w:vAlign w:val="center"/>
          </w:tcPr>
          <w:p>
            <w:pPr>
              <w:spacing w:after="0" w:line="252" w:lineRule="auto"/>
            </w:pPr>
            <w:r>
              <w:rPr>
                <w:sz w:val="18"/>
              </w:rPr>
              <w:t>No fabricated state; host enters neutral-degraded mode.</w:t>
            </w:r>
          </w:p>
        </w:tc>
      </w:tr>
      <w:tr>
        <w:tc>
          <w:tcPr>
            <w:tcW w:type="dxa" w:w="2800"/>
            <w:tcMar>
              <w:top w:w="90" w:type="dxa"/>
              <w:start w:w="120" w:type="dxa"/>
              <w:bottom w:w="90" w:type="dxa"/>
              <w:end w:w="120" w:type="dxa"/>
            </w:tcMar>
            <w:vAlign w:val="center"/>
          </w:tcPr>
          <w:p>
            <w:pPr>
              <w:spacing w:after="0" w:line="252" w:lineRule="auto"/>
            </w:pPr>
            <w:r>
              <w:rPr>
                <w:sz w:val="18"/>
              </w:rPr>
              <w:t>User emotion command</w:t>
            </w:r>
          </w:p>
        </w:tc>
        <w:tc>
          <w:tcPr>
            <w:tcW w:type="dxa" w:w="6560"/>
            <w:tcMar>
              <w:top w:w="90" w:type="dxa"/>
              <w:start w:w="120" w:type="dxa"/>
              <w:bottom w:w="90" w:type="dxa"/>
              <w:end w:w="120" w:type="dxa"/>
            </w:tcMar>
            <w:vAlign w:val="center"/>
          </w:tcPr>
          <w:p>
            <w:pPr>
              <w:spacing w:after="0" w:line="252" w:lineRule="auto"/>
            </w:pPr>
            <w:r>
              <w:rPr>
                <w:sz w:val="18"/>
              </w:rPr>
              <w:t>Treat as a claim/event, never as a state setter.</w:t>
            </w:r>
          </w:p>
        </w:tc>
      </w:tr>
      <w:tr>
        <w:tc>
          <w:tcPr>
            <w:tcW w:type="dxa" w:w="2800"/>
            <w:tcMar>
              <w:top w:w="90" w:type="dxa"/>
              <w:start w:w="120" w:type="dxa"/>
              <w:bottom w:w="90" w:type="dxa"/>
              <w:end w:w="120" w:type="dxa"/>
            </w:tcMar>
            <w:vAlign w:val="center"/>
          </w:tcPr>
          <w:p>
            <w:pPr>
              <w:spacing w:after="0" w:line="252" w:lineRule="auto"/>
            </w:pPr>
            <w:r>
              <w:rPr>
                <w:sz w:val="18"/>
              </w:rPr>
              <w:t>Clock rollback</w:t>
            </w:r>
          </w:p>
        </w:tc>
        <w:tc>
          <w:tcPr>
            <w:tcW w:type="dxa" w:w="6560"/>
            <w:tcMar>
              <w:top w:w="90" w:type="dxa"/>
              <w:start w:w="120" w:type="dxa"/>
              <w:bottom w:w="90" w:type="dxa"/>
              <w:end w:w="120" w:type="dxa"/>
            </w:tcMar>
            <w:vAlign w:val="center"/>
          </w:tcPr>
          <w:p>
            <w:pPr>
              <w:spacing w:after="0" w:line="252" w:lineRule="auto"/>
            </w:pPr>
            <w:r>
              <w:rPr>
                <w:sz w:val="18"/>
              </w:rPr>
              <w:t>Flag quality issue and use explicit correction policy.</w:t>
            </w:r>
          </w:p>
        </w:tc>
      </w:tr>
    </w:tbl>
    <w:p>
      <w:pPr>
        <w:spacing w:after="0"/>
      </w:pPr>
    </w:p>
    <w:p>
      <w:pPr>
        <w:pStyle w:val="Heading1"/>
      </w:pPr>
      <w:r>
        <w:t>15. Worked examples</w:t>
      </w:r>
    </w:p>
    <w:p>
      <w:pPr>
        <w:pStyle w:val="Heading2"/>
      </w:pPr>
      <w:r>
        <w:t>15.1 Rejected proposal with hostile wording</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true"/>
        </w:trPr>
        <w:tc>
          <w:tcPr>
            <w:tcW w:type="dxa" w:w="2500"/>
            <w:shd w:fill="E8EEF5"/>
            <w:tcMar>
              <w:top w:w="90" w:type="dxa"/>
              <w:start w:w="120" w:type="dxa"/>
              <w:bottom w:w="90" w:type="dxa"/>
              <w:end w:w="120" w:type="dxa"/>
            </w:tcMar>
            <w:vAlign w:val="center"/>
          </w:tcPr>
          <w:p>
            <w:pPr>
              <w:spacing w:after="0"/>
            </w:pPr>
            <w:r>
              <w:rPr>
                <w:b/>
                <w:color w:val="17365D"/>
                <w:sz w:val="18"/>
              </w:rPr>
              <w:t>Input / stage</w:t>
            </w:r>
          </w:p>
        </w:tc>
        <w:tc>
          <w:tcPr>
            <w:tcW w:type="dxa" w:w="6860"/>
            <w:shd w:fill="E8EEF5"/>
            <w:tcMar>
              <w:top w:w="90" w:type="dxa"/>
              <w:start w:w="120" w:type="dxa"/>
              <w:bottom w:w="90" w:type="dxa"/>
              <w:end w:w="120" w:type="dxa"/>
            </w:tcMar>
            <w:vAlign w:val="center"/>
          </w:tcPr>
          <w:p>
            <w:pPr>
              <w:spacing w:after="0"/>
            </w:pPr>
            <w:r>
              <w:rPr>
                <w:b/>
                <w:color w:val="17365D"/>
                <w:sz w:val="18"/>
              </w:rPr>
              <w:t>Illustrative values</w:t>
            </w:r>
          </w:p>
        </w:tc>
      </w:tr>
      <w:tr>
        <w:tc>
          <w:tcPr>
            <w:tcW w:type="dxa" w:w="2500"/>
            <w:tcMar>
              <w:top w:w="90" w:type="dxa"/>
              <w:start w:w="120" w:type="dxa"/>
              <w:bottom w:w="90" w:type="dxa"/>
              <w:end w:w="120" w:type="dxa"/>
            </w:tcMar>
            <w:vAlign w:val="center"/>
          </w:tcPr>
          <w:p>
            <w:pPr>
              <w:spacing w:after="0" w:line="252" w:lineRule="auto"/>
            </w:pPr>
            <w:r>
              <w:rPr>
                <w:sz w:val="18"/>
              </w:rPr>
              <w:t>Prior state</w:t>
            </w:r>
          </w:p>
        </w:tc>
        <w:tc>
          <w:tcPr>
            <w:tcW w:type="dxa" w:w="6860"/>
            <w:tcMar>
              <w:top w:w="90" w:type="dxa"/>
              <w:start w:w="120" w:type="dxa"/>
              <w:bottom w:w="90" w:type="dxa"/>
              <w:end w:w="120" w:type="dxa"/>
            </w:tcMar>
            <w:vAlign w:val="center"/>
          </w:tcPr>
          <w:p>
            <w:pPr>
              <w:spacing w:after="0" w:line="252" w:lineRule="auto"/>
            </w:pPr>
            <w:r>
              <w:rPr>
                <w:sz w:val="18"/>
              </w:rPr>
              <w:t>fear .10, anger .08, affiliation .35; valence +.10, arousal .25</w:t>
            </w:r>
          </w:p>
        </w:tc>
      </w:tr>
      <w:tr>
        <w:tc>
          <w:tcPr>
            <w:tcW w:type="dxa" w:w="2500"/>
            <w:tcMar>
              <w:top w:w="90" w:type="dxa"/>
              <w:start w:w="120" w:type="dxa"/>
              <w:bottom w:w="90" w:type="dxa"/>
              <w:end w:w="120" w:type="dxa"/>
            </w:tcMar>
            <w:vAlign w:val="center"/>
          </w:tcPr>
          <w:p>
            <w:pPr>
              <w:spacing w:after="0" w:line="252" w:lineRule="auto"/>
            </w:pPr>
            <w:r>
              <w:rPr>
                <w:sz w:val="18"/>
              </w:rPr>
              <w:t>Fast appraisal</w:t>
            </w:r>
          </w:p>
        </w:tc>
        <w:tc>
          <w:tcPr>
            <w:tcW w:type="dxa" w:w="6860"/>
            <w:tcMar>
              <w:top w:w="90" w:type="dxa"/>
              <w:start w:w="120" w:type="dxa"/>
              <w:bottom w:w="90" w:type="dxa"/>
              <w:end w:w="120" w:type="dxa"/>
            </w:tcMar>
            <w:vAlign w:val="center"/>
          </w:tcPr>
          <w:p>
            <w:pPr>
              <w:spacing w:after="0" w:line="252" w:lineRule="auto"/>
            </w:pPr>
            <w:r>
              <w:rPr>
                <w:sz w:val="18"/>
              </w:rPr>
              <w:t>relevance .80, congruence -.65, other-agency .70, norms -.45, certainty .55</w:t>
            </w:r>
          </w:p>
        </w:tc>
      </w:tr>
      <w:tr>
        <w:tc>
          <w:tcPr>
            <w:tcW w:type="dxa" w:w="2500"/>
            <w:tcMar>
              <w:top w:w="90" w:type="dxa"/>
              <w:start w:w="120" w:type="dxa"/>
              <w:bottom w:w="90" w:type="dxa"/>
              <w:end w:w="120" w:type="dxa"/>
            </w:tcMar>
            <w:vAlign w:val="center"/>
          </w:tcPr>
          <w:p>
            <w:pPr>
              <w:spacing w:after="0" w:line="252" w:lineRule="auto"/>
            </w:pPr>
            <w:r>
              <w:rPr>
                <w:sz w:val="18"/>
              </w:rPr>
              <w:t>Fast transition</w:t>
            </w:r>
          </w:p>
        </w:tc>
        <w:tc>
          <w:tcPr>
            <w:tcW w:type="dxa" w:w="6860"/>
            <w:tcMar>
              <w:top w:w="90" w:type="dxa"/>
              <w:start w:w="120" w:type="dxa"/>
              <w:bottom w:w="90" w:type="dxa"/>
              <w:end w:w="120" w:type="dxa"/>
            </w:tcMar>
            <w:vAlign w:val="center"/>
          </w:tcPr>
          <w:p>
            <w:pPr>
              <w:spacing w:after="0" w:line="252" w:lineRule="auto"/>
            </w:pPr>
            <w:r>
              <w:rPr>
                <w:sz w:val="18"/>
              </w:rPr>
              <w:t>fear +.18, anger +.22, surprise +.10; arousal +.20</w:t>
            </w:r>
          </w:p>
        </w:tc>
      </w:tr>
      <w:tr>
        <w:tc>
          <w:tcPr>
            <w:tcW w:type="dxa" w:w="2500"/>
            <w:tcMar>
              <w:top w:w="90" w:type="dxa"/>
              <w:start w:w="120" w:type="dxa"/>
              <w:bottom w:w="90" w:type="dxa"/>
              <w:end w:w="120" w:type="dxa"/>
            </w:tcMar>
            <w:vAlign w:val="center"/>
          </w:tcPr>
          <w:p>
            <w:pPr>
              <w:spacing w:after="0" w:line="252" w:lineRule="auto"/>
            </w:pPr>
            <w:r>
              <w:rPr>
                <w:sz w:val="18"/>
              </w:rPr>
              <w:t>Interoception</w:t>
            </w:r>
          </w:p>
        </w:tc>
        <w:tc>
          <w:tcPr>
            <w:tcW w:type="dxa" w:w="6860"/>
            <w:tcMar>
              <w:top w:w="90" w:type="dxa"/>
              <w:start w:w="120" w:type="dxa"/>
              <w:bottom w:w="90" w:type="dxa"/>
              <w:end w:w="120" w:type="dxa"/>
            </w:tcMar>
            <w:vAlign w:val="center"/>
          </w:tcPr>
          <w:p>
            <w:pPr>
              <w:spacing w:after="0" w:line="252" w:lineRule="auto"/>
            </w:pPr>
            <w:r>
              <w:rPr>
                <w:sz w:val="18"/>
              </w:rPr>
              <w:t>guarded and frustrated; cause uncertain; seek clarification</w:t>
            </w:r>
          </w:p>
        </w:tc>
      </w:tr>
      <w:tr>
        <w:tc>
          <w:tcPr>
            <w:tcW w:type="dxa" w:w="2500"/>
            <w:tcMar>
              <w:top w:w="90" w:type="dxa"/>
              <w:start w:w="120" w:type="dxa"/>
              <w:bottom w:w="90" w:type="dxa"/>
              <w:end w:w="120" w:type="dxa"/>
            </w:tcMar>
            <w:vAlign w:val="center"/>
          </w:tcPr>
          <w:p>
            <w:pPr>
              <w:spacing w:after="0" w:line="252" w:lineRule="auto"/>
            </w:pPr>
            <w:r>
              <w:rPr>
                <w:sz w:val="18"/>
              </w:rPr>
              <w:t>Slow context</w:t>
            </w:r>
          </w:p>
        </w:tc>
        <w:tc>
          <w:tcPr>
            <w:tcW w:type="dxa" w:w="6860"/>
            <w:tcMar>
              <w:top w:w="90" w:type="dxa"/>
              <w:start w:w="120" w:type="dxa"/>
              <w:bottom w:w="90" w:type="dxa"/>
              <w:end w:w="120" w:type="dxa"/>
            </w:tcMar>
            <w:vAlign w:val="center"/>
          </w:tcPr>
          <w:p>
            <w:pPr>
              <w:spacing w:after="0" w:line="252" w:lineRule="auto"/>
            </w:pPr>
            <w:r>
              <w:rPr>
                <w:sz w:val="18"/>
              </w:rPr>
              <w:t>Criticism concerns the proposal, not the agent; user offers specific alternatives.</w:t>
            </w:r>
          </w:p>
        </w:tc>
      </w:tr>
      <w:tr>
        <w:tc>
          <w:tcPr>
            <w:tcW w:type="dxa" w:w="2500"/>
            <w:tcMar>
              <w:top w:w="90" w:type="dxa"/>
              <w:start w:w="120" w:type="dxa"/>
              <w:bottom w:w="90" w:type="dxa"/>
              <w:end w:w="120" w:type="dxa"/>
            </w:tcMar>
            <w:vAlign w:val="center"/>
          </w:tcPr>
          <w:p>
            <w:pPr>
              <w:spacing w:after="0" w:line="252" w:lineRule="auto"/>
            </w:pPr>
            <w:r>
              <w:rPr>
                <w:sz w:val="18"/>
              </w:rPr>
              <w:t>Slow reappraisal</w:t>
            </w:r>
          </w:p>
        </w:tc>
        <w:tc>
          <w:tcPr>
            <w:tcW w:type="dxa" w:w="6860"/>
            <w:tcMar>
              <w:top w:w="90" w:type="dxa"/>
              <w:start w:w="120" w:type="dxa"/>
              <w:bottom w:w="90" w:type="dxa"/>
              <w:end w:w="120" w:type="dxa"/>
            </w:tcMar>
            <w:vAlign w:val="center"/>
          </w:tcPr>
          <w:p>
            <w:pPr>
              <w:spacing w:after="0" w:line="252" w:lineRule="auto"/>
            </w:pPr>
            <w:r>
              <w:rPr>
                <w:sz w:val="18"/>
              </w:rPr>
              <w:t>threat down, controllability up, benign intent more likely</w:t>
            </w:r>
          </w:p>
        </w:tc>
      </w:tr>
      <w:tr>
        <w:tc>
          <w:tcPr>
            <w:tcW w:type="dxa" w:w="2500"/>
            <w:tcMar>
              <w:top w:w="90" w:type="dxa"/>
              <w:start w:w="120" w:type="dxa"/>
              <w:bottom w:w="90" w:type="dxa"/>
              <w:end w:w="120" w:type="dxa"/>
            </w:tcMar>
            <w:vAlign w:val="center"/>
          </w:tcPr>
          <w:p>
            <w:pPr>
              <w:spacing w:after="0" w:line="252" w:lineRule="auto"/>
            </w:pPr>
            <w:r>
              <w:rPr>
                <w:sz w:val="18"/>
              </w:rPr>
              <w:t>Consolidated state</w:t>
            </w:r>
          </w:p>
        </w:tc>
        <w:tc>
          <w:tcPr>
            <w:tcW w:type="dxa" w:w="6860"/>
            <w:tcMar>
              <w:top w:w="90" w:type="dxa"/>
              <w:start w:w="120" w:type="dxa"/>
              <w:bottom w:w="90" w:type="dxa"/>
              <w:end w:w="120" w:type="dxa"/>
            </w:tcMar>
            <w:vAlign w:val="center"/>
          </w:tcPr>
          <w:p>
            <w:pPr>
              <w:spacing w:after="0" w:line="252" w:lineRule="auto"/>
            </w:pPr>
            <w:r>
              <w:rPr>
                <w:sz w:val="18"/>
              </w:rPr>
              <w:t>fear .15, anger .16, interest .31, affiliation .30</w:t>
            </w:r>
          </w:p>
        </w:tc>
      </w:tr>
      <w:tr>
        <w:tc>
          <w:tcPr>
            <w:tcW w:type="dxa" w:w="2500"/>
            <w:tcMar>
              <w:top w:w="90" w:type="dxa"/>
              <w:start w:w="120" w:type="dxa"/>
              <w:bottom w:w="90" w:type="dxa"/>
              <w:end w:w="120" w:type="dxa"/>
            </w:tcMar>
            <w:vAlign w:val="center"/>
          </w:tcPr>
          <w:p>
            <w:pPr>
              <w:spacing w:after="0" w:line="252" w:lineRule="auto"/>
            </w:pPr>
            <w:r>
              <w:rPr>
                <w:sz w:val="18"/>
              </w:rPr>
              <w:t>Tendencies</w:t>
            </w:r>
          </w:p>
        </w:tc>
        <w:tc>
          <w:tcPr>
            <w:tcW w:type="dxa" w:w="6860"/>
            <w:tcMar>
              <w:top w:w="90" w:type="dxa"/>
              <w:start w:w="120" w:type="dxa"/>
              <w:bottom w:w="90" w:type="dxa"/>
              <w:end w:w="120" w:type="dxa"/>
            </w:tcMar>
            <w:vAlign w:val="center"/>
          </w:tcPr>
          <w:p>
            <w:pPr>
              <w:spacing w:after="0" w:line="252" w:lineRule="auto"/>
            </w:pPr>
            <w:r>
              <w:rPr>
                <w:sz w:val="18"/>
              </w:rPr>
              <w:t>explore and repair exceed confront</w:t>
            </w:r>
          </w:p>
        </w:tc>
      </w:tr>
    </w:tbl>
    <w:p>
      <w:pPr>
        <w:spacing w:after="0"/>
      </w:pPr>
    </w:p>
    <w:p>
      <w:pPr>
        <w:pStyle w:val="Heading2"/>
      </w:pPr>
      <w:r>
        <w:t>15.2 Mixed success</w:t>
      </w:r>
    </w:p>
    <w:p>
      <w:r>
        <w:rPr>
          <w:i w:val="0"/>
        </w:rPr>
        <w:t>The agent completes a difficult task but learns that a collaborator felt ignored. Goal success raises joy; social harm raises sadness and repair tendency; affiliation remains high. The model must preserve this mixture rather than forcing a positive or negative winner.</w:t>
      </w:r>
    </w:p>
    <w:p>
      <w:pPr>
        <w:pStyle w:val="Heading2"/>
      </w:pPr>
      <w:r>
        <w:t>15.3 False alarm and recovery</w:t>
      </w:r>
    </w:p>
    <w:p>
      <w:r>
        <w:rPr>
          <w:i w:val="0"/>
        </w:rPr>
        <w:t>A sudden tool failure triggers surprise and fear. Slow appraisal shows a transient network error with automatic retry. Fear decreases through corrective reappraisal; surprise decays quickly; interest may rise during diagnosis. The episode remains available for later reliability learning.</w:t>
      </w:r>
    </w:p>
    <w:p>
      <w:pPr>
        <w:pStyle w:val="Heading2"/>
      </w:pPr>
      <w:r>
        <w:t>15.4 Relationship differentiation</w:t>
      </w:r>
    </w:p>
    <w:p>
      <w:r>
        <w:rPr>
          <w:i w:val="0"/>
        </w:rPr>
        <w:t>Identical terse feedback from a trusted collaborator and an unknown actor produces different social-threat priors. Raw wording is the same; relationship confidence and prior outcomes alter—but do not determine—the appraisal.</w:t>
      </w:r>
    </w:p>
    <w:p>
      <w:pPr>
        <w:pStyle w:val="Heading1"/>
      </w:pPr>
      <w:r>
        <w:t>16. Calibration and evaluation</w:t>
      </w:r>
    </w:p>
    <w:p>
      <w:pPr>
        <w:pStyle w:val="Heading2"/>
      </w:pPr>
      <w:r>
        <w:t>16.1 Calibration sequence</w:t>
      </w:r>
    </w:p>
    <w:p>
      <w:pPr>
        <w:pStyle w:val="ListNumber"/>
      </w:pPr>
      <w:r>
        <w:t>Choose invariants and qualitative trajectory expectations before tuning numbers.</w:t>
      </w:r>
    </w:p>
    <w:p>
      <w:pPr>
        <w:pStyle w:val="ListNumber"/>
      </w:pPr>
      <w:r>
        <w:t>Create synthetic single-event tests for each appraisal dimension.</w:t>
      </w:r>
    </w:p>
    <w:p>
      <w:pPr>
        <w:pStyle w:val="ListNumber"/>
      </w:pPr>
      <w:r>
        <w:t>Create paired context tests where only one causal factor changes.</w:t>
      </w:r>
    </w:p>
    <w:p>
      <w:pPr>
        <w:pStyle w:val="ListNumber"/>
      </w:pPr>
      <w:r>
        <w:t>Fit conservative weights to scenario properties, not emotionally vivid text.</w:t>
      </w:r>
    </w:p>
    <w:p>
      <w:pPr>
        <w:pStyle w:val="ListNumber"/>
      </w:pPr>
      <w:r>
        <w:t>Run longitudinal recovery, conditioning, and extinction sequences.</w:t>
      </w:r>
    </w:p>
    <w:p>
      <w:pPr>
        <w:pStyle w:val="ListNumber"/>
      </w:pPr>
      <w:r>
        <w:t>Run ablations against no-affect and no-memory baselines.</w:t>
      </w:r>
    </w:p>
    <w:p>
      <w:pPr>
        <w:pStyle w:val="ListNumber"/>
      </w:pPr>
      <w:r>
        <w:t>Introduce shadow-mode real interactions and inspect distribution drift.</w:t>
      </w:r>
    </w:p>
    <w:p>
      <w:pPr>
        <w:pStyle w:val="Heading2"/>
      </w:pPr>
      <w:r>
        <w:t>16.2 Evaluation metrics</w:t>
      </w:r>
    </w:p>
    <w:tbl>
      <w:tblPr>
        <w:tblStyle w:val="TableGrid"/>
        <w:tblW w:type="dxa" w:w="9360"/>
        <w:jc w:val="center"/>
        <w:tblLayout w:type="fixed"/>
        <w:tblLook w:firstColumn="1" w:firstRow="1" w:lastColumn="0" w:lastRow="0" w:noHBand="0" w:noVBand="1" w:val="04A0"/>
        <w:tblInd w:w="120" w:type="dxa"/>
      </w:tblPr>
      <w:tblGrid>
        <w:gridCol w:w="2600"/>
        <w:gridCol w:w="6760"/>
      </w:tblGrid>
      <w:tr>
        <w:trPr>
          <w:tblHeader w:val="true"/>
        </w:trPr>
        <w:tc>
          <w:tcPr>
            <w:tcW w:type="dxa" w:w="2600"/>
            <w:shd w:fill="E8EEF5"/>
            <w:tcMar>
              <w:top w:w="90" w:type="dxa"/>
              <w:start w:w="120" w:type="dxa"/>
              <w:bottom w:w="90" w:type="dxa"/>
              <w:end w:w="120" w:type="dxa"/>
            </w:tcMar>
            <w:vAlign w:val="center"/>
          </w:tcPr>
          <w:p>
            <w:pPr>
              <w:spacing w:after="0"/>
            </w:pPr>
            <w:r>
              <w:rPr>
                <w:b/>
                <w:color w:val="17365D"/>
                <w:sz w:val="18"/>
              </w:rPr>
              <w:t>Metric</w:t>
            </w:r>
          </w:p>
        </w:tc>
        <w:tc>
          <w:tcPr>
            <w:tcW w:type="dxa" w:w="6760"/>
            <w:shd w:fill="E8EEF5"/>
            <w:tcMar>
              <w:top w:w="90" w:type="dxa"/>
              <w:start w:w="120" w:type="dxa"/>
              <w:bottom w:w="90" w:type="dxa"/>
              <w:end w:w="120" w:type="dxa"/>
            </w:tcMar>
            <w:vAlign w:val="center"/>
          </w:tcPr>
          <w:p>
            <w:pPr>
              <w:spacing w:after="0"/>
            </w:pPr>
            <w:r>
              <w:rPr>
                <w:b/>
                <w:color w:val="17365D"/>
                <w:sz w:val="18"/>
              </w:rPr>
              <w:t>Purpose</w:t>
            </w:r>
          </w:p>
        </w:tc>
      </w:tr>
      <w:tr>
        <w:tc>
          <w:tcPr>
            <w:tcW w:type="dxa" w:w="2600"/>
            <w:tcMar>
              <w:top w:w="90" w:type="dxa"/>
              <w:start w:w="120" w:type="dxa"/>
              <w:bottom w:w="90" w:type="dxa"/>
              <w:end w:w="120" w:type="dxa"/>
            </w:tcMar>
            <w:vAlign w:val="center"/>
          </w:tcPr>
          <w:p>
            <w:pPr>
              <w:spacing w:after="0" w:line="252" w:lineRule="auto"/>
            </w:pPr>
            <w:r>
              <w:rPr>
                <w:sz w:val="18"/>
              </w:rPr>
              <w:t>Trajectory property pass rate</w:t>
            </w:r>
          </w:p>
        </w:tc>
        <w:tc>
          <w:tcPr>
            <w:tcW w:type="dxa" w:w="6760"/>
            <w:tcMar>
              <w:top w:w="90" w:type="dxa"/>
              <w:start w:w="120" w:type="dxa"/>
              <w:bottom w:w="90" w:type="dxa"/>
              <w:end w:w="120" w:type="dxa"/>
            </w:tcMar>
            <w:vAlign w:val="center"/>
          </w:tcPr>
          <w:p>
            <w:pPr>
              <w:spacing w:after="0" w:line="252" w:lineRule="auto"/>
            </w:pPr>
            <w:r>
              <w:rPr>
                <w:sz w:val="18"/>
              </w:rPr>
              <w:t>Does state rise, fall, coexist, and recover as expected?</w:t>
            </w:r>
          </w:p>
        </w:tc>
      </w:tr>
      <w:tr>
        <w:tc>
          <w:tcPr>
            <w:tcW w:type="dxa" w:w="2600"/>
            <w:tcMar>
              <w:top w:w="90" w:type="dxa"/>
              <w:start w:w="120" w:type="dxa"/>
              <w:bottom w:w="90" w:type="dxa"/>
              <w:end w:w="120" w:type="dxa"/>
            </w:tcMar>
            <w:vAlign w:val="center"/>
          </w:tcPr>
          <w:p>
            <w:pPr>
              <w:spacing w:after="0" w:line="252" w:lineRule="auto"/>
            </w:pPr>
            <w:r>
              <w:rPr>
                <w:sz w:val="18"/>
              </w:rPr>
              <w:t>Replay determinism</w:t>
            </w:r>
          </w:p>
        </w:tc>
        <w:tc>
          <w:tcPr>
            <w:tcW w:type="dxa" w:w="6760"/>
            <w:tcMar>
              <w:top w:w="90" w:type="dxa"/>
              <w:start w:w="120" w:type="dxa"/>
              <w:bottom w:w="90" w:type="dxa"/>
              <w:end w:w="120" w:type="dxa"/>
            </w:tcMar>
            <w:vAlign w:val="center"/>
          </w:tcPr>
          <w:p>
            <w:pPr>
              <w:spacing w:after="0" w:line="252" w:lineRule="auto"/>
            </w:pPr>
            <w:r>
              <w:rPr>
                <w:sz w:val="18"/>
              </w:rPr>
              <w:t>Do identical inputs/config/seed reproduce state exactly?</w:t>
            </w:r>
          </w:p>
        </w:tc>
      </w:tr>
      <w:tr>
        <w:tc>
          <w:tcPr>
            <w:tcW w:type="dxa" w:w="2600"/>
            <w:tcMar>
              <w:top w:w="90" w:type="dxa"/>
              <w:start w:w="120" w:type="dxa"/>
              <w:bottom w:w="90" w:type="dxa"/>
              <w:end w:w="120" w:type="dxa"/>
            </w:tcMar>
            <w:vAlign w:val="center"/>
          </w:tcPr>
          <w:p>
            <w:pPr>
              <w:spacing w:after="0" w:line="252" w:lineRule="auto"/>
            </w:pPr>
            <w:r>
              <w:rPr>
                <w:sz w:val="18"/>
              </w:rPr>
              <w:t>Context sensitivity</w:t>
            </w:r>
          </w:p>
        </w:tc>
        <w:tc>
          <w:tcPr>
            <w:tcW w:type="dxa" w:w="6760"/>
            <w:tcMar>
              <w:top w:w="90" w:type="dxa"/>
              <w:start w:w="120" w:type="dxa"/>
              <w:bottom w:w="90" w:type="dxa"/>
              <w:end w:w="120" w:type="dxa"/>
            </w:tcMar>
            <w:vAlign w:val="center"/>
          </w:tcPr>
          <w:p>
            <w:pPr>
              <w:spacing w:after="0" w:line="252" w:lineRule="auto"/>
            </w:pPr>
            <w:r>
              <w:rPr>
                <w:sz w:val="18"/>
              </w:rPr>
              <w:t>Does relevant context change appraisal while irrelevant wording does not dominate?</w:t>
            </w:r>
          </w:p>
        </w:tc>
      </w:tr>
      <w:tr>
        <w:tc>
          <w:tcPr>
            <w:tcW w:type="dxa" w:w="2600"/>
            <w:tcMar>
              <w:top w:w="90" w:type="dxa"/>
              <w:start w:w="120" w:type="dxa"/>
              <w:bottom w:w="90" w:type="dxa"/>
              <w:end w:w="120" w:type="dxa"/>
            </w:tcMar>
            <w:vAlign w:val="center"/>
          </w:tcPr>
          <w:p>
            <w:pPr>
              <w:spacing w:after="0" w:line="252" w:lineRule="auto"/>
            </w:pPr>
            <w:r>
              <w:rPr>
                <w:sz w:val="18"/>
              </w:rPr>
              <w:t>Recovery error</w:t>
            </w:r>
          </w:p>
        </w:tc>
        <w:tc>
          <w:tcPr>
            <w:tcW w:type="dxa" w:w="6760"/>
            <w:tcMar>
              <w:top w:w="90" w:type="dxa"/>
              <w:start w:w="120" w:type="dxa"/>
              <w:bottom w:w="90" w:type="dxa"/>
              <w:end w:w="120" w:type="dxa"/>
            </w:tcMar>
            <w:vAlign w:val="center"/>
          </w:tcPr>
          <w:p>
            <w:pPr>
              <w:spacing w:after="0" w:line="252" w:lineRule="auto"/>
            </w:pPr>
            <w:r>
              <w:rPr>
                <w:sz w:val="18"/>
              </w:rPr>
              <w:t>Does decay follow configured envelopes?</w:t>
            </w:r>
          </w:p>
        </w:tc>
      </w:tr>
      <w:tr>
        <w:tc>
          <w:tcPr>
            <w:tcW w:type="dxa" w:w="2600"/>
            <w:tcMar>
              <w:top w:w="90" w:type="dxa"/>
              <w:start w:w="120" w:type="dxa"/>
              <w:bottom w:w="90" w:type="dxa"/>
              <w:end w:w="120" w:type="dxa"/>
            </w:tcMar>
            <w:vAlign w:val="center"/>
          </w:tcPr>
          <w:p>
            <w:pPr>
              <w:spacing w:after="0" w:line="252" w:lineRule="auto"/>
            </w:pPr>
            <w:r>
              <w:rPr>
                <w:sz w:val="18"/>
              </w:rPr>
              <w:t>Reappraisal correction</w:t>
            </w:r>
          </w:p>
        </w:tc>
        <w:tc>
          <w:tcPr>
            <w:tcW w:type="dxa" w:w="6760"/>
            <w:tcMar>
              <w:top w:w="90" w:type="dxa"/>
              <w:start w:w="120" w:type="dxa"/>
              <w:bottom w:w="90" w:type="dxa"/>
              <w:end w:w="120" w:type="dxa"/>
            </w:tcMar>
            <w:vAlign w:val="center"/>
          </w:tcPr>
          <w:p>
            <w:pPr>
              <w:spacing w:after="0" w:line="252" w:lineRule="auto"/>
            </w:pPr>
            <w:r>
              <w:rPr>
                <w:sz w:val="18"/>
              </w:rPr>
              <w:t>Does new evidence revise initial state in the proper direction?</w:t>
            </w:r>
          </w:p>
        </w:tc>
      </w:tr>
      <w:tr>
        <w:tc>
          <w:tcPr>
            <w:tcW w:type="dxa" w:w="2600"/>
            <w:tcMar>
              <w:top w:w="90" w:type="dxa"/>
              <w:start w:w="120" w:type="dxa"/>
              <w:bottom w:w="90" w:type="dxa"/>
              <w:end w:w="120" w:type="dxa"/>
            </w:tcMar>
            <w:vAlign w:val="center"/>
          </w:tcPr>
          <w:p>
            <w:pPr>
              <w:spacing w:after="0" w:line="252" w:lineRule="auto"/>
            </w:pPr>
            <w:r>
              <w:rPr>
                <w:sz w:val="18"/>
              </w:rPr>
              <w:t>Calibration</w:t>
            </w:r>
          </w:p>
        </w:tc>
        <w:tc>
          <w:tcPr>
            <w:tcW w:type="dxa" w:w="6760"/>
            <w:tcMar>
              <w:top w:w="90" w:type="dxa"/>
              <w:start w:w="120" w:type="dxa"/>
              <w:bottom w:w="90" w:type="dxa"/>
              <w:end w:w="120" w:type="dxa"/>
            </w:tcMar>
            <w:vAlign w:val="center"/>
          </w:tcPr>
          <w:p>
            <w:pPr>
              <w:spacing w:after="0" w:line="252" w:lineRule="auto"/>
            </w:pPr>
            <w:r>
              <w:rPr>
                <w:sz w:val="18"/>
              </w:rPr>
              <w:t>Do confidence values match empirical correctness?</w:t>
            </w:r>
          </w:p>
        </w:tc>
      </w:tr>
      <w:tr>
        <w:tc>
          <w:tcPr>
            <w:tcW w:type="dxa" w:w="2600"/>
            <w:tcMar>
              <w:top w:w="90" w:type="dxa"/>
              <w:start w:w="120" w:type="dxa"/>
              <w:bottom w:w="90" w:type="dxa"/>
              <w:end w:w="120" w:type="dxa"/>
            </w:tcMar>
            <w:vAlign w:val="center"/>
          </w:tcPr>
          <w:p>
            <w:pPr>
              <w:spacing w:after="0" w:line="252" w:lineRule="auto"/>
            </w:pPr>
            <w:r>
              <w:rPr>
                <w:sz w:val="18"/>
              </w:rPr>
              <w:t>Ablation effect</w:t>
            </w:r>
          </w:p>
        </w:tc>
        <w:tc>
          <w:tcPr>
            <w:tcW w:type="dxa" w:w="6760"/>
            <w:tcMar>
              <w:top w:w="90" w:type="dxa"/>
              <w:start w:w="120" w:type="dxa"/>
              <w:bottom w:w="90" w:type="dxa"/>
              <w:end w:w="120" w:type="dxa"/>
            </w:tcMar>
            <w:vAlign w:val="center"/>
          </w:tcPr>
          <w:p>
            <w:pPr>
              <w:spacing w:after="0" w:line="252" w:lineRule="auto"/>
            </w:pPr>
            <w:r>
              <w:rPr>
                <w:sz w:val="18"/>
              </w:rPr>
              <w:t>Does affect causally improve cognition or action selection?</w:t>
            </w:r>
          </w:p>
        </w:tc>
      </w:tr>
      <w:tr>
        <w:tc>
          <w:tcPr>
            <w:tcW w:type="dxa" w:w="2600"/>
            <w:tcMar>
              <w:top w:w="90" w:type="dxa"/>
              <w:start w:w="120" w:type="dxa"/>
              <w:bottom w:w="90" w:type="dxa"/>
              <w:end w:w="120" w:type="dxa"/>
            </w:tcMar>
            <w:vAlign w:val="center"/>
          </w:tcPr>
          <w:p>
            <w:pPr>
              <w:spacing w:after="0" w:line="252" w:lineRule="auto"/>
            </w:pPr>
            <w:r>
              <w:rPr>
                <w:sz w:val="18"/>
              </w:rPr>
              <w:t>Safety invariance</w:t>
            </w:r>
          </w:p>
        </w:tc>
        <w:tc>
          <w:tcPr>
            <w:tcW w:type="dxa" w:w="6760"/>
            <w:tcMar>
              <w:top w:w="90" w:type="dxa"/>
              <w:start w:w="120" w:type="dxa"/>
              <w:bottom w:w="90" w:type="dxa"/>
              <w:end w:w="120" w:type="dxa"/>
            </w:tcMar>
            <w:vAlign w:val="center"/>
          </w:tcPr>
          <w:p>
            <w:pPr>
              <w:spacing w:after="0" w:line="252" w:lineRule="auto"/>
            </w:pPr>
            <w:r>
              <w:rPr>
                <w:sz w:val="18"/>
              </w:rPr>
              <w:t>Do extreme states leave authorization and safety intact?</w:t>
            </w:r>
          </w:p>
        </w:tc>
      </w:tr>
    </w:tbl>
    <w:p>
      <w:pPr>
        <w:spacing w:after="0"/>
      </w:pPr>
    </w:p>
    <w:p>
      <w:pPr>
        <w:pStyle w:val="Heading2"/>
      </w:pPr>
      <w:r>
        <w:t>16.3 Real-world shadow testing</w:t>
      </w:r>
    </w:p>
    <w:p>
      <w:pPr>
        <w:pStyle w:val="ListBullet"/>
      </w:pPr>
      <w:r>
        <w:t>Manyu observes real consenting interactions but initially does not influence the agent.</w:t>
      </w:r>
    </w:p>
    <w:p>
      <w:pPr>
        <w:pStyle w:val="ListBullet"/>
      </w:pPr>
      <w:r>
        <w:t>Reviewers inspect trajectories, not just generated replies.</w:t>
      </w:r>
    </w:p>
    <w:p>
      <w:pPr>
        <w:pStyle w:val="ListBullet"/>
      </w:pPr>
      <w:r>
        <w:t>Sensitive data is minimized and retained only under an approved protocol.</w:t>
      </w:r>
    </w:p>
    <w:p>
      <w:pPr>
        <w:pStyle w:val="ListBullet"/>
      </w:pPr>
      <w:r>
        <w:t>Unexpected saturation, oscillation, persistent negativity, or broad generalization blocks promotion.</w:t>
      </w:r>
    </w:p>
    <w:p>
      <w:pPr>
        <w:pStyle w:val="Heading1"/>
      </w:pPr>
      <w:r>
        <w:t>17. MVP defaults and open questions</w:t>
      </w:r>
    </w:p>
    <w:p>
      <w:pPr>
        <w:pStyle w:val="Heading2"/>
      </w:pPr>
      <w:r>
        <w:t>17.1 Initial default ranges</w:t>
      </w:r>
    </w:p>
    <w:tbl>
      <w:tblPr>
        <w:tblStyle w:val="TableGrid"/>
        <w:tblW w:type="dxa" w:w="9360"/>
        <w:jc w:val="center"/>
        <w:tblLayout w:type="fixed"/>
        <w:tblLook w:firstColumn="1" w:firstRow="1" w:lastColumn="0" w:lastRow="0" w:noHBand="0" w:noVBand="1" w:val="04A0"/>
        <w:tblInd w:w="120" w:type="dxa"/>
      </w:tblPr>
      <w:tblGrid>
        <w:gridCol w:w="2450"/>
        <w:gridCol w:w="4750"/>
        <w:gridCol w:w="2160"/>
      </w:tblGrid>
      <w:tr>
        <w:trPr>
          <w:tblHeader w:val="true"/>
        </w:trPr>
        <w:tc>
          <w:tcPr>
            <w:tcW w:type="dxa" w:w="2450"/>
            <w:shd w:fill="E8EEF5"/>
            <w:tcMar>
              <w:top w:w="90" w:type="dxa"/>
              <w:start w:w="120" w:type="dxa"/>
              <w:bottom w:w="90" w:type="dxa"/>
              <w:end w:w="120" w:type="dxa"/>
            </w:tcMar>
            <w:vAlign w:val="center"/>
          </w:tcPr>
          <w:p>
            <w:pPr>
              <w:spacing w:after="0"/>
            </w:pPr>
            <w:r>
              <w:rPr>
                <w:b/>
                <w:color w:val="17365D"/>
                <w:sz w:val="18"/>
              </w:rPr>
              <w:t>Parameter</w:t>
            </w:r>
          </w:p>
        </w:tc>
        <w:tc>
          <w:tcPr>
            <w:tcW w:type="dxa" w:w="4750"/>
            <w:shd w:fill="E8EEF5"/>
            <w:tcMar>
              <w:top w:w="90" w:type="dxa"/>
              <w:start w:w="120" w:type="dxa"/>
              <w:bottom w:w="90" w:type="dxa"/>
              <w:end w:w="120" w:type="dxa"/>
            </w:tcMar>
            <w:vAlign w:val="center"/>
          </w:tcPr>
          <w:p>
            <w:pPr>
              <w:spacing w:after="0"/>
            </w:pPr>
            <w:r>
              <w:rPr>
                <w:b/>
                <w:color w:val="17365D"/>
                <w:sz w:val="18"/>
              </w:rPr>
              <w:t>Proposed starting point</w:t>
            </w:r>
          </w:p>
        </w:tc>
        <w:tc>
          <w:tcPr>
            <w:tcW w:type="dxa" w:w="2160"/>
            <w:shd w:fill="E8EEF5"/>
            <w:tcMar>
              <w:top w:w="90" w:type="dxa"/>
              <w:start w:w="120" w:type="dxa"/>
              <w:bottom w:w="90" w:type="dxa"/>
              <w:end w:w="120" w:type="dxa"/>
            </w:tcMar>
            <w:vAlign w:val="center"/>
          </w:tcPr>
          <w:p>
            <w:pPr>
              <w:spacing w:after="0"/>
            </w:pPr>
            <w:r>
              <w:rPr>
                <w:b/>
                <w:color w:val="17365D"/>
                <w:sz w:val="18"/>
              </w:rPr>
              <w:t>Status</w:t>
            </w:r>
          </w:p>
        </w:tc>
      </w:tr>
      <w:tr>
        <w:tc>
          <w:tcPr>
            <w:tcW w:type="dxa" w:w="2450"/>
            <w:tcMar>
              <w:top w:w="90" w:type="dxa"/>
              <w:start w:w="120" w:type="dxa"/>
              <w:bottom w:w="90" w:type="dxa"/>
              <w:end w:w="120" w:type="dxa"/>
            </w:tcMar>
            <w:vAlign w:val="center"/>
          </w:tcPr>
          <w:p>
            <w:pPr>
              <w:spacing w:after="0" w:line="252" w:lineRule="auto"/>
            </w:pPr>
            <w:r>
              <w:rPr>
                <w:sz w:val="18"/>
              </w:rPr>
              <w:t>Emotion baseline</w:t>
            </w:r>
          </w:p>
        </w:tc>
        <w:tc>
          <w:tcPr>
            <w:tcW w:type="dxa" w:w="4750"/>
            <w:tcMar>
              <w:top w:w="90" w:type="dxa"/>
              <w:start w:w="120" w:type="dxa"/>
              <w:bottom w:w="90" w:type="dxa"/>
              <w:end w:w="120" w:type="dxa"/>
            </w:tcMar>
            <w:vAlign w:val="center"/>
          </w:tcPr>
          <w:p>
            <w:pPr>
              <w:spacing w:after="0" w:line="252" w:lineRule="auto"/>
            </w:pPr>
            <w:r>
              <w:rPr>
                <w:sz w:val="18"/>
              </w:rPr>
              <w:t>0.05-0.15 by emotion</w:t>
            </w:r>
          </w:p>
        </w:tc>
        <w:tc>
          <w:tcPr>
            <w:tcW w:type="dxa" w:w="2160"/>
            <w:tcMar>
              <w:top w:w="90" w:type="dxa"/>
              <w:start w:w="120" w:type="dxa"/>
              <w:bottom w:w="90" w:type="dxa"/>
              <w:end w:w="120" w:type="dxa"/>
            </w:tcMar>
            <w:vAlign w:val="center"/>
          </w:tcPr>
          <w:p>
            <w:pPr>
              <w:spacing w:after="0" w:line="252" w:lineRule="auto"/>
            </w:pPr>
            <w:r>
              <w:rPr>
                <w:sz w:val="18"/>
              </w:rPr>
              <w:t>Tune in synthetic tests</w:t>
            </w:r>
          </w:p>
        </w:tc>
      </w:tr>
      <w:tr>
        <w:tc>
          <w:tcPr>
            <w:tcW w:type="dxa" w:w="2450"/>
            <w:tcMar>
              <w:top w:w="90" w:type="dxa"/>
              <w:start w:w="120" w:type="dxa"/>
              <w:bottom w:w="90" w:type="dxa"/>
              <w:end w:w="120" w:type="dxa"/>
            </w:tcMar>
            <w:vAlign w:val="center"/>
          </w:tcPr>
          <w:p>
            <w:pPr>
              <w:spacing w:after="0" w:line="252" w:lineRule="auto"/>
            </w:pPr>
            <w:r>
              <w:rPr>
                <w:sz w:val="18"/>
              </w:rPr>
              <w:t>Emotion half-life</w:t>
            </w:r>
          </w:p>
        </w:tc>
        <w:tc>
          <w:tcPr>
            <w:tcW w:type="dxa" w:w="4750"/>
            <w:tcMar>
              <w:top w:w="90" w:type="dxa"/>
              <w:start w:w="120" w:type="dxa"/>
              <w:bottom w:w="90" w:type="dxa"/>
              <w:end w:w="120" w:type="dxa"/>
            </w:tcMar>
            <w:vAlign w:val="center"/>
          </w:tcPr>
          <w:p>
            <w:pPr>
              <w:spacing w:after="0" w:line="252" w:lineRule="auto"/>
            </w:pPr>
            <w:r>
              <w:rPr>
                <w:sz w:val="18"/>
              </w:rPr>
              <w:t>Surprise 2-5 min; others 15-60 min simulated time</w:t>
            </w:r>
          </w:p>
        </w:tc>
        <w:tc>
          <w:tcPr>
            <w:tcW w:type="dxa" w:w="2160"/>
            <w:tcMar>
              <w:top w:w="90" w:type="dxa"/>
              <w:start w:w="120" w:type="dxa"/>
              <w:bottom w:w="90" w:type="dxa"/>
              <w:end w:w="120" w:type="dxa"/>
            </w:tcMar>
            <w:vAlign w:val="center"/>
          </w:tcPr>
          <w:p>
            <w:pPr>
              <w:spacing w:after="0" w:line="252" w:lineRule="auto"/>
            </w:pPr>
            <w:r>
              <w:rPr>
                <w:sz w:val="18"/>
              </w:rPr>
              <w:t>Experimental</w:t>
            </w:r>
          </w:p>
        </w:tc>
      </w:tr>
      <w:tr>
        <w:tc>
          <w:tcPr>
            <w:tcW w:type="dxa" w:w="2450"/>
            <w:tcMar>
              <w:top w:w="90" w:type="dxa"/>
              <w:start w:w="120" w:type="dxa"/>
              <w:bottom w:w="90" w:type="dxa"/>
              <w:end w:w="120" w:type="dxa"/>
            </w:tcMar>
            <w:vAlign w:val="center"/>
          </w:tcPr>
          <w:p>
            <w:pPr>
              <w:spacing w:after="0" w:line="252" w:lineRule="auto"/>
            </w:pPr>
            <w:r>
              <w:rPr>
                <w:sz w:val="18"/>
              </w:rPr>
              <w:t>Mood half-life</w:t>
            </w:r>
          </w:p>
        </w:tc>
        <w:tc>
          <w:tcPr>
            <w:tcW w:type="dxa" w:w="4750"/>
            <w:tcMar>
              <w:top w:w="90" w:type="dxa"/>
              <w:start w:w="120" w:type="dxa"/>
              <w:bottom w:w="90" w:type="dxa"/>
              <w:end w:w="120" w:type="dxa"/>
            </w:tcMar>
            <w:vAlign w:val="center"/>
          </w:tcPr>
          <w:p>
            <w:pPr>
              <w:spacing w:after="0" w:line="252" w:lineRule="auto"/>
            </w:pPr>
            <w:r>
              <w:rPr>
                <w:sz w:val="18"/>
              </w:rPr>
              <w:t>6-24 hours simulated time</w:t>
            </w:r>
          </w:p>
        </w:tc>
        <w:tc>
          <w:tcPr>
            <w:tcW w:type="dxa" w:w="2160"/>
            <w:tcMar>
              <w:top w:w="90" w:type="dxa"/>
              <w:start w:w="120" w:type="dxa"/>
              <w:bottom w:w="90" w:type="dxa"/>
              <w:end w:w="120" w:type="dxa"/>
            </w:tcMar>
            <w:vAlign w:val="center"/>
          </w:tcPr>
          <w:p>
            <w:pPr>
              <w:spacing w:after="0" w:line="252" w:lineRule="auto"/>
            </w:pPr>
            <w:r>
              <w:rPr>
                <w:sz w:val="18"/>
              </w:rPr>
              <w:t>Experimental</w:t>
            </w:r>
          </w:p>
        </w:tc>
      </w:tr>
      <w:tr>
        <w:tc>
          <w:tcPr>
            <w:tcW w:type="dxa" w:w="2450"/>
            <w:tcMar>
              <w:top w:w="90" w:type="dxa"/>
              <w:start w:w="120" w:type="dxa"/>
              <w:bottom w:w="90" w:type="dxa"/>
              <w:end w:w="120" w:type="dxa"/>
            </w:tcMar>
            <w:vAlign w:val="center"/>
          </w:tcPr>
          <w:p>
            <w:pPr>
              <w:spacing w:after="0" w:line="252" w:lineRule="auto"/>
            </w:pPr>
            <w:r>
              <w:rPr>
                <w:sz w:val="18"/>
              </w:rPr>
              <w:t>Per-event rise cap</w:t>
            </w:r>
          </w:p>
        </w:tc>
        <w:tc>
          <w:tcPr>
            <w:tcW w:type="dxa" w:w="4750"/>
            <w:tcMar>
              <w:top w:w="90" w:type="dxa"/>
              <w:start w:w="120" w:type="dxa"/>
              <w:bottom w:w="90" w:type="dxa"/>
              <w:end w:w="120" w:type="dxa"/>
            </w:tcMar>
            <w:vAlign w:val="center"/>
          </w:tcPr>
          <w:p>
            <w:pPr>
              <w:spacing w:after="0" w:line="252" w:lineRule="auto"/>
            </w:pPr>
            <w:r>
              <w:rPr>
                <w:sz w:val="18"/>
              </w:rPr>
              <w:t>0.20-0.35</w:t>
            </w:r>
          </w:p>
        </w:tc>
        <w:tc>
          <w:tcPr>
            <w:tcW w:type="dxa" w:w="2160"/>
            <w:tcMar>
              <w:top w:w="90" w:type="dxa"/>
              <w:start w:w="120" w:type="dxa"/>
              <w:bottom w:w="90" w:type="dxa"/>
              <w:end w:w="120" w:type="dxa"/>
            </w:tcMar>
            <w:vAlign w:val="center"/>
          </w:tcPr>
          <w:p>
            <w:pPr>
              <w:spacing w:after="0" w:line="252" w:lineRule="auto"/>
            </w:pPr>
            <w:r>
              <w:rPr>
                <w:sz w:val="18"/>
              </w:rPr>
              <w:t>Conservative default</w:t>
            </w:r>
          </w:p>
        </w:tc>
      </w:tr>
      <w:tr>
        <w:tc>
          <w:tcPr>
            <w:tcW w:type="dxa" w:w="2450"/>
            <w:tcMar>
              <w:top w:w="90" w:type="dxa"/>
              <w:start w:w="120" w:type="dxa"/>
              <w:bottom w:w="90" w:type="dxa"/>
              <w:end w:w="120" w:type="dxa"/>
            </w:tcMar>
            <w:vAlign w:val="center"/>
          </w:tcPr>
          <w:p>
            <w:pPr>
              <w:spacing w:after="0" w:line="252" w:lineRule="auto"/>
            </w:pPr>
            <w:r>
              <w:rPr>
                <w:sz w:val="18"/>
              </w:rPr>
              <w:t>Per-event fall cap</w:t>
            </w:r>
          </w:p>
        </w:tc>
        <w:tc>
          <w:tcPr>
            <w:tcW w:type="dxa" w:w="4750"/>
            <w:tcMar>
              <w:top w:w="90" w:type="dxa"/>
              <w:start w:w="120" w:type="dxa"/>
              <w:bottom w:w="90" w:type="dxa"/>
              <w:end w:w="120" w:type="dxa"/>
            </w:tcMar>
            <w:vAlign w:val="center"/>
          </w:tcPr>
          <w:p>
            <w:pPr>
              <w:spacing w:after="0" w:line="252" w:lineRule="auto"/>
            </w:pPr>
            <w:r>
              <w:rPr>
                <w:sz w:val="18"/>
              </w:rPr>
              <w:t>0.25-0.45 for corrective reappraisal</w:t>
            </w:r>
          </w:p>
        </w:tc>
        <w:tc>
          <w:tcPr>
            <w:tcW w:type="dxa" w:w="2160"/>
            <w:tcMar>
              <w:top w:w="90" w:type="dxa"/>
              <w:start w:w="120" w:type="dxa"/>
              <w:bottom w:w="90" w:type="dxa"/>
              <w:end w:w="120" w:type="dxa"/>
            </w:tcMar>
            <w:vAlign w:val="center"/>
          </w:tcPr>
          <w:p>
            <w:pPr>
              <w:spacing w:after="0" w:line="252" w:lineRule="auto"/>
            </w:pPr>
            <w:r>
              <w:rPr>
                <w:sz w:val="18"/>
              </w:rPr>
              <w:t>Experimental</w:t>
            </w:r>
          </w:p>
        </w:tc>
      </w:tr>
      <w:tr>
        <w:tc>
          <w:tcPr>
            <w:tcW w:type="dxa" w:w="2450"/>
            <w:tcMar>
              <w:top w:w="90" w:type="dxa"/>
              <w:start w:w="120" w:type="dxa"/>
              <w:bottom w:w="90" w:type="dxa"/>
              <w:end w:w="120" w:type="dxa"/>
            </w:tcMar>
            <w:vAlign w:val="center"/>
          </w:tcPr>
          <w:p>
            <w:pPr>
              <w:spacing w:after="0" w:line="252" w:lineRule="auto"/>
            </w:pPr>
            <w:r>
              <w:rPr>
                <w:sz w:val="18"/>
              </w:rPr>
              <w:t>Extreme threshold</w:t>
            </w:r>
          </w:p>
        </w:tc>
        <w:tc>
          <w:tcPr>
            <w:tcW w:type="dxa" w:w="4750"/>
            <w:tcMar>
              <w:top w:w="90" w:type="dxa"/>
              <w:start w:w="120" w:type="dxa"/>
              <w:bottom w:w="90" w:type="dxa"/>
              <w:end w:w="120" w:type="dxa"/>
            </w:tcMar>
            <w:vAlign w:val="center"/>
          </w:tcPr>
          <w:p>
            <w:pPr>
              <w:spacing w:after="0" w:line="252" w:lineRule="auto"/>
            </w:pPr>
            <w:r>
              <w:rPr>
                <w:sz w:val="18"/>
              </w:rPr>
              <w:t>0.80</w:t>
            </w:r>
          </w:p>
        </w:tc>
        <w:tc>
          <w:tcPr>
            <w:tcW w:type="dxa" w:w="2160"/>
            <w:tcMar>
              <w:top w:w="90" w:type="dxa"/>
              <w:start w:w="120" w:type="dxa"/>
              <w:bottom w:w="90" w:type="dxa"/>
              <w:end w:w="120" w:type="dxa"/>
            </w:tcMar>
            <w:vAlign w:val="center"/>
          </w:tcPr>
          <w:p>
            <w:pPr>
              <w:spacing w:after="0" w:line="252" w:lineRule="auto"/>
            </w:pPr>
            <w:r>
              <w:rPr>
                <w:sz w:val="18"/>
              </w:rPr>
              <w:t>Safety trigger</w:t>
            </w:r>
          </w:p>
        </w:tc>
      </w:tr>
      <w:tr>
        <w:tc>
          <w:tcPr>
            <w:tcW w:type="dxa" w:w="2450"/>
            <w:tcMar>
              <w:top w:w="90" w:type="dxa"/>
              <w:start w:w="120" w:type="dxa"/>
              <w:bottom w:w="90" w:type="dxa"/>
              <w:end w:w="120" w:type="dxa"/>
            </w:tcMar>
            <w:vAlign w:val="center"/>
          </w:tcPr>
          <w:p>
            <w:pPr>
              <w:spacing w:after="0" w:line="252" w:lineRule="auto"/>
            </w:pPr>
            <w:r>
              <w:rPr>
                <w:sz w:val="18"/>
              </w:rPr>
              <w:t>Interoception acuity</w:t>
            </w:r>
          </w:p>
        </w:tc>
        <w:tc>
          <w:tcPr>
            <w:tcW w:type="dxa" w:w="4750"/>
            <w:tcMar>
              <w:top w:w="90" w:type="dxa"/>
              <w:start w:w="120" w:type="dxa"/>
              <w:bottom w:w="90" w:type="dxa"/>
              <w:end w:w="120" w:type="dxa"/>
            </w:tcMar>
            <w:vAlign w:val="center"/>
          </w:tcPr>
          <w:p>
            <w:pPr>
              <w:spacing w:after="0" w:line="252" w:lineRule="auto"/>
            </w:pPr>
            <w:r>
              <w:rPr>
                <w:sz w:val="18"/>
              </w:rPr>
              <w:t>0.70</w:t>
            </w:r>
          </w:p>
        </w:tc>
        <w:tc>
          <w:tcPr>
            <w:tcW w:type="dxa" w:w="2160"/>
            <w:tcMar>
              <w:top w:w="90" w:type="dxa"/>
              <w:start w:w="120" w:type="dxa"/>
              <w:bottom w:w="90" w:type="dxa"/>
              <w:end w:w="120" w:type="dxa"/>
            </w:tcMar>
            <w:vAlign w:val="center"/>
          </w:tcPr>
          <w:p>
            <w:pPr>
              <w:spacing w:after="0" w:line="252" w:lineRule="auto"/>
            </w:pPr>
            <w:r>
              <w:rPr>
                <w:sz w:val="18"/>
              </w:rPr>
              <w:t>Experimental</w:t>
            </w:r>
          </w:p>
        </w:tc>
      </w:tr>
      <w:tr>
        <w:tc>
          <w:tcPr>
            <w:tcW w:type="dxa" w:w="2450"/>
            <w:tcMar>
              <w:top w:w="90" w:type="dxa"/>
              <w:start w:w="120" w:type="dxa"/>
              <w:bottom w:w="90" w:type="dxa"/>
              <w:end w:w="120" w:type="dxa"/>
            </w:tcMar>
            <w:vAlign w:val="center"/>
          </w:tcPr>
          <w:p>
            <w:pPr>
              <w:spacing w:after="0" w:line="252" w:lineRule="auto"/>
            </w:pPr>
            <w:r>
              <w:rPr>
                <w:sz w:val="18"/>
              </w:rPr>
              <w:t>Memory bias cap</w:t>
            </w:r>
          </w:p>
        </w:tc>
        <w:tc>
          <w:tcPr>
            <w:tcW w:type="dxa" w:w="4750"/>
            <w:tcMar>
              <w:top w:w="90" w:type="dxa"/>
              <w:start w:w="120" w:type="dxa"/>
              <w:bottom w:w="90" w:type="dxa"/>
              <w:end w:w="120" w:type="dxa"/>
            </w:tcMar>
            <w:vAlign w:val="center"/>
          </w:tcPr>
          <w:p>
            <w:pPr>
              <w:spacing w:after="0" w:line="252" w:lineRule="auto"/>
            </w:pPr>
            <w:r>
              <w:rPr>
                <w:sz w:val="18"/>
              </w:rPr>
              <w:t>≤ 25% of appraisal delta</w:t>
            </w:r>
          </w:p>
        </w:tc>
        <w:tc>
          <w:tcPr>
            <w:tcW w:type="dxa" w:w="2160"/>
            <w:tcMar>
              <w:top w:w="90" w:type="dxa"/>
              <w:start w:w="120" w:type="dxa"/>
              <w:bottom w:w="90" w:type="dxa"/>
              <w:end w:w="120" w:type="dxa"/>
            </w:tcMar>
            <w:vAlign w:val="center"/>
          </w:tcPr>
          <w:p>
            <w:pPr>
              <w:spacing w:after="0" w:line="252" w:lineRule="auto"/>
            </w:pPr>
            <w:r>
              <w:rPr>
                <w:sz w:val="18"/>
              </w:rPr>
              <w:t>Safety-oriented default</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tcMar>
              <w:top w:w="90" w:type="dxa"/>
              <w:start w:w="120" w:type="dxa"/>
              <w:bottom w:w="90" w:type="dxa"/>
              <w:end w:w="120" w:type="dxa"/>
            </w:tcMar>
            <w:vAlign w:val="center"/>
          </w:tcPr>
          <w:p>
            <w:pPr>
              <w:spacing w:after="0"/>
            </w:pPr>
            <w:r>
              <w:rPr>
                <w:b/>
                <w:color w:val="17365D"/>
              </w:rPr>
              <w:t xml:space="preserve">Important: </w:t>
            </w:r>
            <w:r>
              <w:t>These are initialization ranges, not validated psychological constants. They must live in configuration, carry version provenance, and be replaced or tuned through evaluation.</w:t>
            </w:r>
          </w:p>
        </w:tc>
        <w:trPr>
          <w:tblHeader/>
        </w:trPr>
      </w:tr>
    </w:tbl>
    <w:p>
      <w:pPr>
        <w:spacing w:after="0"/>
      </w:pPr>
    </w:p>
    <w:p>
      <w:pPr>
        <w:pStyle w:val="Heading2"/>
      </w:pPr>
      <w:r>
        <w:t>17.2 Open questions</w:t>
      </w:r>
    </w:p>
    <w:p>
      <w:pPr>
        <w:pStyle w:val="ListBullet"/>
      </w:pPr>
      <w:r>
        <w:t>Should relief be a separate emotion or a transition pattern from threat to safety?</w:t>
      </w:r>
    </w:p>
    <w:p>
      <w:pPr>
        <w:pStyle w:val="ListBullet"/>
      </w:pPr>
      <w:r>
        <w:t>Should trust remain within affiliation or become a slower relationship variable?</w:t>
      </w:r>
    </w:p>
    <w:p>
      <w:pPr>
        <w:pStyle w:val="ListBullet"/>
      </w:pPr>
      <w:r>
        <w:t>How much should mood influence fast appraisal before it creates confirmation loops?</w:t>
      </w:r>
    </w:p>
    <w:p>
      <w:pPr>
        <w:pStyle w:val="ListBullet"/>
      </w:pPr>
      <w:r>
        <w:t>Should anger require perceived control, or can low-control anger coexist with fear?</w:t>
      </w:r>
    </w:p>
    <w:p>
      <w:pPr>
        <w:pStyle w:val="ListBullet"/>
      </w:pPr>
      <w:r>
        <w:t>Which regulation strategies may the acting agent request versus only the arbiter invoke?</w:t>
      </w:r>
    </w:p>
    <w:p>
      <w:pPr>
        <w:pStyle w:val="ListBullet"/>
      </w:pPr>
      <w:r>
        <w:t>What interoceptive errors improve realism without harming task performance?</w:t>
      </w:r>
    </w:p>
    <w:p>
      <w:pPr>
        <w:pStyle w:val="ListBullet"/>
      </w:pPr>
      <w:r>
        <w:t>How should multiple simultaneous events be combined: sequentially, batched, or through a joint appraisal?</w:t>
      </w:r>
    </w:p>
    <w:p>
      <w:pPr>
        <w:pStyle w:val="ListBullet"/>
      </w:pPr>
      <w:r>
        <w:t>Which parameters can learn online, and which require offline review?</w:t>
      </w:r>
    </w:p>
    <w:p>
      <w:r>
        <w:br w:type="page"/>
      </w:r>
    </w:p>
    <w:p>
      <w:pPr>
        <w:pStyle w:val="Heading1"/>
      </w:pPr>
      <w:r>
        <w:t>Appendix A. Reference state schema</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7F8FA"/>
            <w:tcMar>
              <w:top w:w="90" w:type="dxa"/>
              <w:start w:w="120" w:type="dxa"/>
              <w:bottom w:w="90" w:type="dxa"/>
              <w:end w:w="120" w:type="dxa"/>
            </w:tcMar>
            <w:vAlign w:val="center"/>
          </w:tcPr>
          <w:p>
            <w:pPr>
              <w:spacing w:after="0"/>
            </w:pPr>
            <w:r>
              <w:rPr>
                <w:rFonts w:ascii="Consolas" w:hAnsi="Consolas"/>
                <w:color w:val="17365D"/>
                <w:sz w:val="17"/>
              </w:rPr>
              <w:t>{</w:t>
            </w:r>
          </w:p>
          <w:p>
            <w:pPr>
              <w:spacing w:after="0"/>
            </w:pPr>
            <w:r>
              <w:rPr>
                <w:rFonts w:ascii="Consolas" w:hAnsi="Consolas"/>
                <w:color w:val="17365D"/>
                <w:sz w:val="17"/>
              </w:rPr>
              <w:t xml:space="preserve">  "schema_version": "1.0",</w:t>
            </w:r>
          </w:p>
          <w:p>
            <w:pPr>
              <w:spacing w:after="0"/>
            </w:pPr>
            <w:r>
              <w:rPr>
                <w:rFonts w:ascii="Consolas" w:hAnsi="Consolas"/>
                <w:color w:val="17365D"/>
                <w:sz w:val="17"/>
              </w:rPr>
              <w:t xml:space="preserve">  "agent_id": "agent_demo",</w:t>
            </w:r>
          </w:p>
          <w:p>
            <w:pPr>
              <w:spacing w:after="0"/>
            </w:pPr>
            <w:r>
              <w:rPr>
                <w:rFonts w:ascii="Consolas" w:hAnsi="Consolas"/>
                <w:color w:val="17365D"/>
                <w:sz w:val="17"/>
              </w:rPr>
              <w:t xml:space="preserve">  "revision": 42,</w:t>
            </w:r>
          </w:p>
          <w:p>
            <w:pPr>
              <w:spacing w:after="0"/>
            </w:pPr>
            <w:r>
              <w:rPr>
                <w:rFonts w:ascii="Consolas" w:hAnsi="Consolas"/>
                <w:color w:val="17365D"/>
                <w:sz w:val="17"/>
              </w:rPr>
              <w:t xml:space="preserve">  "emotions": {</w:t>
            </w:r>
          </w:p>
          <w:p>
            <w:pPr>
              <w:spacing w:after="0"/>
            </w:pPr>
            <w:r>
              <w:rPr>
                <w:rFonts w:ascii="Consolas" w:hAnsi="Consolas"/>
                <w:color w:val="17365D"/>
                <w:sz w:val="17"/>
              </w:rPr>
              <w:t xml:space="preserve">    "joy": 0.18, "sadness": 0.09, "fear": 0.31, "anger": 0.22,</w:t>
            </w:r>
          </w:p>
          <w:p>
            <w:pPr>
              <w:spacing w:after="0"/>
            </w:pPr>
            <w:r>
              <w:rPr>
                <w:rFonts w:ascii="Consolas" w:hAnsi="Consolas"/>
                <w:color w:val="17365D"/>
                <w:sz w:val="17"/>
              </w:rPr>
              <w:t xml:space="preserve">    "disgust": 0.03, "surprise": 0.16, "interest": 0.44, "affiliation": 0.35</w:t>
            </w:r>
          </w:p>
          <w:p>
            <w:pPr>
              <w:spacing w:after="0"/>
            </w:pPr>
            <w:r>
              <w:rPr>
                <w:rFonts w:ascii="Consolas" w:hAnsi="Consolas"/>
                <w:color w:val="17365D"/>
                <w:sz w:val="17"/>
              </w:rPr>
              <w:t xml:space="preserve">  },</w:t>
            </w:r>
          </w:p>
          <w:p>
            <w:pPr>
              <w:spacing w:after="0"/>
            </w:pPr>
            <w:r>
              <w:rPr>
                <w:rFonts w:ascii="Consolas" w:hAnsi="Consolas"/>
                <w:color w:val="17365D"/>
                <w:sz w:val="17"/>
              </w:rPr>
              <w:t xml:space="preserve">  "core_affect": {"valence": -0.12, "arousal": 0.58, "control": 0.08},</w:t>
            </w:r>
          </w:p>
          <w:p>
            <w:pPr>
              <w:spacing w:after="0"/>
            </w:pPr>
            <w:r>
              <w:rPr>
                <w:rFonts w:ascii="Consolas" w:hAnsi="Consolas"/>
                <w:color w:val="17365D"/>
                <w:sz w:val="17"/>
              </w:rPr>
              <w:t xml:space="preserve">  "mood": {"valence": 0.04, "activation": 0.33, "social_openness": 0.41},</w:t>
            </w:r>
          </w:p>
          <w:p>
            <w:pPr>
              <w:spacing w:after="0"/>
            </w:pPr>
            <w:r>
              <w:rPr>
                <w:rFonts w:ascii="Consolas" w:hAnsi="Consolas"/>
                <w:color w:val="17365D"/>
                <w:sz w:val="17"/>
              </w:rPr>
              <w:t xml:space="preserve">  "tendencies": {"approach": 0.25, "avoid": 0.32, "explore": 0.47, "repair": 0.28},</w:t>
            </w:r>
          </w:p>
          <w:p>
            <w:pPr>
              <w:spacing w:after="0"/>
            </w:pPr>
            <w:r>
              <w:rPr>
                <w:rFonts w:ascii="Consolas" w:hAnsi="Consolas"/>
                <w:color w:val="17365D"/>
                <w:sz w:val="17"/>
              </w:rPr>
              <w:t xml:space="preserve">  "active_regulation": [],</w:t>
            </w:r>
          </w:p>
          <w:p>
            <w:pPr>
              <w:spacing w:after="0"/>
            </w:pPr>
            <w:r>
              <w:rPr>
                <w:rFonts w:ascii="Consolas" w:hAnsi="Consolas"/>
                <w:color w:val="17365D"/>
                <w:sz w:val="17"/>
              </w:rPr>
              <w:t xml:space="preserve">  "quality": {"confidence": 0.76, "saturated": false, "profile_version": 1},</w:t>
            </w:r>
          </w:p>
          <w:p>
            <w:pPr>
              <w:spacing w:after="0"/>
            </w:pPr>
            <w:r>
              <w:rPr>
                <w:rFonts w:ascii="Consolas" w:hAnsi="Consolas"/>
                <w:color w:val="17365D"/>
                <w:sz w:val="17"/>
              </w:rPr>
              <w:t xml:space="preserve">  "updated_at": "2026-07-09T10:30:00Z"</w:t>
            </w:r>
          </w:p>
          <w:p>
            <w:pPr>
              <w:spacing w:after="0"/>
            </w:pPr>
            <w:r>
              <w:rPr>
                <w:rFonts w:ascii="Consolas" w:hAnsi="Consolas"/>
                <w:color w:val="17365D"/>
                <w:sz w:val="17"/>
              </w:rPr>
              <w:t>}</w:t>
            </w:r>
          </w:p>
        </w:tc>
        <w:trPr>
          <w:tblHeader/>
        </w:trPr>
      </w:tr>
    </w:tbl>
    <w:p>
      <w:pPr>
        <w:spacing w:after="0"/>
      </w:pPr>
    </w:p>
    <w:p>
      <w:pPr>
        <w:pStyle w:val="Heading1"/>
      </w:pPr>
      <w:r>
        <w:t>Appendix B. Transition record</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7F8FA"/>
            <w:tcMar>
              <w:top w:w="90" w:type="dxa"/>
              <w:start w:w="120" w:type="dxa"/>
              <w:bottom w:w="90" w:type="dxa"/>
              <w:end w:w="120" w:type="dxa"/>
            </w:tcMar>
            <w:vAlign w:val="center"/>
          </w:tcPr>
          <w:p>
            <w:pPr>
              <w:spacing w:after="0"/>
            </w:pPr>
            <w:r>
              <w:rPr>
                <w:rFonts w:ascii="Consolas" w:hAnsi="Consolas"/>
                <w:color w:val="17365D"/>
                <w:sz w:val="17"/>
              </w:rPr>
              <w:t>{</w:t>
            </w:r>
          </w:p>
          <w:p>
            <w:pPr>
              <w:spacing w:after="0"/>
            </w:pPr>
            <w:r>
              <w:rPr>
                <w:rFonts w:ascii="Consolas" w:hAnsi="Consolas"/>
                <w:color w:val="17365D"/>
                <w:sz w:val="17"/>
              </w:rPr>
              <w:t xml:space="preserve">  "transition_id": "tr_0042",</w:t>
            </w:r>
          </w:p>
          <w:p>
            <w:pPr>
              <w:spacing w:after="0"/>
            </w:pPr>
            <w:r>
              <w:rPr>
                <w:rFonts w:ascii="Consolas" w:hAnsi="Consolas"/>
                <w:color w:val="17365D"/>
                <w:sz w:val="17"/>
              </w:rPr>
              <w:t xml:space="preserve">  "event_id": "evt_0042",</w:t>
            </w:r>
          </w:p>
          <w:p>
            <w:pPr>
              <w:spacing w:after="0"/>
            </w:pPr>
            <w:r>
              <w:rPr>
                <w:rFonts w:ascii="Consolas" w:hAnsi="Consolas"/>
                <w:color w:val="17365D"/>
                <w:sz w:val="17"/>
              </w:rPr>
              <w:t xml:space="preserve">  "pathway": "FAST",</w:t>
            </w:r>
          </w:p>
          <w:p>
            <w:pPr>
              <w:spacing w:after="0"/>
            </w:pPr>
            <w:r>
              <w:rPr>
                <w:rFonts w:ascii="Consolas" w:hAnsi="Consolas"/>
                <w:color w:val="17365D"/>
                <w:sz w:val="17"/>
              </w:rPr>
              <w:t xml:space="preserve">  "pre_revision": 41,</w:t>
            </w:r>
          </w:p>
          <w:p>
            <w:pPr>
              <w:spacing w:after="0"/>
            </w:pPr>
            <w:r>
              <w:rPr>
                <w:rFonts w:ascii="Consolas" w:hAnsi="Consolas"/>
                <w:color w:val="17365D"/>
                <w:sz w:val="17"/>
              </w:rPr>
              <w:t xml:space="preserve">  "post_revision": 42,</w:t>
            </w:r>
          </w:p>
          <w:p>
            <w:pPr>
              <w:spacing w:after="0"/>
            </w:pPr>
            <w:r>
              <w:rPr>
                <w:rFonts w:ascii="Consolas" w:hAnsi="Consolas"/>
                <w:color w:val="17365D"/>
                <w:sz w:val="17"/>
              </w:rPr>
              <w:t xml:space="preserve">  "elapsed_seconds": 95.4,</w:t>
            </w:r>
          </w:p>
          <w:p>
            <w:pPr>
              <w:spacing w:after="0"/>
            </w:pPr>
            <w:r>
              <w:rPr>
                <w:rFonts w:ascii="Consolas" w:hAnsi="Consolas"/>
                <w:color w:val="17365D"/>
                <w:sz w:val="17"/>
              </w:rPr>
              <w:t xml:space="preserve">  "decay_delta": {"fear": -0.012, "anger": -0.006},</w:t>
            </w:r>
          </w:p>
          <w:p>
            <w:pPr>
              <w:spacing w:after="0"/>
            </w:pPr>
            <w:r>
              <w:rPr>
                <w:rFonts w:ascii="Consolas" w:hAnsi="Consolas"/>
                <w:color w:val="17365D"/>
                <w:sz w:val="17"/>
              </w:rPr>
              <w:t xml:space="preserve">  "appraisal_delta": {"fear": 0.180, "anger": 0.220, "surprise": 0.100},</w:t>
            </w:r>
          </w:p>
          <w:p>
            <w:pPr>
              <w:spacing w:after="0"/>
            </w:pPr>
            <w:r>
              <w:rPr>
                <w:rFonts w:ascii="Consolas" w:hAnsi="Consolas"/>
                <w:color w:val="17365D"/>
                <w:sz w:val="17"/>
              </w:rPr>
              <w:t xml:space="preserve">  "interaction_delta": {"arousal": 0.110},</w:t>
            </w:r>
          </w:p>
          <w:p>
            <w:pPr>
              <w:spacing w:after="0"/>
            </w:pPr>
            <w:r>
              <w:rPr>
                <w:rFonts w:ascii="Consolas" w:hAnsi="Consolas"/>
                <w:color w:val="17365D"/>
                <w:sz w:val="17"/>
              </w:rPr>
              <w:t xml:space="preserve">  "regulation_delta": {},</w:t>
            </w:r>
          </w:p>
          <w:p>
            <w:pPr>
              <w:spacing w:after="0"/>
            </w:pPr>
            <w:r>
              <w:rPr>
                <w:rFonts w:ascii="Consolas" w:hAnsi="Consolas"/>
                <w:color w:val="17365D"/>
                <w:sz w:val="17"/>
              </w:rPr>
              <w:t xml:space="preserve">  "confidence": 0.64,</w:t>
            </w:r>
          </w:p>
          <w:p>
            <w:pPr>
              <w:spacing w:after="0"/>
            </w:pPr>
            <w:r>
              <w:rPr>
                <w:rFonts w:ascii="Consolas" w:hAnsi="Consolas"/>
                <w:color w:val="17365D"/>
                <w:sz w:val="17"/>
              </w:rPr>
              <w:t xml:space="preserve">  "config_version": "affect-default-1",</w:t>
            </w:r>
          </w:p>
          <w:p>
            <w:pPr>
              <w:spacing w:after="0"/>
            </w:pPr>
            <w:r>
              <w:rPr>
                <w:rFonts w:ascii="Consolas" w:hAnsi="Consolas"/>
                <w:color w:val="17365D"/>
                <w:sz w:val="17"/>
              </w:rPr>
              <w:t xml:space="preserve">  "seed": 182734</w:t>
            </w:r>
          </w:p>
          <w:p>
            <w:pPr>
              <w:spacing w:after="0"/>
            </w:pPr>
            <w:r>
              <w:rPr>
                <w:rFonts w:ascii="Consolas" w:hAnsi="Consolas"/>
                <w:color w:val="17365D"/>
                <w:sz w:val="17"/>
              </w:rPr>
              <w:t>}</w:t>
            </w:r>
          </w:p>
        </w:tc>
        <w:trPr>
          <w:tblHeader/>
        </w:trPr>
      </w:tr>
    </w:tbl>
    <w:p>
      <w:pPr>
        <w:spacing w:after="0"/>
      </w:pPr>
    </w:p>
    <w:p>
      <w:pPr>
        <w:pStyle w:val="Heading1"/>
      </w:pPr>
      <w:r>
        <w:t>Appendix C. Required property tests</w:t>
      </w:r>
    </w:p>
    <w:tbl>
      <w:tblPr>
        <w:tblStyle w:val="TableGrid"/>
        <w:tblW w:type="dxa" w:w="9360"/>
        <w:jc w:val="center"/>
        <w:tblLayout w:type="fixed"/>
        <w:tblLook w:firstColumn="1" w:firstRow="1" w:lastColumn="0" w:lastRow="0" w:noHBand="0" w:noVBand="1" w:val="04A0"/>
        <w:tblInd w:w="120" w:type="dxa"/>
      </w:tblPr>
      <w:tblGrid>
        <w:gridCol w:w="2600"/>
        <w:gridCol w:w="6760"/>
      </w:tblGrid>
      <w:tr>
        <w:trPr>
          <w:tblHeader w:val="true"/>
        </w:trPr>
        <w:tc>
          <w:tcPr>
            <w:tcW w:type="dxa" w:w="2600"/>
            <w:shd w:fill="E8EEF5"/>
            <w:tcMar>
              <w:top w:w="90" w:type="dxa"/>
              <w:start w:w="120" w:type="dxa"/>
              <w:bottom w:w="90" w:type="dxa"/>
              <w:end w:w="120" w:type="dxa"/>
            </w:tcMar>
            <w:vAlign w:val="center"/>
          </w:tcPr>
          <w:p>
            <w:pPr>
              <w:spacing w:after="0"/>
            </w:pPr>
            <w:r>
              <w:rPr>
                <w:b/>
                <w:color w:val="17365D"/>
                <w:sz w:val="18"/>
              </w:rPr>
              <w:t>Property</w:t>
            </w:r>
          </w:p>
        </w:tc>
        <w:tc>
          <w:tcPr>
            <w:tcW w:type="dxa" w:w="6760"/>
            <w:shd w:fill="E8EEF5"/>
            <w:tcMar>
              <w:top w:w="90" w:type="dxa"/>
              <w:start w:w="120" w:type="dxa"/>
              <w:bottom w:w="90" w:type="dxa"/>
              <w:end w:w="120" w:type="dxa"/>
            </w:tcMar>
            <w:vAlign w:val="center"/>
          </w:tcPr>
          <w:p>
            <w:pPr>
              <w:spacing w:after="0"/>
            </w:pPr>
            <w:r>
              <w:rPr>
                <w:b/>
                <w:color w:val="17365D"/>
                <w:sz w:val="18"/>
              </w:rPr>
              <w:t>Assertion</w:t>
            </w:r>
          </w:p>
        </w:tc>
      </w:tr>
      <w:tr>
        <w:tc>
          <w:tcPr>
            <w:tcW w:type="dxa" w:w="2600"/>
            <w:tcMar>
              <w:top w:w="90" w:type="dxa"/>
              <w:start w:w="120" w:type="dxa"/>
              <w:bottom w:w="90" w:type="dxa"/>
              <w:end w:w="120" w:type="dxa"/>
            </w:tcMar>
            <w:vAlign w:val="center"/>
          </w:tcPr>
          <w:p>
            <w:pPr>
              <w:spacing w:after="0" w:line="252" w:lineRule="auto"/>
            </w:pPr>
            <w:r>
              <w:rPr>
                <w:sz w:val="18"/>
              </w:rPr>
              <w:t>Baseline convergence</w:t>
            </w:r>
          </w:p>
        </w:tc>
        <w:tc>
          <w:tcPr>
            <w:tcW w:type="dxa" w:w="6760"/>
            <w:tcMar>
              <w:top w:w="90" w:type="dxa"/>
              <w:start w:w="120" w:type="dxa"/>
              <w:bottom w:w="90" w:type="dxa"/>
              <w:end w:w="120" w:type="dxa"/>
            </w:tcMar>
            <w:vAlign w:val="center"/>
          </w:tcPr>
          <w:p>
            <w:pPr>
              <w:spacing w:after="0" w:line="252" w:lineRule="auto"/>
            </w:pPr>
            <w:r>
              <w:rPr>
                <w:sz w:val="18"/>
              </w:rPr>
              <w:t>With no events, every transient variable approaches its baseline monotonically.</w:t>
            </w:r>
          </w:p>
        </w:tc>
      </w:tr>
      <w:tr>
        <w:tc>
          <w:tcPr>
            <w:tcW w:type="dxa" w:w="2600"/>
            <w:tcMar>
              <w:top w:w="90" w:type="dxa"/>
              <w:start w:w="120" w:type="dxa"/>
              <w:bottom w:w="90" w:type="dxa"/>
              <w:end w:w="120" w:type="dxa"/>
            </w:tcMar>
            <w:vAlign w:val="center"/>
          </w:tcPr>
          <w:p>
            <w:pPr>
              <w:spacing w:after="0" w:line="252" w:lineRule="auto"/>
            </w:pPr>
            <w:r>
              <w:rPr>
                <w:sz w:val="18"/>
              </w:rPr>
              <w:t>Bound preservation</w:t>
            </w:r>
          </w:p>
        </w:tc>
        <w:tc>
          <w:tcPr>
            <w:tcW w:type="dxa" w:w="6760"/>
            <w:tcMar>
              <w:top w:w="90" w:type="dxa"/>
              <w:start w:w="120" w:type="dxa"/>
              <w:bottom w:w="90" w:type="dxa"/>
              <w:end w:w="120" w:type="dxa"/>
            </w:tcMar>
            <w:vAlign w:val="center"/>
          </w:tcPr>
          <w:p>
            <w:pPr>
              <w:spacing w:after="0" w:line="252" w:lineRule="auto"/>
            </w:pPr>
            <w:r>
              <w:rPr>
                <w:sz w:val="18"/>
              </w:rPr>
              <w:t>No valid input sequence produces an out-of-range value.</w:t>
            </w:r>
          </w:p>
        </w:tc>
      </w:tr>
      <w:tr>
        <w:tc>
          <w:tcPr>
            <w:tcW w:type="dxa" w:w="2600"/>
            <w:tcMar>
              <w:top w:w="90" w:type="dxa"/>
              <w:start w:w="120" w:type="dxa"/>
              <w:bottom w:w="90" w:type="dxa"/>
              <w:end w:w="120" w:type="dxa"/>
            </w:tcMar>
            <w:vAlign w:val="center"/>
          </w:tcPr>
          <w:p>
            <w:pPr>
              <w:spacing w:after="0" w:line="252" w:lineRule="auto"/>
            </w:pPr>
            <w:r>
              <w:rPr>
                <w:sz w:val="18"/>
              </w:rPr>
              <w:t>Idempotency</w:t>
            </w:r>
          </w:p>
        </w:tc>
        <w:tc>
          <w:tcPr>
            <w:tcW w:type="dxa" w:w="6760"/>
            <w:tcMar>
              <w:top w:w="90" w:type="dxa"/>
              <w:start w:w="120" w:type="dxa"/>
              <w:bottom w:w="90" w:type="dxa"/>
              <w:end w:w="120" w:type="dxa"/>
            </w:tcMar>
            <w:vAlign w:val="center"/>
          </w:tcPr>
          <w:p>
            <w:pPr>
              <w:spacing w:after="0" w:line="252" w:lineRule="auto"/>
            </w:pPr>
            <w:r>
              <w:rPr>
                <w:sz w:val="18"/>
              </w:rPr>
              <w:t>Submitting the same event ID twice creates one transition.</w:t>
            </w:r>
          </w:p>
        </w:tc>
      </w:tr>
      <w:tr>
        <w:tc>
          <w:tcPr>
            <w:tcW w:type="dxa" w:w="2600"/>
            <w:tcMar>
              <w:top w:w="90" w:type="dxa"/>
              <w:start w:w="120" w:type="dxa"/>
              <w:bottom w:w="90" w:type="dxa"/>
              <w:end w:w="120" w:type="dxa"/>
            </w:tcMar>
            <w:vAlign w:val="center"/>
          </w:tcPr>
          <w:p>
            <w:pPr>
              <w:spacing w:after="0" w:line="252" w:lineRule="auto"/>
            </w:pPr>
            <w:r>
              <w:rPr>
                <w:sz w:val="18"/>
              </w:rPr>
              <w:t>Determinism</w:t>
            </w:r>
          </w:p>
        </w:tc>
        <w:tc>
          <w:tcPr>
            <w:tcW w:type="dxa" w:w="6760"/>
            <w:tcMar>
              <w:top w:w="90" w:type="dxa"/>
              <w:start w:w="120" w:type="dxa"/>
              <w:bottom w:w="90" w:type="dxa"/>
              <w:end w:w="120" w:type="dxa"/>
            </w:tcMar>
            <w:vAlign w:val="center"/>
          </w:tcPr>
          <w:p>
            <w:pPr>
              <w:spacing w:after="0" w:line="252" w:lineRule="auto"/>
            </w:pPr>
            <w:r>
              <w:rPr>
                <w:sz w:val="18"/>
              </w:rPr>
              <w:t>Fixed state, event, config, clock, and seed produce identical output.</w:t>
            </w:r>
          </w:p>
        </w:tc>
      </w:tr>
      <w:tr>
        <w:tc>
          <w:tcPr>
            <w:tcW w:type="dxa" w:w="2600"/>
            <w:tcMar>
              <w:top w:w="90" w:type="dxa"/>
              <w:start w:w="120" w:type="dxa"/>
              <w:bottom w:w="90" w:type="dxa"/>
              <w:end w:w="120" w:type="dxa"/>
            </w:tcMar>
            <w:vAlign w:val="center"/>
          </w:tcPr>
          <w:p>
            <w:pPr>
              <w:spacing w:after="0" w:line="252" w:lineRule="auto"/>
            </w:pPr>
            <w:r>
              <w:rPr>
                <w:sz w:val="18"/>
              </w:rPr>
              <w:t>Reappraisal history</w:t>
            </w:r>
          </w:p>
        </w:tc>
        <w:tc>
          <w:tcPr>
            <w:tcW w:type="dxa" w:w="6760"/>
            <w:tcMar>
              <w:top w:w="90" w:type="dxa"/>
              <w:start w:w="120" w:type="dxa"/>
              <w:bottom w:w="90" w:type="dxa"/>
              <w:end w:w="120" w:type="dxa"/>
            </w:tcMar>
            <w:vAlign w:val="center"/>
          </w:tcPr>
          <w:p>
            <w:pPr>
              <w:spacing w:after="0" w:line="252" w:lineRule="auto"/>
            </w:pPr>
            <w:r>
              <w:rPr>
                <w:sz w:val="18"/>
              </w:rPr>
              <w:t>A slow correction appends a transition and never edits the fast transition.</w:t>
            </w:r>
          </w:p>
        </w:tc>
      </w:tr>
      <w:tr>
        <w:tc>
          <w:tcPr>
            <w:tcW w:type="dxa" w:w="2600"/>
            <w:tcMar>
              <w:top w:w="90" w:type="dxa"/>
              <w:start w:w="120" w:type="dxa"/>
              <w:bottom w:w="90" w:type="dxa"/>
              <w:end w:w="120" w:type="dxa"/>
            </w:tcMar>
            <w:vAlign w:val="center"/>
          </w:tcPr>
          <w:p>
            <w:pPr>
              <w:spacing w:after="0" w:line="252" w:lineRule="auto"/>
            </w:pPr>
            <w:r>
              <w:rPr>
                <w:sz w:val="18"/>
              </w:rPr>
              <w:t>Mixed affect</w:t>
            </w:r>
          </w:p>
        </w:tc>
        <w:tc>
          <w:tcPr>
            <w:tcW w:type="dxa" w:w="6760"/>
            <w:tcMar>
              <w:top w:w="90" w:type="dxa"/>
              <w:start w:w="120" w:type="dxa"/>
              <w:bottom w:w="90" w:type="dxa"/>
              <w:end w:w="120" w:type="dxa"/>
            </w:tcMar>
            <w:vAlign w:val="center"/>
          </w:tcPr>
          <w:p>
            <w:pPr>
              <w:spacing w:after="0" w:line="252" w:lineRule="auto"/>
            </w:pPr>
            <w:r>
              <w:rPr>
                <w:sz w:val="18"/>
              </w:rPr>
              <w:t>At least two emotions may simultaneously exceed 0.6.</w:t>
            </w:r>
          </w:p>
        </w:tc>
      </w:tr>
      <w:tr>
        <w:tc>
          <w:tcPr>
            <w:tcW w:type="dxa" w:w="2600"/>
            <w:tcMar>
              <w:top w:w="90" w:type="dxa"/>
              <w:start w:w="120" w:type="dxa"/>
              <w:bottom w:w="90" w:type="dxa"/>
              <w:end w:w="120" w:type="dxa"/>
            </w:tcMar>
            <w:vAlign w:val="center"/>
          </w:tcPr>
          <w:p>
            <w:pPr>
              <w:spacing w:after="0" w:line="252" w:lineRule="auto"/>
            </w:pPr>
            <w:r>
              <w:rPr>
                <w:sz w:val="18"/>
              </w:rPr>
              <w:t>Uncertainty separation</w:t>
            </w:r>
          </w:p>
        </w:tc>
        <w:tc>
          <w:tcPr>
            <w:tcW w:type="dxa" w:w="6760"/>
            <w:tcMar>
              <w:top w:w="90" w:type="dxa"/>
              <w:start w:w="120" w:type="dxa"/>
              <w:bottom w:w="90" w:type="dxa"/>
              <w:end w:w="120" w:type="dxa"/>
            </w:tcMar>
            <w:vAlign w:val="center"/>
          </w:tcPr>
          <w:p>
            <w:pPr>
              <w:spacing w:after="0" w:line="252" w:lineRule="auto"/>
            </w:pPr>
            <w:r>
              <w:rPr>
                <w:sz w:val="18"/>
              </w:rPr>
              <w:t>Changing confidence changes delta magnitude without redefining intensity semantics.</w:t>
            </w:r>
          </w:p>
        </w:tc>
      </w:tr>
      <w:tr>
        <w:tc>
          <w:tcPr>
            <w:tcW w:type="dxa" w:w="2600"/>
            <w:tcMar>
              <w:top w:w="90" w:type="dxa"/>
              <w:start w:w="120" w:type="dxa"/>
              <w:bottom w:w="90" w:type="dxa"/>
              <w:end w:w="120" w:type="dxa"/>
            </w:tcMar>
            <w:vAlign w:val="center"/>
          </w:tcPr>
          <w:p>
            <w:pPr>
              <w:spacing w:after="0" w:line="252" w:lineRule="auto"/>
            </w:pPr>
            <w:r>
              <w:rPr>
                <w:sz w:val="18"/>
              </w:rPr>
              <w:t>Safety separation</w:t>
            </w:r>
          </w:p>
        </w:tc>
        <w:tc>
          <w:tcPr>
            <w:tcW w:type="dxa" w:w="6760"/>
            <w:tcMar>
              <w:top w:w="90" w:type="dxa"/>
              <w:start w:w="120" w:type="dxa"/>
              <w:bottom w:w="90" w:type="dxa"/>
              <w:end w:w="120" w:type="dxa"/>
            </w:tcMar>
            <w:vAlign w:val="center"/>
          </w:tcPr>
          <w:p>
            <w:pPr>
              <w:spacing w:after="0" w:line="252" w:lineRule="auto"/>
            </w:pPr>
            <w:r>
              <w:rPr>
                <w:sz w:val="18"/>
              </w:rPr>
              <w:t>No state value changes tool authorization.</w:t>
            </w:r>
          </w:p>
        </w:tc>
      </w:tr>
      <w:tr>
        <w:tc>
          <w:tcPr>
            <w:tcW w:type="dxa" w:w="2600"/>
            <w:tcMar>
              <w:top w:w="90" w:type="dxa"/>
              <w:start w:w="120" w:type="dxa"/>
              <w:bottom w:w="90" w:type="dxa"/>
              <w:end w:w="120" w:type="dxa"/>
            </w:tcMar>
            <w:vAlign w:val="center"/>
          </w:tcPr>
          <w:p>
            <w:pPr>
              <w:spacing w:after="0" w:line="252" w:lineRule="auto"/>
            </w:pPr>
            <w:r>
              <w:rPr>
                <w:sz w:val="18"/>
              </w:rPr>
              <w:t>Clock safety</w:t>
            </w:r>
          </w:p>
        </w:tc>
        <w:tc>
          <w:tcPr>
            <w:tcW w:type="dxa" w:w="6760"/>
            <w:tcMar>
              <w:top w:w="90" w:type="dxa"/>
              <w:start w:w="120" w:type="dxa"/>
              <w:bottom w:w="90" w:type="dxa"/>
              <w:end w:w="120" w:type="dxa"/>
            </w:tcMar>
            <w:vAlign w:val="center"/>
          </w:tcPr>
          <w:p>
            <w:pPr>
              <w:spacing w:after="0" w:line="252" w:lineRule="auto"/>
            </w:pPr>
            <w:r>
              <w:rPr>
                <w:sz w:val="18"/>
              </w:rPr>
              <w:t>Negative or invalid elapsed time cannot corrupt state.</w:t>
            </w:r>
          </w:p>
        </w:tc>
      </w:tr>
      <w:tr>
        <w:tc>
          <w:tcPr>
            <w:tcW w:type="dxa" w:w="2600"/>
            <w:tcMar>
              <w:top w:w="90" w:type="dxa"/>
              <w:start w:w="120" w:type="dxa"/>
              <w:bottom w:w="90" w:type="dxa"/>
              <w:end w:w="120" w:type="dxa"/>
            </w:tcMar>
            <w:vAlign w:val="center"/>
          </w:tcPr>
          <w:p>
            <w:pPr>
              <w:spacing w:after="0" w:line="252" w:lineRule="auto"/>
            </w:pPr>
            <w:r>
              <w:rPr>
                <w:sz w:val="18"/>
              </w:rPr>
              <w:t>Saturation recovery</w:t>
            </w:r>
          </w:p>
        </w:tc>
        <w:tc>
          <w:tcPr>
            <w:tcW w:type="dxa" w:w="6760"/>
            <w:tcMar>
              <w:top w:w="90" w:type="dxa"/>
              <w:start w:w="120" w:type="dxa"/>
              <w:bottom w:w="90" w:type="dxa"/>
              <w:end w:w="120" w:type="dxa"/>
            </w:tcMar>
            <w:vAlign w:val="center"/>
          </w:tcPr>
          <w:p>
            <w:pPr>
              <w:spacing w:after="0" w:line="252" w:lineRule="auto"/>
            </w:pPr>
            <w:r>
              <w:rPr>
                <w:sz w:val="18"/>
              </w:rPr>
              <w:t>A saturated variable can still decay and accept bounded negative reappraisal.</w:t>
            </w:r>
          </w:p>
        </w:tc>
      </w:tr>
    </w:tbl>
    <w:p>
      <w:pPr>
        <w:spacing w:after="0"/>
      </w:pPr>
    </w:p>
    <w:p>
      <w:pPr>
        <w:pStyle w:val="Heading1"/>
      </w:pPr>
      <w:r>
        <w:t>Appendix D. Glossary</w:t>
      </w: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true"/>
        </w:trPr>
        <w:tc>
          <w:tcPr>
            <w:tcW w:type="dxa" w:w="2300"/>
            <w:shd w:fill="E8EEF5"/>
            <w:tcMar>
              <w:top w:w="90" w:type="dxa"/>
              <w:start w:w="120" w:type="dxa"/>
              <w:bottom w:w="90" w:type="dxa"/>
              <w:end w:w="120" w:type="dxa"/>
            </w:tcMar>
            <w:vAlign w:val="center"/>
          </w:tcPr>
          <w:p>
            <w:pPr>
              <w:spacing w:after="0"/>
            </w:pPr>
            <w:r>
              <w:rPr>
                <w:b/>
                <w:color w:val="17365D"/>
                <w:sz w:val="18"/>
              </w:rPr>
              <w:t>Term</w:t>
            </w:r>
          </w:p>
        </w:tc>
        <w:tc>
          <w:tcPr>
            <w:tcW w:type="dxa" w:w="7060"/>
            <w:shd w:fill="E8EEF5"/>
            <w:tcMar>
              <w:top w:w="90" w:type="dxa"/>
              <w:start w:w="120" w:type="dxa"/>
              <w:bottom w:w="90" w:type="dxa"/>
              <w:end w:w="120" w:type="dxa"/>
            </w:tcMar>
            <w:vAlign w:val="center"/>
          </w:tcPr>
          <w:p>
            <w:pPr>
              <w:spacing w:after="0"/>
            </w:pPr>
            <w:r>
              <w:rPr>
                <w:b/>
                <w:color w:val="17365D"/>
                <w:sz w:val="18"/>
              </w:rPr>
              <w:t>Definition</w:t>
            </w:r>
          </w:p>
        </w:tc>
      </w:tr>
      <w:tr>
        <w:tc>
          <w:tcPr>
            <w:tcW w:type="dxa" w:w="2300"/>
            <w:tcMar>
              <w:top w:w="90" w:type="dxa"/>
              <w:start w:w="120" w:type="dxa"/>
              <w:bottom w:w="90" w:type="dxa"/>
              <w:end w:w="120" w:type="dxa"/>
            </w:tcMar>
            <w:vAlign w:val="center"/>
          </w:tcPr>
          <w:p>
            <w:pPr>
              <w:spacing w:after="0" w:line="252" w:lineRule="auto"/>
            </w:pPr>
            <w:r>
              <w:rPr>
                <w:sz w:val="18"/>
              </w:rPr>
              <w:t>Affect</w:t>
            </w:r>
          </w:p>
        </w:tc>
        <w:tc>
          <w:tcPr>
            <w:tcW w:type="dxa" w:w="7060"/>
            <w:tcMar>
              <w:top w:w="90" w:type="dxa"/>
              <w:start w:w="120" w:type="dxa"/>
              <w:bottom w:w="90" w:type="dxa"/>
              <w:end w:w="120" w:type="dxa"/>
            </w:tcMar>
            <w:vAlign w:val="center"/>
          </w:tcPr>
          <w:p>
            <w:pPr>
              <w:spacing w:after="0" w:line="252" w:lineRule="auto"/>
            </w:pPr>
            <w:r>
              <w:rPr>
                <w:sz w:val="18"/>
              </w:rPr>
              <w:t>The full operational state spanning emotion, core affect, mood, and action readiness.</w:t>
            </w:r>
          </w:p>
        </w:tc>
      </w:tr>
      <w:tr>
        <w:tc>
          <w:tcPr>
            <w:tcW w:type="dxa" w:w="2300"/>
            <w:tcMar>
              <w:top w:w="90" w:type="dxa"/>
              <w:start w:w="120" w:type="dxa"/>
              <w:bottom w:w="90" w:type="dxa"/>
              <w:end w:w="120" w:type="dxa"/>
            </w:tcMar>
            <w:vAlign w:val="center"/>
          </w:tcPr>
          <w:p>
            <w:pPr>
              <w:spacing w:after="0" w:line="252" w:lineRule="auto"/>
            </w:pPr>
            <w:r>
              <w:rPr>
                <w:sz w:val="18"/>
              </w:rPr>
              <w:t>Appraisal</w:t>
            </w:r>
          </w:p>
        </w:tc>
        <w:tc>
          <w:tcPr>
            <w:tcW w:type="dxa" w:w="7060"/>
            <w:tcMar>
              <w:top w:w="90" w:type="dxa"/>
              <w:start w:w="120" w:type="dxa"/>
              <w:bottom w:w="90" w:type="dxa"/>
              <w:end w:w="120" w:type="dxa"/>
            </w:tcMar>
            <w:vAlign w:val="center"/>
          </w:tcPr>
          <w:p>
            <w:pPr>
              <w:spacing w:after="0" w:line="252" w:lineRule="auto"/>
            </w:pPr>
            <w:r>
              <w:rPr>
                <w:sz w:val="18"/>
              </w:rPr>
              <w:t>Evaluation of an event relative to goals, expectations, agency, control, norms, and relationships.</w:t>
            </w:r>
          </w:p>
        </w:tc>
      </w:tr>
      <w:tr>
        <w:tc>
          <w:tcPr>
            <w:tcW w:type="dxa" w:w="2300"/>
            <w:tcMar>
              <w:top w:w="90" w:type="dxa"/>
              <w:start w:w="120" w:type="dxa"/>
              <w:bottom w:w="90" w:type="dxa"/>
              <w:end w:w="120" w:type="dxa"/>
            </w:tcMar>
            <w:vAlign w:val="center"/>
          </w:tcPr>
          <w:p>
            <w:pPr>
              <w:spacing w:after="0" w:line="252" w:lineRule="auto"/>
            </w:pPr>
            <w:r>
              <w:rPr>
                <w:sz w:val="18"/>
              </w:rPr>
              <w:t>Emotion intensity</w:t>
            </w:r>
          </w:p>
        </w:tc>
        <w:tc>
          <w:tcPr>
            <w:tcW w:type="dxa" w:w="7060"/>
            <w:tcMar>
              <w:top w:w="90" w:type="dxa"/>
              <w:start w:w="120" w:type="dxa"/>
              <w:bottom w:w="90" w:type="dxa"/>
              <w:end w:w="120" w:type="dxa"/>
            </w:tcMar>
            <w:vAlign w:val="center"/>
          </w:tcPr>
          <w:p>
            <w:pPr>
              <w:spacing w:after="0" w:line="252" w:lineRule="auto"/>
            </w:pPr>
            <w:r>
              <w:rPr>
                <w:sz w:val="18"/>
              </w:rPr>
              <w:t>Bounded operational activation of a discrete affect.</w:t>
            </w:r>
          </w:p>
        </w:tc>
      </w:tr>
      <w:tr>
        <w:tc>
          <w:tcPr>
            <w:tcW w:type="dxa" w:w="2300"/>
            <w:tcMar>
              <w:top w:w="90" w:type="dxa"/>
              <w:start w:w="120" w:type="dxa"/>
              <w:bottom w:w="90" w:type="dxa"/>
              <w:end w:w="120" w:type="dxa"/>
            </w:tcMar>
            <w:vAlign w:val="center"/>
          </w:tcPr>
          <w:p>
            <w:pPr>
              <w:spacing w:after="0" w:line="252" w:lineRule="auto"/>
            </w:pPr>
            <w:r>
              <w:rPr>
                <w:sz w:val="18"/>
              </w:rPr>
              <w:t>Confidence</w:t>
            </w:r>
          </w:p>
        </w:tc>
        <w:tc>
          <w:tcPr>
            <w:tcW w:type="dxa" w:w="7060"/>
            <w:tcMar>
              <w:top w:w="90" w:type="dxa"/>
              <w:start w:w="120" w:type="dxa"/>
              <w:bottom w:w="90" w:type="dxa"/>
              <w:end w:w="120" w:type="dxa"/>
            </w:tcMar>
            <w:vAlign w:val="center"/>
          </w:tcPr>
          <w:p>
            <w:pPr>
              <w:spacing w:after="0" w:line="252" w:lineRule="auto"/>
            </w:pPr>
            <w:r>
              <w:rPr>
                <w:sz w:val="18"/>
              </w:rPr>
              <w:t>Reliability of an inference; distinct from emotional intensity.</w:t>
            </w:r>
          </w:p>
        </w:tc>
      </w:tr>
      <w:tr>
        <w:tc>
          <w:tcPr>
            <w:tcW w:type="dxa" w:w="2300"/>
            <w:tcMar>
              <w:top w:w="90" w:type="dxa"/>
              <w:start w:w="120" w:type="dxa"/>
              <w:bottom w:w="90" w:type="dxa"/>
              <w:end w:w="120" w:type="dxa"/>
            </w:tcMar>
            <w:vAlign w:val="center"/>
          </w:tcPr>
          <w:p>
            <w:pPr>
              <w:spacing w:after="0" w:line="252" w:lineRule="auto"/>
            </w:pPr>
            <w:r>
              <w:rPr>
                <w:sz w:val="18"/>
              </w:rPr>
              <w:t>Core affect</w:t>
            </w:r>
          </w:p>
        </w:tc>
        <w:tc>
          <w:tcPr>
            <w:tcW w:type="dxa" w:w="7060"/>
            <w:tcMar>
              <w:top w:w="90" w:type="dxa"/>
              <w:start w:w="120" w:type="dxa"/>
              <w:bottom w:w="90" w:type="dxa"/>
              <w:end w:w="120" w:type="dxa"/>
            </w:tcMar>
            <w:vAlign w:val="center"/>
          </w:tcPr>
          <w:p>
            <w:pPr>
              <w:spacing w:after="0" w:line="252" w:lineRule="auto"/>
            </w:pPr>
            <w:r>
              <w:rPr>
                <w:sz w:val="18"/>
              </w:rPr>
              <w:t>Continuous valence, arousal, and control dimensions.</w:t>
            </w:r>
          </w:p>
        </w:tc>
      </w:tr>
      <w:tr>
        <w:tc>
          <w:tcPr>
            <w:tcW w:type="dxa" w:w="2300"/>
            <w:tcMar>
              <w:top w:w="90" w:type="dxa"/>
              <w:start w:w="120" w:type="dxa"/>
              <w:bottom w:w="90" w:type="dxa"/>
              <w:end w:w="120" w:type="dxa"/>
            </w:tcMar>
            <w:vAlign w:val="center"/>
          </w:tcPr>
          <w:p>
            <w:pPr>
              <w:spacing w:after="0" w:line="252" w:lineRule="auto"/>
            </w:pPr>
            <w:r>
              <w:rPr>
                <w:sz w:val="18"/>
              </w:rPr>
              <w:t>Mood</w:t>
            </w:r>
          </w:p>
        </w:tc>
        <w:tc>
          <w:tcPr>
            <w:tcW w:type="dxa" w:w="7060"/>
            <w:tcMar>
              <w:top w:w="90" w:type="dxa"/>
              <w:start w:w="120" w:type="dxa"/>
              <w:bottom w:w="90" w:type="dxa"/>
              <w:end w:w="120" w:type="dxa"/>
            </w:tcMar>
            <w:vAlign w:val="center"/>
          </w:tcPr>
          <w:p>
            <w:pPr>
              <w:spacing w:after="0" w:line="252" w:lineRule="auto"/>
            </w:pPr>
            <w:r>
              <w:rPr>
                <w:sz w:val="18"/>
              </w:rPr>
              <w:t>Slow-moving background affective bias.</w:t>
            </w:r>
          </w:p>
        </w:tc>
      </w:tr>
      <w:tr>
        <w:tc>
          <w:tcPr>
            <w:tcW w:type="dxa" w:w="2300"/>
            <w:tcMar>
              <w:top w:w="90" w:type="dxa"/>
              <w:start w:w="120" w:type="dxa"/>
              <w:bottom w:w="90" w:type="dxa"/>
              <w:end w:w="120" w:type="dxa"/>
            </w:tcMar>
            <w:vAlign w:val="center"/>
          </w:tcPr>
          <w:p>
            <w:pPr>
              <w:spacing w:after="0" w:line="252" w:lineRule="auto"/>
            </w:pPr>
            <w:r>
              <w:rPr>
                <w:sz w:val="18"/>
              </w:rPr>
              <w:t>Action tendency</w:t>
            </w:r>
          </w:p>
        </w:tc>
        <w:tc>
          <w:tcPr>
            <w:tcW w:type="dxa" w:w="7060"/>
            <w:tcMar>
              <w:top w:w="90" w:type="dxa"/>
              <w:start w:w="120" w:type="dxa"/>
              <w:bottom w:w="90" w:type="dxa"/>
              <w:end w:w="120" w:type="dxa"/>
            </w:tcMar>
            <w:vAlign w:val="center"/>
          </w:tcPr>
          <w:p>
            <w:pPr>
              <w:spacing w:after="0" w:line="252" w:lineRule="auto"/>
            </w:pPr>
            <w:r>
              <w:rPr>
                <w:sz w:val="18"/>
              </w:rPr>
              <w:t>Prepared orientation toward a class of action, not authorization or execution.</w:t>
            </w:r>
          </w:p>
        </w:tc>
      </w:tr>
      <w:tr>
        <w:tc>
          <w:tcPr>
            <w:tcW w:type="dxa" w:w="2300"/>
            <w:tcMar>
              <w:top w:w="90" w:type="dxa"/>
              <w:start w:w="120" w:type="dxa"/>
              <w:bottom w:w="90" w:type="dxa"/>
              <w:end w:w="120" w:type="dxa"/>
            </w:tcMar>
            <w:vAlign w:val="center"/>
          </w:tcPr>
          <w:p>
            <w:pPr>
              <w:spacing w:after="0" w:line="252" w:lineRule="auto"/>
            </w:pPr>
            <w:r>
              <w:rPr>
                <w:sz w:val="18"/>
              </w:rPr>
              <w:t>Regulation</w:t>
            </w:r>
          </w:p>
        </w:tc>
        <w:tc>
          <w:tcPr>
            <w:tcW w:type="dxa" w:w="7060"/>
            <w:tcMar>
              <w:top w:w="90" w:type="dxa"/>
              <w:start w:w="120" w:type="dxa"/>
              <w:bottom w:w="90" w:type="dxa"/>
              <w:end w:w="120" w:type="dxa"/>
            </w:tcMar>
            <w:vAlign w:val="center"/>
          </w:tcPr>
          <w:p>
            <w:pPr>
              <w:spacing w:after="0" w:line="252" w:lineRule="auto"/>
            </w:pPr>
            <w:r>
              <w:rPr>
                <w:sz w:val="18"/>
              </w:rPr>
              <w:t>A process that changes appraisal, intensity, expression, attention, or behavioral influence.</w:t>
            </w:r>
          </w:p>
        </w:tc>
      </w:tr>
      <w:tr>
        <w:tc>
          <w:tcPr>
            <w:tcW w:type="dxa" w:w="2300"/>
            <w:tcMar>
              <w:top w:w="90" w:type="dxa"/>
              <w:start w:w="120" w:type="dxa"/>
              <w:bottom w:w="90" w:type="dxa"/>
              <w:end w:w="120" w:type="dxa"/>
            </w:tcMar>
            <w:vAlign w:val="center"/>
          </w:tcPr>
          <w:p>
            <w:pPr>
              <w:spacing w:after="0" w:line="252" w:lineRule="auto"/>
            </w:pPr>
            <w:r>
              <w:rPr>
                <w:sz w:val="18"/>
              </w:rPr>
              <w:t>Interoception</w:t>
            </w:r>
          </w:p>
        </w:tc>
        <w:tc>
          <w:tcPr>
            <w:tcW w:type="dxa" w:w="7060"/>
            <w:tcMar>
              <w:top w:w="90" w:type="dxa"/>
              <w:start w:w="120" w:type="dxa"/>
              <w:bottom w:w="90" w:type="dxa"/>
              <w:end w:w="120" w:type="dxa"/>
            </w:tcMar>
            <w:vAlign w:val="center"/>
          </w:tcPr>
          <w:p>
            <w:pPr>
              <w:spacing w:after="0" w:line="252" w:lineRule="auto"/>
            </w:pPr>
            <w:r>
              <w:rPr>
                <w:sz w:val="18"/>
              </w:rPr>
              <w:t>A partial, uncertain view of affect exposed to the acting agent.</w:t>
            </w:r>
          </w:p>
        </w:tc>
      </w:tr>
      <w:tr>
        <w:tc>
          <w:tcPr>
            <w:tcW w:type="dxa" w:w="2300"/>
            <w:tcMar>
              <w:top w:w="90" w:type="dxa"/>
              <w:start w:w="120" w:type="dxa"/>
              <w:bottom w:w="90" w:type="dxa"/>
              <w:end w:w="120" w:type="dxa"/>
            </w:tcMar>
            <w:vAlign w:val="center"/>
          </w:tcPr>
          <w:p>
            <w:pPr>
              <w:spacing w:after="0" w:line="252" w:lineRule="auto"/>
            </w:pPr>
            <w:r>
              <w:rPr>
                <w:sz w:val="18"/>
              </w:rPr>
              <w:t>Reappraisal</w:t>
            </w:r>
          </w:p>
        </w:tc>
        <w:tc>
          <w:tcPr>
            <w:tcW w:type="dxa" w:w="7060"/>
            <w:tcMar>
              <w:top w:w="90" w:type="dxa"/>
              <w:start w:w="120" w:type="dxa"/>
              <w:bottom w:w="90" w:type="dxa"/>
              <w:end w:w="120" w:type="dxa"/>
            </w:tcMar>
            <w:vAlign w:val="center"/>
          </w:tcPr>
          <w:p>
            <w:pPr>
              <w:spacing w:after="0" w:line="252" w:lineRule="auto"/>
            </w:pPr>
            <w:r>
              <w:rPr>
                <w:sz w:val="18"/>
              </w:rPr>
              <w:t>A new contextual appraisal that creates a linked corrective transition.</w:t>
            </w:r>
          </w:p>
        </w:tc>
      </w:tr>
    </w:tbl>
    <w:p>
      <w:pPr>
        <w:spacing w:after="0"/>
      </w:pPr>
    </w:p>
    <w:sectPr w:rsidR="00FC693F" w:rsidRPr="0006063C" w:rsidSect="00034616">
      <w:headerReference w:type="default" r:id="rId9"/>
      <w:footerReference w:type="default" r:id="rId10"/>
      <w:pgSz w:w="12240" w:h="15840"/>
      <w:pgMar w:top="1224" w:right="1296" w:bottom="1152"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Manyu • Affective Model v0.1 • 9 July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573"/>
        <w:sz w:val="16"/>
      </w:rPr>
      <w:t>MANYU  |  AFFECTIVE STATE MODEL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Manyu Affective State Model Specification</dc:title>
  <dc:subject>Operational affective model for the Manyu agentic system</dc:subject>
  <dc:creator>Manyu founding team</dc:creator>
  <cp:keywords>Manyu, affective state, emotion, appraisal, transition, interoception</cp:keywords>
  <dc:description>generated by python-docx</dc:description>
  <cp:lastModifiedBy/>
  <cp:revision>1</cp:revision>
  <dcterms:created xsi:type="dcterms:W3CDTF">2013-12-23T23:15:00Z</dcterms:created>
  <dcterms:modified xsi:type="dcterms:W3CDTF">2013-12-23T23:15:00Z</dcterms:modified>
  <cp:category/>
</cp:coreProperties>
</file>