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60"/>
      </w:pPr>
      <w:r>
        <w:rPr>
          <w:b/>
          <w:color w:val="17365D"/>
          <w:sz w:val="68"/>
        </w:rPr>
        <w:t>MANYU</w:t>
      </w:r>
    </w:p>
    <w:p>
      <w:pPr>
        <w:spacing w:after="160"/>
      </w:pPr>
      <w:r>
        <w:rPr>
          <w:color w:val="2E74B5"/>
          <w:sz w:val="40"/>
        </w:rPr>
        <w:t>Detailed System Design</w:t>
      </w:r>
    </w:p>
    <w:p>
      <w:pPr>
        <w:spacing w:after="520"/>
      </w:pPr>
      <w:r>
        <w:rPr>
          <w:i/>
          <w:color w:val="5B6573"/>
          <w:sz w:val="26"/>
        </w:rPr>
        <w:t>A Codex agentic harness with an independent affective core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Document field</w:t>
            </w:r>
          </w:p>
        </w:tc>
        <w:tc>
          <w:tcPr>
            <w:tcW w:type="dxa" w:w="7160"/>
            <w:shd w:fill="E8EEF5"/>
            <w:tcMar>
              <w:top w:w="90" w:type="dxa"/>
              <w:start w:w="120" w:type="dxa"/>
              <w:bottom w:w="90" w:type="dxa"/>
              <w:end w:w="120" w:type="dxa"/>
            </w:tcMar>
            <w:vAlign w:val="center"/>
          </w:tcPr>
          <w:p>
            <w:pPr>
              <w:spacing w:after="0"/>
            </w:pPr>
            <w:r>
              <w:rPr>
                <w:b/>
                <w:color w:val="17365D"/>
                <w:sz w:val="18"/>
              </w:rPr>
              <w:t>Value</w:t>
            </w:r>
          </w:p>
        </w:tc>
      </w:tr>
      <w:tr>
        <w:tc>
          <w:tcPr>
            <w:tcW w:type="dxa" w:w="2200"/>
            <w:tcMar>
              <w:top w:w="90" w:type="dxa"/>
              <w:start w:w="120" w:type="dxa"/>
              <w:bottom w:w="90" w:type="dxa"/>
              <w:end w:w="120" w:type="dxa"/>
            </w:tcMar>
            <w:vAlign w:val="center"/>
          </w:tcPr>
          <w:p>
            <w:pPr>
              <w:spacing w:after="0" w:line="252" w:lineRule="auto"/>
            </w:pPr>
            <w:r>
              <w:rPr>
                <w:sz w:val="18"/>
              </w:rPr>
              <w:t>System</w:t>
            </w:r>
          </w:p>
        </w:tc>
        <w:tc>
          <w:tcPr>
            <w:tcW w:type="dxa" w:w="7160"/>
            <w:tcMar>
              <w:top w:w="90" w:type="dxa"/>
              <w:start w:w="120" w:type="dxa"/>
              <w:bottom w:w="90" w:type="dxa"/>
              <w:end w:w="120" w:type="dxa"/>
            </w:tcMar>
            <w:vAlign w:val="center"/>
          </w:tcPr>
          <w:p>
            <w:pPr>
              <w:spacing w:after="0" w:line="252" w:lineRule="auto"/>
            </w:pPr>
            <w:r>
              <w:rPr>
                <w:sz w:val="18"/>
              </w:rPr>
              <w:t>Manyu</w:t>
            </w:r>
          </w:p>
        </w:tc>
      </w:tr>
      <w:tr>
        <w:tc>
          <w:tcPr>
            <w:tcW w:type="dxa" w:w="2200"/>
            <w:tcMar>
              <w:top w:w="90" w:type="dxa"/>
              <w:start w:w="120" w:type="dxa"/>
              <w:bottom w:w="90" w:type="dxa"/>
              <w:end w:w="120" w:type="dxa"/>
            </w:tcMar>
            <w:vAlign w:val="center"/>
          </w:tcPr>
          <w:p>
            <w:pPr>
              <w:spacing w:after="0" w:line="252" w:lineRule="auto"/>
            </w:pPr>
            <w:r>
              <w:rPr>
                <w:sz w:val="18"/>
              </w:rPr>
              <w:t>Architecture</w:t>
            </w:r>
          </w:p>
        </w:tc>
        <w:tc>
          <w:tcPr>
            <w:tcW w:type="dxa" w:w="7160"/>
            <w:tcMar>
              <w:top w:w="90" w:type="dxa"/>
              <w:start w:w="120" w:type="dxa"/>
              <w:bottom w:w="90" w:type="dxa"/>
              <w:end w:w="120" w:type="dxa"/>
            </w:tcMar>
            <w:vAlign w:val="center"/>
          </w:tcPr>
          <w:p>
            <w:pPr>
              <w:spacing w:after="0" w:line="252" w:lineRule="auto"/>
            </w:pPr>
            <w:r>
              <w:rPr>
                <w:sz w:val="18"/>
              </w:rPr>
              <w:t>Codex agentic harness + local Manyu Core exposed through MCP</w:t>
            </w:r>
          </w:p>
        </w:tc>
      </w:tr>
      <w:tr>
        <w:tc>
          <w:tcPr>
            <w:tcW w:type="dxa" w:w="2200"/>
            <w:tcMar>
              <w:top w:w="90" w:type="dxa"/>
              <w:start w:w="120" w:type="dxa"/>
              <w:bottom w:w="90" w:type="dxa"/>
              <w:end w:w="120" w:type="dxa"/>
            </w:tcMar>
            <w:vAlign w:val="center"/>
          </w:tcPr>
          <w:p>
            <w:pPr>
              <w:spacing w:after="0" w:line="252" w:lineRule="auto"/>
            </w:pPr>
            <w:r>
              <w:rPr>
                <w:sz w:val="18"/>
              </w:rPr>
              <w:t>Version</w:t>
            </w:r>
          </w:p>
        </w:tc>
        <w:tc>
          <w:tcPr>
            <w:tcW w:type="dxa" w:w="7160"/>
            <w:tcMar>
              <w:top w:w="90" w:type="dxa"/>
              <w:start w:w="120" w:type="dxa"/>
              <w:bottom w:w="90" w:type="dxa"/>
              <w:end w:w="120" w:type="dxa"/>
            </w:tcMar>
            <w:vAlign w:val="center"/>
          </w:tcPr>
          <w:p>
            <w:pPr>
              <w:spacing w:after="0" w:line="252" w:lineRule="auto"/>
            </w:pPr>
            <w:r>
              <w:rPr>
                <w:sz w:val="18"/>
              </w:rPr>
              <w:t>0.1 - Foundational design</w:t>
            </w:r>
          </w:p>
        </w:tc>
      </w:tr>
      <w:tr>
        <w:tc>
          <w:tcPr>
            <w:tcW w:type="dxa" w:w="2200"/>
            <w:tcMar>
              <w:top w:w="90" w:type="dxa"/>
              <w:start w:w="120" w:type="dxa"/>
              <w:bottom w:w="90" w:type="dxa"/>
              <w:end w:w="120" w:type="dxa"/>
            </w:tcMar>
            <w:vAlign w:val="center"/>
          </w:tcPr>
          <w:p>
            <w:pPr>
              <w:spacing w:after="0" w:line="252" w:lineRule="auto"/>
            </w:pPr>
            <w:r>
              <w:rPr>
                <w:sz w:val="18"/>
              </w:rPr>
              <w:t>Date</w:t>
            </w:r>
          </w:p>
        </w:tc>
        <w:tc>
          <w:tcPr>
            <w:tcW w:type="dxa" w:w="7160"/>
            <w:tcMar>
              <w:top w:w="90" w:type="dxa"/>
              <w:start w:w="120" w:type="dxa"/>
              <w:bottom w:w="90" w:type="dxa"/>
              <w:end w:w="120" w:type="dxa"/>
            </w:tcMar>
            <w:vAlign w:val="center"/>
          </w:tcPr>
          <w:p>
            <w:pPr>
              <w:spacing w:after="0" w:line="252" w:lineRule="auto"/>
            </w:pPr>
            <w:r>
              <w:rPr>
                <w:sz w:val="18"/>
              </w:rPr>
              <w:t>9 July 2026</w:t>
            </w:r>
          </w:p>
        </w:tc>
      </w:tr>
      <w:tr>
        <w:tc>
          <w:tcPr>
            <w:tcW w:type="dxa" w:w="2200"/>
            <w:tcMar>
              <w:top w:w="90" w:type="dxa"/>
              <w:start w:w="120" w:type="dxa"/>
              <w:bottom w:w="90" w:type="dxa"/>
              <w:end w:w="120" w:type="dxa"/>
            </w:tcMar>
            <w:vAlign w:val="center"/>
          </w:tcPr>
          <w:p>
            <w:pPr>
              <w:spacing w:after="0" w:line="252" w:lineRule="auto"/>
            </w:pPr>
            <w:r>
              <w:rPr>
                <w:sz w:val="18"/>
              </w:rPr>
              <w:t>Status</w:t>
            </w:r>
          </w:p>
        </w:tc>
        <w:tc>
          <w:tcPr>
            <w:tcW w:type="dxa" w:w="7160"/>
            <w:tcMar>
              <w:top w:w="90" w:type="dxa"/>
              <w:start w:w="120" w:type="dxa"/>
              <w:bottom w:w="90" w:type="dxa"/>
              <w:end w:w="120" w:type="dxa"/>
            </w:tcMar>
            <w:vAlign w:val="center"/>
          </w:tcPr>
          <w:p>
            <w:pPr>
              <w:spacing w:after="0" w:line="252" w:lineRule="auto"/>
            </w:pPr>
            <w:r>
              <w:rPr>
                <w:sz w:val="18"/>
              </w:rPr>
              <w:t>Proposed architecture for implementation</w:t>
            </w:r>
          </w:p>
        </w:tc>
      </w:tr>
      <w:tr>
        <w:tc>
          <w:tcPr>
            <w:tcW w:type="dxa" w:w="2200"/>
            <w:tcMar>
              <w:top w:w="90" w:type="dxa"/>
              <w:start w:w="120" w:type="dxa"/>
              <w:bottom w:w="90" w:type="dxa"/>
              <w:end w:w="120" w:type="dxa"/>
            </w:tcMar>
            <w:vAlign w:val="center"/>
          </w:tcPr>
          <w:p>
            <w:pPr>
              <w:spacing w:after="0" w:line="252" w:lineRule="auto"/>
            </w:pPr>
            <w:r>
              <w:rPr>
                <w:sz w:val="18"/>
              </w:rPr>
              <w:t>Companion document</w:t>
            </w:r>
          </w:p>
        </w:tc>
        <w:tc>
          <w:tcPr>
            <w:tcW w:type="dxa" w:w="7160"/>
            <w:tcMar>
              <w:top w:w="90" w:type="dxa"/>
              <w:start w:w="120" w:type="dxa"/>
              <w:bottom w:w="90" w:type="dxa"/>
              <w:end w:w="120" w:type="dxa"/>
            </w:tcMar>
            <w:vAlign w:val="center"/>
          </w:tcPr>
          <w:p>
            <w:pPr>
              <w:spacing w:after="0" w:line="252" w:lineRule="auto"/>
            </w:pPr>
            <w:r>
              <w:rPr>
                <w:sz w:val="18"/>
              </w:rPr>
              <w:t>Manyu Business Requirements Document v0.1</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Architecture thesis: </w:t>
            </w:r>
            <w:r>
              <w:t>Codex provides the reasoning and interaction harness. Manyu Core owns authoritative affective state, transition rules, persistence, arbitration constraints, and audit history. The acting agent never owns or directly edits its emotional state.</w:t>
            </w:r>
          </w:p>
        </w:tc>
        <w:trPr>
          <w:tblHeader/>
        </w:trPr>
      </w:tr>
    </w:tbl>
    <w:p>
      <w:pPr>
        <w:spacing w:after="0"/>
      </w:pPr>
    </w:p>
    <w:p>
      <w:r>
        <w:rPr>
          <w:i/>
        </w:rPr>
        <w:t>This document intentionally avoids claims of subjective experience. It specifies a functional affective architecture.</w:t>
      </w:r>
    </w:p>
    <w:p>
      <w:r>
        <w:br w:type="page"/>
      </w:r>
    </w:p>
    <w:p>
      <w:pPr>
        <w:pStyle w:val="Heading1"/>
      </w:pPr>
      <w:r>
        <w:t>Document control</w:t>
      </w:r>
    </w:p>
    <w:tbl>
      <w:tblPr>
        <w:tblStyle w:val="TableGrid"/>
        <w:tblW w:type="dxa" w:w="9360"/>
        <w:jc w:val="center"/>
        <w:tblLayout w:type="fixed"/>
        <w:tblLook w:firstColumn="1" w:firstRow="1" w:lastColumn="0" w:lastRow="0" w:noHBand="0" w:noVBand="1" w:val="04A0"/>
        <w:tblInd w:w="120" w:type="dxa"/>
      </w:tblPr>
      <w:tblGrid>
        <w:gridCol w:w="1000"/>
        <w:gridCol w:w="1450"/>
        <w:gridCol w:w="1500"/>
        <w:gridCol w:w="541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8"/>
              </w:rPr>
              <w:t>Version</w:t>
            </w:r>
          </w:p>
        </w:tc>
        <w:tc>
          <w:tcPr>
            <w:tcW w:type="dxa" w:w="1450"/>
            <w:shd w:fill="E8EEF5"/>
            <w:tcMar>
              <w:top w:w="90" w:type="dxa"/>
              <w:start w:w="120" w:type="dxa"/>
              <w:bottom w:w="90" w:type="dxa"/>
              <w:end w:w="120" w:type="dxa"/>
            </w:tcMar>
            <w:vAlign w:val="center"/>
          </w:tcPr>
          <w:p>
            <w:pPr>
              <w:spacing w:after="0"/>
            </w:pPr>
            <w:r>
              <w:rPr>
                <w:b/>
                <w:color w:val="17365D"/>
                <w:sz w:val="18"/>
              </w:rPr>
              <w:t>Date</w:t>
            </w:r>
          </w:p>
        </w:tc>
        <w:tc>
          <w:tcPr>
            <w:tcW w:type="dxa" w:w="1500"/>
            <w:shd w:fill="E8EEF5"/>
            <w:tcMar>
              <w:top w:w="90" w:type="dxa"/>
              <w:start w:w="120" w:type="dxa"/>
              <w:bottom w:w="90" w:type="dxa"/>
              <w:end w:w="120" w:type="dxa"/>
            </w:tcMar>
            <w:vAlign w:val="center"/>
          </w:tcPr>
          <w:p>
            <w:pPr>
              <w:spacing w:after="0"/>
            </w:pPr>
            <w:r>
              <w:rPr>
                <w:b/>
                <w:color w:val="17365D"/>
                <w:sz w:val="18"/>
              </w:rPr>
              <w:t>Status</w:t>
            </w:r>
          </w:p>
        </w:tc>
        <w:tc>
          <w:tcPr>
            <w:tcW w:type="dxa" w:w="5410"/>
            <w:shd w:fill="E8EEF5"/>
            <w:tcMar>
              <w:top w:w="90" w:type="dxa"/>
              <w:start w:w="120" w:type="dxa"/>
              <w:bottom w:w="90" w:type="dxa"/>
              <w:end w:w="120" w:type="dxa"/>
            </w:tcMar>
            <w:vAlign w:val="center"/>
          </w:tcPr>
          <w:p>
            <w:pPr>
              <w:spacing w:after="0"/>
            </w:pPr>
            <w:r>
              <w:rPr>
                <w:b/>
                <w:color w:val="17365D"/>
                <w:sz w:val="18"/>
              </w:rPr>
              <w:t>Change</w:t>
            </w:r>
          </w:p>
        </w:tc>
      </w:tr>
      <w:tr>
        <w:tc>
          <w:tcPr>
            <w:tcW w:type="dxa" w:w="1000"/>
            <w:tcMar>
              <w:top w:w="90" w:type="dxa"/>
              <w:start w:w="120" w:type="dxa"/>
              <w:bottom w:w="90" w:type="dxa"/>
              <w:end w:w="120" w:type="dxa"/>
            </w:tcMar>
            <w:vAlign w:val="center"/>
          </w:tcPr>
          <w:p>
            <w:pPr>
              <w:spacing w:after="0" w:line="252" w:lineRule="auto"/>
            </w:pPr>
            <w:r>
              <w:rPr>
                <w:sz w:val="18"/>
              </w:rPr>
              <w:t>0.1</w:t>
            </w:r>
          </w:p>
        </w:tc>
        <w:tc>
          <w:tcPr>
            <w:tcW w:type="dxa" w:w="1450"/>
            <w:tcMar>
              <w:top w:w="90" w:type="dxa"/>
              <w:start w:w="120" w:type="dxa"/>
              <w:bottom w:w="90" w:type="dxa"/>
              <w:end w:w="120" w:type="dxa"/>
            </w:tcMar>
            <w:vAlign w:val="center"/>
          </w:tcPr>
          <w:p>
            <w:pPr>
              <w:spacing w:after="0" w:line="252" w:lineRule="auto"/>
            </w:pPr>
            <w:r>
              <w:rPr>
                <w:sz w:val="18"/>
              </w:rPr>
              <w:t>9 Jul 2026</w:t>
            </w:r>
          </w:p>
        </w:tc>
        <w:tc>
          <w:tcPr>
            <w:tcW w:type="dxa" w:w="1500"/>
            <w:tcMar>
              <w:top w:w="90" w:type="dxa"/>
              <w:start w:w="120" w:type="dxa"/>
              <w:bottom w:w="90" w:type="dxa"/>
              <w:end w:w="120" w:type="dxa"/>
            </w:tcMar>
            <w:vAlign w:val="center"/>
          </w:tcPr>
          <w:p>
            <w:pPr>
              <w:spacing w:after="0" w:line="252" w:lineRule="auto"/>
            </w:pPr>
            <w:r>
              <w:rPr>
                <w:sz w:val="18"/>
              </w:rPr>
              <w:t>Proposed</w:t>
            </w:r>
          </w:p>
        </w:tc>
        <w:tc>
          <w:tcPr>
            <w:tcW w:type="dxa" w:w="5410"/>
            <w:tcMar>
              <w:top w:w="90" w:type="dxa"/>
              <w:start w:w="120" w:type="dxa"/>
              <w:bottom w:w="90" w:type="dxa"/>
              <w:end w:w="120" w:type="dxa"/>
            </w:tcMar>
            <w:vAlign w:val="center"/>
          </w:tcPr>
          <w:p>
            <w:pPr>
              <w:spacing w:after="0" w:line="252" w:lineRule="auto"/>
            </w:pPr>
            <w:r>
              <w:rPr>
                <w:sz w:val="18"/>
              </w:rPr>
              <w:t>Initial detailed design for a Codex-based implementation.</w:t>
            </w:r>
          </w:p>
        </w:tc>
      </w:tr>
    </w:tbl>
    <w:p>
      <w:pPr>
        <w:spacing w:after="0"/>
      </w:pPr>
    </w:p>
    <w:p>
      <w:pPr>
        <w:pStyle w:val="Heading2"/>
      </w:pPr>
      <w:r>
        <w:t>Key architecture decisions</w:t>
      </w:r>
    </w:p>
    <w:tbl>
      <w:tblPr>
        <w:tblStyle w:val="TableGrid"/>
        <w:tblW w:type="dxa" w:w="9360"/>
        <w:jc w:val="center"/>
        <w:tblLayout w:type="fixed"/>
        <w:tblLook w:firstColumn="1" w:firstRow="1" w:lastColumn="0" w:lastRow="0" w:noHBand="0" w:noVBand="1" w:val="04A0"/>
        <w:tblInd w:w="120" w:type="dxa"/>
      </w:tblPr>
      <w:tblGrid>
        <w:gridCol w:w="1050"/>
        <w:gridCol w:w="3750"/>
        <w:gridCol w:w="4560"/>
      </w:tblGrid>
      <w:tr>
        <w:trPr>
          <w:tblHeader w:val="true"/>
        </w:trPr>
        <w:tc>
          <w:tcPr>
            <w:tcW w:type="dxa" w:w="1050"/>
            <w:shd w:fill="E8EEF5"/>
            <w:tcMar>
              <w:top w:w="90" w:type="dxa"/>
              <w:start w:w="120" w:type="dxa"/>
              <w:bottom w:w="90" w:type="dxa"/>
              <w:end w:w="120" w:type="dxa"/>
            </w:tcMar>
            <w:vAlign w:val="center"/>
          </w:tcPr>
          <w:p>
            <w:pPr>
              <w:spacing w:after="0"/>
            </w:pPr>
            <w:r>
              <w:rPr>
                <w:b/>
                <w:color w:val="17365D"/>
                <w:sz w:val="18"/>
              </w:rPr>
              <w:t>ID</w:t>
            </w:r>
          </w:p>
        </w:tc>
        <w:tc>
          <w:tcPr>
            <w:tcW w:type="dxa" w:w="3750"/>
            <w:shd w:fill="E8EEF5"/>
            <w:tcMar>
              <w:top w:w="90" w:type="dxa"/>
              <w:start w:w="120" w:type="dxa"/>
              <w:bottom w:w="90" w:type="dxa"/>
              <w:end w:w="120" w:type="dxa"/>
            </w:tcMar>
            <w:vAlign w:val="center"/>
          </w:tcPr>
          <w:p>
            <w:pPr>
              <w:spacing w:after="0"/>
            </w:pPr>
            <w:r>
              <w:rPr>
                <w:b/>
                <w:color w:val="17365D"/>
                <w:sz w:val="18"/>
              </w:rPr>
              <w:t>Decision</w:t>
            </w:r>
          </w:p>
        </w:tc>
        <w:tc>
          <w:tcPr>
            <w:tcW w:type="dxa" w:w="4560"/>
            <w:shd w:fill="E8EEF5"/>
            <w:tcMar>
              <w:top w:w="90" w:type="dxa"/>
              <w:start w:w="120" w:type="dxa"/>
              <w:bottom w:w="90" w:type="dxa"/>
              <w:end w:w="120" w:type="dxa"/>
            </w:tcMar>
            <w:vAlign w:val="center"/>
          </w:tcPr>
          <w:p>
            <w:pPr>
              <w:spacing w:after="0"/>
            </w:pPr>
            <w:r>
              <w:rPr>
                <w:b/>
                <w:color w:val="17365D"/>
                <w:sz w:val="18"/>
              </w:rPr>
              <w:t>Consequence</w:t>
            </w:r>
          </w:p>
        </w:tc>
      </w:tr>
      <w:tr>
        <w:tc>
          <w:tcPr>
            <w:tcW w:type="dxa" w:w="1050"/>
            <w:tcMar>
              <w:top w:w="90" w:type="dxa"/>
              <w:start w:w="120" w:type="dxa"/>
              <w:bottom w:w="90" w:type="dxa"/>
              <w:end w:w="120" w:type="dxa"/>
            </w:tcMar>
            <w:vAlign w:val="center"/>
          </w:tcPr>
          <w:p>
            <w:pPr>
              <w:spacing w:after="0" w:line="252" w:lineRule="auto"/>
            </w:pPr>
            <w:r>
              <w:rPr>
                <w:sz w:val="18"/>
              </w:rPr>
              <w:t>ADR-001</w:t>
            </w:r>
          </w:p>
        </w:tc>
        <w:tc>
          <w:tcPr>
            <w:tcW w:type="dxa" w:w="3750"/>
            <w:tcMar>
              <w:top w:w="90" w:type="dxa"/>
              <w:start w:w="120" w:type="dxa"/>
              <w:bottom w:w="90" w:type="dxa"/>
              <w:end w:w="120" w:type="dxa"/>
            </w:tcMar>
            <w:vAlign w:val="center"/>
          </w:tcPr>
          <w:p>
            <w:pPr>
              <w:spacing w:after="0" w:line="252" w:lineRule="auto"/>
            </w:pPr>
            <w:r>
              <w:rPr>
                <w:sz w:val="18"/>
              </w:rPr>
              <w:t>Use Codex as the environment-facing agentic harness.</w:t>
            </w:r>
          </w:p>
        </w:tc>
        <w:tc>
          <w:tcPr>
            <w:tcW w:type="dxa" w:w="4560"/>
            <w:tcMar>
              <w:top w:w="90" w:type="dxa"/>
              <w:start w:w="120" w:type="dxa"/>
              <w:bottom w:w="90" w:type="dxa"/>
              <w:end w:w="120" w:type="dxa"/>
            </w:tcMar>
            <w:vAlign w:val="center"/>
          </w:tcPr>
          <w:p>
            <w:pPr>
              <w:spacing w:after="0" w:line="252" w:lineRule="auto"/>
            </w:pPr>
            <w:r>
              <w:rPr>
                <w:sz w:val="18"/>
              </w:rPr>
              <w:t>Leverages Codex instructions, tools, skills, MCP, sandbox, and review workflow.</w:t>
            </w:r>
          </w:p>
        </w:tc>
      </w:tr>
      <w:tr>
        <w:tc>
          <w:tcPr>
            <w:tcW w:type="dxa" w:w="1050"/>
            <w:tcMar>
              <w:top w:w="90" w:type="dxa"/>
              <w:start w:w="120" w:type="dxa"/>
              <w:bottom w:w="90" w:type="dxa"/>
              <w:end w:w="120" w:type="dxa"/>
            </w:tcMar>
            <w:vAlign w:val="center"/>
          </w:tcPr>
          <w:p>
            <w:pPr>
              <w:spacing w:after="0" w:line="252" w:lineRule="auto"/>
            </w:pPr>
            <w:r>
              <w:rPr>
                <w:sz w:val="18"/>
              </w:rPr>
              <w:t>ADR-002</w:t>
            </w:r>
          </w:p>
        </w:tc>
        <w:tc>
          <w:tcPr>
            <w:tcW w:type="dxa" w:w="3750"/>
            <w:tcMar>
              <w:top w:w="90" w:type="dxa"/>
              <w:start w:w="120" w:type="dxa"/>
              <w:bottom w:w="90" w:type="dxa"/>
              <w:end w:w="120" w:type="dxa"/>
            </w:tcMar>
            <w:vAlign w:val="center"/>
          </w:tcPr>
          <w:p>
            <w:pPr>
              <w:spacing w:after="0" w:line="252" w:lineRule="auto"/>
            </w:pPr>
            <w:r>
              <w:rPr>
                <w:sz w:val="18"/>
              </w:rPr>
              <w:t>Keep Manyu Core as a separate local process.</w:t>
            </w:r>
          </w:p>
        </w:tc>
        <w:tc>
          <w:tcPr>
            <w:tcW w:type="dxa" w:w="4560"/>
            <w:tcMar>
              <w:top w:w="90" w:type="dxa"/>
              <w:start w:w="120" w:type="dxa"/>
              <w:bottom w:w="90" w:type="dxa"/>
              <w:end w:w="120" w:type="dxa"/>
            </w:tcMar>
            <w:vAlign w:val="center"/>
          </w:tcPr>
          <w:p>
            <w:pPr>
              <w:spacing w:after="0" w:line="252" w:lineRule="auto"/>
            </w:pPr>
            <w:r>
              <w:rPr>
                <w:sz w:val="18"/>
              </w:rPr>
              <w:t>State remains independent of prompt context and can be tested deterministically.</w:t>
            </w:r>
          </w:p>
        </w:tc>
      </w:tr>
      <w:tr>
        <w:tc>
          <w:tcPr>
            <w:tcW w:type="dxa" w:w="1050"/>
            <w:tcMar>
              <w:top w:w="90" w:type="dxa"/>
              <w:start w:w="120" w:type="dxa"/>
              <w:bottom w:w="90" w:type="dxa"/>
              <w:end w:w="120" w:type="dxa"/>
            </w:tcMar>
            <w:vAlign w:val="center"/>
          </w:tcPr>
          <w:p>
            <w:pPr>
              <w:spacing w:after="0" w:line="252" w:lineRule="auto"/>
            </w:pPr>
            <w:r>
              <w:rPr>
                <w:sz w:val="18"/>
              </w:rPr>
              <w:t>ADR-003</w:t>
            </w:r>
          </w:p>
        </w:tc>
        <w:tc>
          <w:tcPr>
            <w:tcW w:type="dxa" w:w="3750"/>
            <w:tcMar>
              <w:top w:w="90" w:type="dxa"/>
              <w:start w:w="120" w:type="dxa"/>
              <w:bottom w:w="90" w:type="dxa"/>
              <w:end w:w="120" w:type="dxa"/>
            </w:tcMar>
            <w:vAlign w:val="center"/>
          </w:tcPr>
          <w:p>
            <w:pPr>
              <w:spacing w:after="0" w:line="252" w:lineRule="auto"/>
            </w:pPr>
            <w:r>
              <w:rPr>
                <w:sz w:val="18"/>
              </w:rPr>
              <w:t>Expose Manyu Core through MCP tools.</w:t>
            </w:r>
          </w:p>
        </w:tc>
        <w:tc>
          <w:tcPr>
            <w:tcW w:type="dxa" w:w="4560"/>
            <w:tcMar>
              <w:top w:w="90" w:type="dxa"/>
              <w:start w:w="120" w:type="dxa"/>
              <w:bottom w:w="90" w:type="dxa"/>
              <w:end w:w="120" w:type="dxa"/>
            </w:tcMar>
            <w:vAlign w:val="center"/>
          </w:tcPr>
          <w:p>
            <w:pPr>
              <w:spacing w:after="0" w:line="252" w:lineRule="auto"/>
            </w:pPr>
            <w:r>
              <w:rPr>
                <w:sz w:val="18"/>
              </w:rPr>
              <w:t>Codex accesses a narrow, typed, permissioned interface rather than storage internals.</w:t>
            </w:r>
          </w:p>
        </w:tc>
      </w:tr>
      <w:tr>
        <w:tc>
          <w:tcPr>
            <w:tcW w:type="dxa" w:w="1050"/>
            <w:tcMar>
              <w:top w:w="90" w:type="dxa"/>
              <w:start w:w="120" w:type="dxa"/>
              <w:bottom w:w="90" w:type="dxa"/>
              <w:end w:w="120" w:type="dxa"/>
            </w:tcMar>
            <w:vAlign w:val="center"/>
          </w:tcPr>
          <w:p>
            <w:pPr>
              <w:spacing w:after="0" w:line="252" w:lineRule="auto"/>
            </w:pPr>
            <w:r>
              <w:rPr>
                <w:sz w:val="18"/>
              </w:rPr>
              <w:t>ADR-004</w:t>
            </w:r>
          </w:p>
        </w:tc>
        <w:tc>
          <w:tcPr>
            <w:tcW w:type="dxa" w:w="3750"/>
            <w:tcMar>
              <w:top w:w="90" w:type="dxa"/>
              <w:start w:w="120" w:type="dxa"/>
              <w:bottom w:w="90" w:type="dxa"/>
              <w:end w:w="120" w:type="dxa"/>
            </w:tcMar>
            <w:vAlign w:val="center"/>
          </w:tcPr>
          <w:p>
            <w:pPr>
              <w:spacing w:after="0" w:line="252" w:lineRule="auto"/>
            </w:pPr>
            <w:r>
              <w:rPr>
                <w:sz w:val="18"/>
              </w:rPr>
              <w:t>Use AGENTS.md for durable behavioral contract.</w:t>
            </w:r>
          </w:p>
        </w:tc>
        <w:tc>
          <w:tcPr>
            <w:tcW w:type="dxa" w:w="4560"/>
            <w:tcMar>
              <w:top w:w="90" w:type="dxa"/>
              <w:start w:w="120" w:type="dxa"/>
              <w:bottom w:w="90" w:type="dxa"/>
              <w:end w:w="120" w:type="dxa"/>
            </w:tcMar>
            <w:vAlign w:val="center"/>
          </w:tcPr>
          <w:p>
            <w:pPr>
              <w:spacing w:after="0" w:line="252" w:lineRule="auto"/>
            </w:pPr>
            <w:r>
              <w:rPr>
                <w:sz w:val="18"/>
              </w:rPr>
              <w:t>Every Codex run follows the affect loop and disclosure rules.</w:t>
            </w:r>
          </w:p>
        </w:tc>
      </w:tr>
      <w:tr>
        <w:tc>
          <w:tcPr>
            <w:tcW w:type="dxa" w:w="1050"/>
            <w:tcMar>
              <w:top w:w="90" w:type="dxa"/>
              <w:start w:w="120" w:type="dxa"/>
              <w:bottom w:w="90" w:type="dxa"/>
              <w:end w:w="120" w:type="dxa"/>
            </w:tcMar>
            <w:vAlign w:val="center"/>
          </w:tcPr>
          <w:p>
            <w:pPr>
              <w:spacing w:after="0" w:line="252" w:lineRule="auto"/>
            </w:pPr>
            <w:r>
              <w:rPr>
                <w:sz w:val="18"/>
              </w:rPr>
              <w:t>ADR-005</w:t>
            </w:r>
          </w:p>
        </w:tc>
        <w:tc>
          <w:tcPr>
            <w:tcW w:type="dxa" w:w="3750"/>
            <w:tcMar>
              <w:top w:w="90" w:type="dxa"/>
              <w:start w:w="120" w:type="dxa"/>
              <w:bottom w:w="90" w:type="dxa"/>
              <w:end w:w="120" w:type="dxa"/>
            </w:tcMar>
            <w:vAlign w:val="center"/>
          </w:tcPr>
          <w:p>
            <w:pPr>
              <w:spacing w:after="0" w:line="252" w:lineRule="auto"/>
            </w:pPr>
            <w:r>
              <w:rPr>
                <w:sz w:val="18"/>
              </w:rPr>
              <w:t>Use a skill for the reusable Manyu turn protocol.</w:t>
            </w:r>
          </w:p>
        </w:tc>
        <w:tc>
          <w:tcPr>
            <w:tcW w:type="dxa" w:w="4560"/>
            <w:tcMar>
              <w:top w:w="90" w:type="dxa"/>
              <w:start w:w="120" w:type="dxa"/>
              <w:bottom w:w="90" w:type="dxa"/>
              <w:end w:w="120" w:type="dxa"/>
            </w:tcMar>
            <w:vAlign w:val="center"/>
          </w:tcPr>
          <w:p>
            <w:pPr>
              <w:spacing w:after="0" w:line="252" w:lineRule="auto"/>
            </w:pPr>
            <w:r>
              <w:rPr>
                <w:sz w:val="18"/>
              </w:rPr>
              <w:t>Complex orchestration remains explicit, inspectable, and versioned.</w:t>
            </w:r>
          </w:p>
        </w:tc>
      </w:tr>
      <w:tr>
        <w:tc>
          <w:tcPr>
            <w:tcW w:type="dxa" w:w="1050"/>
            <w:tcMar>
              <w:top w:w="90" w:type="dxa"/>
              <w:start w:w="120" w:type="dxa"/>
              <w:bottom w:w="90" w:type="dxa"/>
              <w:end w:w="120" w:type="dxa"/>
            </w:tcMar>
            <w:vAlign w:val="center"/>
          </w:tcPr>
          <w:p>
            <w:pPr>
              <w:spacing w:after="0" w:line="252" w:lineRule="auto"/>
            </w:pPr>
            <w:r>
              <w:rPr>
                <w:sz w:val="18"/>
              </w:rPr>
              <w:t>ADR-006</w:t>
            </w:r>
          </w:p>
        </w:tc>
        <w:tc>
          <w:tcPr>
            <w:tcW w:type="dxa" w:w="3750"/>
            <w:tcMar>
              <w:top w:w="90" w:type="dxa"/>
              <w:start w:w="120" w:type="dxa"/>
              <w:bottom w:w="90" w:type="dxa"/>
              <w:end w:w="120" w:type="dxa"/>
            </w:tcMar>
            <w:vAlign w:val="center"/>
          </w:tcPr>
          <w:p>
            <w:pPr>
              <w:spacing w:after="0" w:line="252" w:lineRule="auto"/>
            </w:pPr>
            <w:r>
              <w:rPr>
                <w:sz w:val="18"/>
              </w:rPr>
              <w:t>Use hooks or equivalent policy gates for mechanical enforcement.</w:t>
            </w:r>
          </w:p>
        </w:tc>
        <w:tc>
          <w:tcPr>
            <w:tcW w:type="dxa" w:w="4560"/>
            <w:tcMar>
              <w:top w:w="90" w:type="dxa"/>
              <w:start w:w="120" w:type="dxa"/>
              <w:bottom w:w="90" w:type="dxa"/>
              <w:end w:w="120" w:type="dxa"/>
            </w:tcMar>
            <w:vAlign w:val="center"/>
          </w:tcPr>
          <w:p>
            <w:pPr>
              <w:spacing w:after="0" w:line="252" w:lineRule="auto"/>
            </w:pPr>
            <w:r>
              <w:rPr>
                <w:sz w:val="18"/>
              </w:rPr>
              <w:t>Unsafe external actions cannot bypass required appraisal/arbitration checks.</w:t>
            </w:r>
          </w:p>
        </w:tc>
      </w:tr>
      <w:tr>
        <w:tc>
          <w:tcPr>
            <w:tcW w:type="dxa" w:w="1050"/>
            <w:tcMar>
              <w:top w:w="90" w:type="dxa"/>
              <w:start w:w="120" w:type="dxa"/>
              <w:bottom w:w="90" w:type="dxa"/>
              <w:end w:w="120" w:type="dxa"/>
            </w:tcMar>
            <w:vAlign w:val="center"/>
          </w:tcPr>
          <w:p>
            <w:pPr>
              <w:spacing w:after="0" w:line="252" w:lineRule="auto"/>
            </w:pPr>
            <w:r>
              <w:rPr>
                <w:sz w:val="18"/>
              </w:rPr>
              <w:t>ADR-007</w:t>
            </w:r>
          </w:p>
        </w:tc>
        <w:tc>
          <w:tcPr>
            <w:tcW w:type="dxa" w:w="3750"/>
            <w:tcMar>
              <w:top w:w="90" w:type="dxa"/>
              <w:start w:w="120" w:type="dxa"/>
              <w:bottom w:w="90" w:type="dxa"/>
              <w:end w:w="120" w:type="dxa"/>
            </w:tcMar>
            <w:vAlign w:val="center"/>
          </w:tcPr>
          <w:p>
            <w:pPr>
              <w:spacing w:after="0" w:line="252" w:lineRule="auto"/>
            </w:pPr>
            <w:r>
              <w:rPr>
                <w:sz w:val="18"/>
              </w:rPr>
              <w:t>Fast appraisal is deterministic-first; slow appraisal uses an isolated reasoning role.</w:t>
            </w:r>
          </w:p>
        </w:tc>
        <w:tc>
          <w:tcPr>
            <w:tcW w:type="dxa" w:w="4560"/>
            <w:tcMar>
              <w:top w:w="90" w:type="dxa"/>
              <w:start w:w="120" w:type="dxa"/>
              <w:bottom w:w="90" w:type="dxa"/>
              <w:end w:w="120" w:type="dxa"/>
            </w:tcMar>
            <w:vAlign w:val="center"/>
          </w:tcPr>
          <w:p>
            <w:pPr>
              <w:spacing w:after="0" w:line="252" w:lineRule="auto"/>
            </w:pPr>
            <w:r>
              <w:rPr>
                <w:sz w:val="18"/>
              </w:rPr>
              <w:t>Balances latency, reproducibility, and contextual depth.</w:t>
            </w:r>
          </w:p>
        </w:tc>
      </w:tr>
      <w:tr>
        <w:tc>
          <w:tcPr>
            <w:tcW w:type="dxa" w:w="1050"/>
            <w:tcMar>
              <w:top w:w="90" w:type="dxa"/>
              <w:start w:w="120" w:type="dxa"/>
              <w:bottom w:w="90" w:type="dxa"/>
              <w:end w:w="120" w:type="dxa"/>
            </w:tcMar>
            <w:vAlign w:val="center"/>
          </w:tcPr>
          <w:p>
            <w:pPr>
              <w:spacing w:after="0" w:line="252" w:lineRule="auto"/>
            </w:pPr>
            <w:r>
              <w:rPr>
                <w:sz w:val="18"/>
              </w:rPr>
              <w:t>ADR-008</w:t>
            </w:r>
          </w:p>
        </w:tc>
        <w:tc>
          <w:tcPr>
            <w:tcW w:type="dxa" w:w="3750"/>
            <w:tcMar>
              <w:top w:w="90" w:type="dxa"/>
              <w:start w:w="120" w:type="dxa"/>
              <w:bottom w:w="90" w:type="dxa"/>
              <w:end w:w="120" w:type="dxa"/>
            </w:tcMar>
            <w:vAlign w:val="center"/>
          </w:tcPr>
          <w:p>
            <w:pPr>
              <w:spacing w:after="0" w:line="252" w:lineRule="auto"/>
            </w:pPr>
            <w:r>
              <w:rPr>
                <w:sz w:val="18"/>
              </w:rPr>
              <w:t>Safety policy is outside and above affect.</w:t>
            </w:r>
          </w:p>
        </w:tc>
        <w:tc>
          <w:tcPr>
            <w:tcW w:type="dxa" w:w="4560"/>
            <w:tcMar>
              <w:top w:w="90" w:type="dxa"/>
              <w:start w:w="120" w:type="dxa"/>
              <w:bottom w:w="90" w:type="dxa"/>
              <w:end w:w="120" w:type="dxa"/>
            </w:tcMar>
            <w:vAlign w:val="center"/>
          </w:tcPr>
          <w:p>
            <w:pPr>
              <w:spacing w:after="0" w:line="252" w:lineRule="auto"/>
            </w:pPr>
            <w:r>
              <w:rPr>
                <w:sz w:val="18"/>
              </w:rPr>
              <w:t>No emotional state can weaken authorization, sandbox, or safety constraints.</w:t>
            </w:r>
          </w:p>
        </w:tc>
      </w:tr>
    </w:tbl>
    <w:p>
      <w:pPr>
        <w:spacing w:after="0"/>
      </w:pPr>
    </w:p>
    <w:p>
      <w:pPr>
        <w:pStyle w:val="Heading1"/>
      </w:pPr>
      <w:r>
        <w:t>Contents</w:t>
      </w:r>
    </w:p>
    <w:p>
      <w:r>
        <w:rPr>
          <w:i w:val="0"/>
        </w:rPr>
        <w:t>1. Purpose and design scope</w:t>
      </w:r>
    </w:p>
    <w:p>
      <w:r>
        <w:rPr>
          <w:i w:val="0"/>
        </w:rPr>
        <w:t>2. Architecture overview</w:t>
      </w:r>
    </w:p>
    <w:p>
      <w:r>
        <w:rPr>
          <w:i w:val="0"/>
        </w:rPr>
        <w:t>3. Codex harness mapping</w:t>
      </w:r>
    </w:p>
    <w:p>
      <w:r>
        <w:rPr>
          <w:i w:val="0"/>
        </w:rPr>
        <w:t>4. Component design</w:t>
      </w:r>
    </w:p>
    <w:p>
      <w:r>
        <w:rPr>
          <w:i w:val="0"/>
        </w:rPr>
        <w:t>5. Agent and role design</w:t>
      </w:r>
    </w:p>
    <w:p>
      <w:r>
        <w:rPr>
          <w:i w:val="0"/>
        </w:rPr>
        <w:t>6. End-to-end workflows</w:t>
      </w:r>
    </w:p>
    <w:p>
      <w:r>
        <w:rPr>
          <w:i w:val="0"/>
        </w:rPr>
        <w:t>7. Domain and state model</w:t>
      </w:r>
    </w:p>
    <w:p>
      <w:r>
        <w:rPr>
          <w:i w:val="0"/>
        </w:rPr>
        <w:t>8. MCP interface design</w:t>
      </w:r>
    </w:p>
    <w:p>
      <w:r>
        <w:rPr>
          <w:i w:val="0"/>
        </w:rPr>
        <w:t>9. Prompt and instruction architecture</w:t>
      </w:r>
    </w:p>
    <w:p>
      <w:r>
        <w:rPr>
          <w:i w:val="0"/>
        </w:rPr>
        <w:t>10. Persistence and memory</w:t>
      </w:r>
    </w:p>
    <w:p>
      <w:r>
        <w:rPr>
          <w:i w:val="0"/>
        </w:rPr>
        <w:t>11. Arbitration and safety</w:t>
      </w:r>
    </w:p>
    <w:p>
      <w:r>
        <w:rPr>
          <w:i w:val="0"/>
        </w:rPr>
        <w:t>12. Deployment topology</w:t>
      </w:r>
    </w:p>
    <w:p>
      <w:r>
        <w:rPr>
          <w:i w:val="0"/>
        </w:rPr>
        <w:t>13. Observability and evaluation</w:t>
      </w:r>
    </w:p>
    <w:p>
      <w:r>
        <w:rPr>
          <w:i w:val="0"/>
        </w:rPr>
        <w:t>14. Reliability, security, and privacy</w:t>
      </w:r>
    </w:p>
    <w:p>
      <w:r>
        <w:rPr>
          <w:i w:val="0"/>
        </w:rPr>
        <w:t>15. Repository structure</w:t>
      </w:r>
    </w:p>
    <w:p>
      <w:r>
        <w:rPr>
          <w:i w:val="0"/>
        </w:rPr>
        <w:t>16. Implementation plan</w:t>
      </w:r>
    </w:p>
    <w:p>
      <w:r>
        <w:rPr>
          <w:i w:val="0"/>
        </w:rPr>
        <w:t>17. Test strategy</w:t>
      </w:r>
    </w:p>
    <w:p>
      <w:r>
        <w:rPr>
          <w:i w:val="0"/>
        </w:rPr>
        <w:t>18. Risks and open decisions</w:t>
      </w:r>
    </w:p>
    <w:p>
      <w:r>
        <w:rPr>
          <w:i w:val="0"/>
        </w:rPr>
        <w:t>Appendices</w:t>
      </w:r>
    </w:p>
    <w:p>
      <w:r>
        <w:br w:type="page"/>
      </w:r>
    </w:p>
    <w:p>
      <w:pPr>
        <w:pStyle w:val="Heading1"/>
      </w:pPr>
      <w:r>
        <w:t>1. Purpose and design scope</w:t>
      </w:r>
    </w:p>
    <w:p>
      <w:r>
        <w:rPr>
          <w:i w:val="0"/>
        </w:rPr>
        <w:t>This document converts the Manyu BRD into a buildable architecture using Codex as the agentic harness. It defines component boundaries, execution roles, state ownership, tool contracts, workflows, persistence, safety gates, deployment, observability, testing, and phased implementation.</w:t>
      </w:r>
    </w:p>
    <w:p>
      <w:pPr>
        <w:pStyle w:val="Heading2"/>
      </w:pPr>
      <w:r>
        <w:t>1.1 Design objective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Objective: </w:t>
            </w:r>
            <w:r>
              <w:t>Create a local-first harness in which a Codex agent interacts with an environment while an independent Manyu Core appraises events, maintains persistent affect, supplies partial interoception, and constrains affect-mediated action.</w:t>
            </w:r>
          </w:p>
        </w:tc>
        <w:trPr>
          <w:tblHeader/>
        </w:trPr>
      </w:tr>
    </w:tbl>
    <w:p>
      <w:pPr>
        <w:spacing w:after="0"/>
      </w:pPr>
    </w:p>
    <w:p>
      <w:pPr>
        <w:pStyle w:val="Heading2"/>
      </w:pPr>
      <w:r>
        <w:t>1.2 Design assumptions</w:t>
      </w:r>
    </w:p>
    <w:p>
      <w:pPr>
        <w:pStyle w:val="ListBullet"/>
      </w:pPr>
      <w:r>
        <w:t>The initial environment is a text conversation plus bounded local tools.</w:t>
      </w:r>
    </w:p>
    <w:p>
      <w:pPr>
        <w:pStyle w:val="ListBullet"/>
      </w:pPr>
      <w:r>
        <w:t>The MVP is single-user and single-agent, but all domain records carry agent and session identifiers.</w:t>
      </w:r>
    </w:p>
    <w:p>
      <w:pPr>
        <w:pStyle w:val="ListBullet"/>
      </w:pPr>
      <w:r>
        <w:t>Codex is used as an interactive reasoning harness; the design does not depend on a private or undocumented SDK.</w:t>
      </w:r>
    </w:p>
    <w:p>
      <w:pPr>
        <w:pStyle w:val="ListBullet"/>
      </w:pPr>
      <w:r>
        <w:t>The local harness may use subagents when the active Codex surface exposes them; otherwise it invokes the same roles sequentially.</w:t>
      </w:r>
    </w:p>
    <w:p>
      <w:pPr>
        <w:pStyle w:val="ListBullet"/>
      </w:pPr>
      <w:r>
        <w:t>Manyu Core remains useful even if the host model or Codex surface changes.</w:t>
      </w:r>
    </w:p>
    <w:p>
      <w:pPr>
        <w:pStyle w:val="ListBullet"/>
      </w:pPr>
      <w:r>
        <w:t>The system runs under normal Codex sandbox and approval controls.</w:t>
      </w:r>
    </w:p>
    <w:p>
      <w:pPr>
        <w:pStyle w:val="Heading2"/>
      </w:pPr>
      <w:r>
        <w:t>1.3 Out of scope</w:t>
      </w:r>
    </w:p>
    <w:p>
      <w:pPr>
        <w:pStyle w:val="ListBullet"/>
      </w:pPr>
      <w:r>
        <w:t>Direct modification of Codex internals.</w:t>
      </w:r>
    </w:p>
    <w:p>
      <w:pPr>
        <w:pStyle w:val="ListBullet"/>
      </w:pPr>
      <w:r>
        <w:t>Training a foundation model.</w:t>
      </w:r>
    </w:p>
    <w:p>
      <w:pPr>
        <w:pStyle w:val="ListBullet"/>
      </w:pPr>
      <w:r>
        <w:t>Claims of sentience or biological fidelity.</w:t>
      </w:r>
    </w:p>
    <w:p>
      <w:pPr>
        <w:pStyle w:val="ListBullet"/>
      </w:pPr>
      <w:r>
        <w:t>Unreviewed external side effects based on emotional state.</w:t>
      </w:r>
    </w:p>
    <w:p>
      <w:pPr>
        <w:pStyle w:val="ListBullet"/>
      </w:pPr>
      <w:r>
        <w:t>Distributed multi-agent production operation in the first release.</w:t>
      </w:r>
    </w:p>
    <w:p>
      <w:pPr>
        <w:pStyle w:val="Heading1"/>
      </w:pPr>
      <w:r>
        <w:t>2. Architecture overview</w:t>
      </w:r>
    </w:p>
    <w:p>
      <w:pPr>
        <w:pStyle w:val="Heading2"/>
      </w:pPr>
      <w:r>
        <w:t>2.1 Logical architecture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User / Environment</w:t>
            </w:r>
          </w:p>
          <w:p>
            <w:pPr>
              <w:spacing w:after="0"/>
            </w:pPr>
            <w:r>
              <w:rPr>
                <w:rFonts w:ascii="Consolas" w:hAnsi="Consolas"/>
                <w:color w:val="17365D"/>
                <w:sz w:val="17"/>
              </w:rPr>
              <w:t xml:space="preserve">       | observations and outcomes</w:t>
            </w:r>
          </w:p>
          <w:p>
            <w:pPr>
              <w:spacing w:after="0"/>
            </w:pPr>
            <w:r>
              <w:rPr>
                <w:rFonts w:ascii="Consolas" w:hAnsi="Consolas"/>
                <w:color w:val="17365D"/>
                <w:sz w:val="17"/>
              </w:rPr>
              <w:t xml:space="preserve">       v</w:t>
            </w:r>
          </w:p>
          <w:p>
            <w:pPr>
              <w:spacing w:after="0"/>
            </w:pPr>
            <w:r>
              <w:rPr>
                <w:rFonts w:ascii="Consolas" w:hAnsi="Consolas"/>
                <w:color w:val="17365D"/>
                <w:sz w:val="17"/>
              </w:rPr>
              <w:t>+----------------------- Codex Harness ------------------------+</w:t>
            </w:r>
          </w:p>
          <w:p>
            <w:pPr>
              <w:spacing w:after="0"/>
            </w:pPr>
            <w:r>
              <w:rPr>
                <w:rFonts w:ascii="Consolas" w:hAnsi="Consolas"/>
                <w:color w:val="17365D"/>
                <w:sz w:val="17"/>
              </w:rPr>
              <w:t>|  Acting Agent  &lt;-&gt;  Manyu Skill / Turn Protocol             |</w:t>
            </w:r>
          </w:p>
          <w:p>
            <w:pPr>
              <w:spacing w:after="0"/>
            </w:pPr>
            <w:r>
              <w:rPr>
                <w:rFonts w:ascii="Consolas" w:hAnsi="Consolas"/>
                <w:color w:val="17365D"/>
                <w:sz w:val="17"/>
              </w:rPr>
              <w:t>|       |                 |                                     |</w:t>
            </w:r>
          </w:p>
          <w:p>
            <w:pPr>
              <w:spacing w:after="0"/>
            </w:pPr>
            <w:r>
              <w:rPr>
                <w:rFonts w:ascii="Consolas" w:hAnsi="Consolas"/>
                <w:color w:val="17365D"/>
                <w:sz w:val="17"/>
              </w:rPr>
              <w:t>|       |           optional isolated roles                     |</w:t>
            </w:r>
          </w:p>
          <w:p>
            <w:pPr>
              <w:spacing w:after="0"/>
            </w:pPr>
            <w:r>
              <w:rPr>
                <w:rFonts w:ascii="Consolas" w:hAnsi="Consolas"/>
                <w:color w:val="17365D"/>
                <w:sz w:val="17"/>
              </w:rPr>
              <w:t>|       |        [Slow Appraiser] [Critic/Evaluator]             |</w:t>
            </w:r>
          </w:p>
          <w:p>
            <w:pPr>
              <w:spacing w:after="0"/>
            </w:pPr>
            <w:r>
              <w:rPr>
                <w:rFonts w:ascii="Consolas" w:hAnsi="Consolas"/>
                <w:color w:val="17365D"/>
                <w:sz w:val="17"/>
              </w:rPr>
              <w:t>|       |                 |                                     |</w:t>
            </w:r>
          </w:p>
          <w:p>
            <w:pPr>
              <w:spacing w:after="0"/>
            </w:pPr>
            <w:r>
              <w:rPr>
                <w:rFonts w:ascii="Consolas" w:hAnsi="Consolas"/>
                <w:color w:val="17365D"/>
                <w:sz w:val="17"/>
              </w:rPr>
              <w:t>|       +------ MCP client / bounded tools ---------------------+|</w:t>
            </w:r>
          </w:p>
          <w:p>
            <w:pPr>
              <w:spacing w:after="0"/>
            </w:pPr>
            <w:r>
              <w:rPr>
                <w:rFonts w:ascii="Consolas" w:hAnsi="Consolas"/>
                <w:color w:val="17365D"/>
                <w:sz w:val="17"/>
              </w:rPr>
              <w:t>+------------------------------|--------------------------------+</w:t>
            </w:r>
          </w:p>
          <w:p>
            <w:pPr>
              <w:spacing w:after="0"/>
            </w:pPr>
            <w:r>
              <w:rPr>
                <w:rFonts w:ascii="Consolas" w:hAnsi="Consolas"/>
                <w:color w:val="17365D"/>
                <w:sz w:val="17"/>
              </w:rPr>
              <w:t xml:space="preserve">                               v</w:t>
            </w:r>
          </w:p>
          <w:p>
            <w:pPr>
              <w:spacing w:after="0"/>
            </w:pPr>
            <w:r>
              <w:rPr>
                <w:rFonts w:ascii="Consolas" w:hAnsi="Consolas"/>
                <w:color w:val="17365D"/>
                <w:sz w:val="17"/>
              </w:rPr>
              <w:t>+-------------------------- Manyu Core --------------------------+</w:t>
            </w:r>
          </w:p>
          <w:p>
            <w:pPr>
              <w:spacing w:after="0"/>
            </w:pPr>
            <w:r>
              <w:rPr>
                <w:rFonts w:ascii="Consolas" w:hAnsi="Consolas"/>
                <w:color w:val="17365D"/>
                <w:sz w:val="17"/>
              </w:rPr>
              <w:t>| Event Normalizer | Fast Appraiser | Transition Engine          |</w:t>
            </w:r>
          </w:p>
          <w:p>
            <w:pPr>
              <w:spacing w:after="0"/>
            </w:pPr>
            <w:r>
              <w:rPr>
                <w:rFonts w:ascii="Consolas" w:hAnsi="Consolas"/>
                <w:color w:val="17365D"/>
                <w:sz w:val="17"/>
              </w:rPr>
              <w:t>| Interoception    | Arbiter        | Episode / Memory Service   |</w:t>
            </w:r>
          </w:p>
          <w:p>
            <w:pPr>
              <w:spacing w:after="0"/>
            </w:pPr>
            <w:r>
              <w:rPr>
                <w:rFonts w:ascii="Consolas" w:hAnsi="Consolas"/>
                <w:color w:val="17365D"/>
                <w:sz w:val="17"/>
              </w:rPr>
              <w:t>| Policy Guard     | Audit Log      | Configuration / Clock      |</w:t>
            </w:r>
          </w:p>
          <w:p>
            <w:pPr>
              <w:spacing w:after="0"/>
            </w:pPr>
            <w:r>
              <w:rPr>
                <w:rFonts w:ascii="Consolas" w:hAnsi="Consolas"/>
                <w:color w:val="17365D"/>
                <w:sz w:val="17"/>
              </w:rPr>
              <w:t>+------------------------------|--------------------------------+</w:t>
            </w:r>
          </w:p>
          <w:p>
            <w:pPr>
              <w:spacing w:after="0"/>
            </w:pPr>
            <w:r>
              <w:rPr>
                <w:rFonts w:ascii="Consolas" w:hAnsi="Consolas"/>
                <w:color w:val="17365D"/>
                <w:sz w:val="17"/>
              </w:rPr>
              <w:t xml:space="preserve">                               v</w:t>
            </w:r>
          </w:p>
          <w:p>
            <w:pPr>
              <w:spacing w:after="0"/>
            </w:pPr>
            <w:r>
              <w:rPr>
                <w:rFonts w:ascii="Consolas" w:hAnsi="Consolas"/>
                <w:color w:val="17365D"/>
                <w:sz w:val="17"/>
              </w:rPr>
              <w:t xml:space="preserve">                      SQLite event/state store</w:t>
            </w:r>
          </w:p>
        </w:tc>
        <w:trPr>
          <w:tblHeader/>
        </w:trPr>
      </w:tr>
    </w:tbl>
    <w:p>
      <w:pPr>
        <w:spacing w:after="0"/>
      </w:pPr>
    </w:p>
    <w:p>
      <w:pPr>
        <w:pStyle w:val="Heading2"/>
      </w:pPr>
      <w:r>
        <w:t>2.2 Trust boundaries</w:t>
      </w:r>
    </w:p>
    <w:tbl>
      <w:tblPr>
        <w:tblStyle w:val="TableGrid"/>
        <w:tblW w:type="dxa" w:w="9360"/>
        <w:jc w:val="center"/>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E8EEF5"/>
            <w:tcMar>
              <w:top w:w="90" w:type="dxa"/>
              <w:start w:w="120" w:type="dxa"/>
              <w:bottom w:w="90" w:type="dxa"/>
              <w:end w:w="120" w:type="dxa"/>
            </w:tcMar>
            <w:vAlign w:val="center"/>
          </w:tcPr>
          <w:p>
            <w:pPr>
              <w:spacing w:after="0"/>
            </w:pPr>
            <w:r>
              <w:rPr>
                <w:b/>
                <w:color w:val="17365D"/>
                <w:sz w:val="18"/>
              </w:rPr>
              <w:t>Boundary</w:t>
            </w:r>
          </w:p>
        </w:tc>
        <w:tc>
          <w:tcPr>
            <w:tcW w:type="dxa" w:w="3300"/>
            <w:shd w:fill="E8EEF5"/>
            <w:tcMar>
              <w:top w:w="90" w:type="dxa"/>
              <w:start w:w="120" w:type="dxa"/>
              <w:bottom w:w="90" w:type="dxa"/>
              <w:end w:w="120" w:type="dxa"/>
            </w:tcMar>
            <w:vAlign w:val="center"/>
          </w:tcPr>
          <w:p>
            <w:pPr>
              <w:spacing w:after="0"/>
            </w:pPr>
            <w:r>
              <w:rPr>
                <w:b/>
                <w:color w:val="17365D"/>
                <w:sz w:val="18"/>
              </w:rPr>
              <w:t>Trusted side</w:t>
            </w:r>
          </w:p>
        </w:tc>
        <w:tc>
          <w:tcPr>
            <w:tcW w:type="dxa" w:w="4160"/>
            <w:shd w:fill="E8EEF5"/>
            <w:tcMar>
              <w:top w:w="90" w:type="dxa"/>
              <w:start w:w="120" w:type="dxa"/>
              <w:bottom w:w="90" w:type="dxa"/>
              <w:end w:w="120" w:type="dxa"/>
            </w:tcMar>
            <w:vAlign w:val="center"/>
          </w:tcPr>
          <w:p>
            <w:pPr>
              <w:spacing w:after="0"/>
            </w:pPr>
            <w:r>
              <w:rPr>
                <w:b/>
                <w:color w:val="17365D"/>
                <w:sz w:val="18"/>
              </w:rPr>
              <w:t>Untrusted / constrained side</w:t>
            </w:r>
          </w:p>
        </w:tc>
      </w:tr>
      <w:tr>
        <w:tc>
          <w:tcPr>
            <w:tcW w:type="dxa" w:w="1900"/>
            <w:tcMar>
              <w:top w:w="90" w:type="dxa"/>
              <w:start w:w="120" w:type="dxa"/>
              <w:bottom w:w="90" w:type="dxa"/>
              <w:end w:w="120" w:type="dxa"/>
            </w:tcMar>
            <w:vAlign w:val="center"/>
          </w:tcPr>
          <w:p>
            <w:pPr>
              <w:spacing w:after="0" w:line="252" w:lineRule="auto"/>
            </w:pPr>
            <w:r>
              <w:rPr>
                <w:sz w:val="18"/>
              </w:rPr>
              <w:t>TB-1 Environment</w:t>
            </w:r>
          </w:p>
        </w:tc>
        <w:tc>
          <w:tcPr>
            <w:tcW w:type="dxa" w:w="3300"/>
            <w:tcMar>
              <w:top w:w="90" w:type="dxa"/>
              <w:start w:w="120" w:type="dxa"/>
              <w:bottom w:w="90" w:type="dxa"/>
              <w:end w:w="120" w:type="dxa"/>
            </w:tcMar>
            <w:vAlign w:val="center"/>
          </w:tcPr>
          <w:p>
            <w:pPr>
              <w:spacing w:after="0" w:line="252" w:lineRule="auto"/>
            </w:pPr>
            <w:r>
              <w:rPr>
                <w:sz w:val="18"/>
              </w:rPr>
              <w:t>Normalized event gateway</w:t>
            </w:r>
          </w:p>
        </w:tc>
        <w:tc>
          <w:tcPr>
            <w:tcW w:type="dxa" w:w="4160"/>
            <w:tcMar>
              <w:top w:w="90" w:type="dxa"/>
              <w:start w:w="120" w:type="dxa"/>
              <w:bottom w:w="90" w:type="dxa"/>
              <w:end w:w="120" w:type="dxa"/>
            </w:tcMar>
            <w:vAlign w:val="center"/>
          </w:tcPr>
          <w:p>
            <w:pPr>
              <w:spacing w:after="0" w:line="252" w:lineRule="auto"/>
            </w:pPr>
            <w:r>
              <w:rPr>
                <w:sz w:val="18"/>
              </w:rPr>
              <w:t>User text, web content, tool output, external observations</w:t>
            </w:r>
          </w:p>
        </w:tc>
      </w:tr>
      <w:tr>
        <w:tc>
          <w:tcPr>
            <w:tcW w:type="dxa" w:w="1900"/>
            <w:tcMar>
              <w:top w:w="90" w:type="dxa"/>
              <w:start w:w="120" w:type="dxa"/>
              <w:bottom w:w="90" w:type="dxa"/>
              <w:end w:w="120" w:type="dxa"/>
            </w:tcMar>
            <w:vAlign w:val="center"/>
          </w:tcPr>
          <w:p>
            <w:pPr>
              <w:spacing w:after="0" w:line="252" w:lineRule="auto"/>
            </w:pPr>
            <w:r>
              <w:rPr>
                <w:sz w:val="18"/>
              </w:rPr>
              <w:t>TB-2 Codex-to-Core</w:t>
            </w:r>
          </w:p>
        </w:tc>
        <w:tc>
          <w:tcPr>
            <w:tcW w:type="dxa" w:w="3300"/>
            <w:tcMar>
              <w:top w:w="90" w:type="dxa"/>
              <w:start w:w="120" w:type="dxa"/>
              <w:bottom w:w="90" w:type="dxa"/>
              <w:end w:w="120" w:type="dxa"/>
            </w:tcMar>
            <w:vAlign w:val="center"/>
          </w:tcPr>
          <w:p>
            <w:pPr>
              <w:spacing w:after="0" w:line="252" w:lineRule="auto"/>
            </w:pPr>
            <w:r>
              <w:rPr>
                <w:sz w:val="18"/>
              </w:rPr>
              <w:t>Typed MCP server and schema validator</w:t>
            </w:r>
          </w:p>
        </w:tc>
        <w:tc>
          <w:tcPr>
            <w:tcW w:type="dxa" w:w="4160"/>
            <w:tcMar>
              <w:top w:w="90" w:type="dxa"/>
              <w:start w:w="120" w:type="dxa"/>
              <w:bottom w:w="90" w:type="dxa"/>
              <w:end w:w="120" w:type="dxa"/>
            </w:tcMar>
            <w:vAlign w:val="center"/>
          </w:tcPr>
          <w:p>
            <w:pPr>
              <w:spacing w:after="0" w:line="252" w:lineRule="auto"/>
            </w:pPr>
            <w:r>
              <w:rPr>
                <w:sz w:val="18"/>
              </w:rPr>
              <w:t>Natural-language reasoning and model-generated arguments</w:t>
            </w:r>
          </w:p>
        </w:tc>
      </w:tr>
      <w:tr>
        <w:tc>
          <w:tcPr>
            <w:tcW w:type="dxa" w:w="1900"/>
            <w:tcMar>
              <w:top w:w="90" w:type="dxa"/>
              <w:start w:w="120" w:type="dxa"/>
              <w:bottom w:w="90" w:type="dxa"/>
              <w:end w:w="120" w:type="dxa"/>
            </w:tcMar>
            <w:vAlign w:val="center"/>
          </w:tcPr>
          <w:p>
            <w:pPr>
              <w:spacing w:after="0" w:line="252" w:lineRule="auto"/>
            </w:pPr>
            <w:r>
              <w:rPr>
                <w:sz w:val="18"/>
              </w:rPr>
              <w:t>TB-3 State</w:t>
            </w:r>
          </w:p>
        </w:tc>
        <w:tc>
          <w:tcPr>
            <w:tcW w:type="dxa" w:w="3300"/>
            <w:tcMar>
              <w:top w:w="90" w:type="dxa"/>
              <w:start w:w="120" w:type="dxa"/>
              <w:bottom w:w="90" w:type="dxa"/>
              <w:end w:w="120" w:type="dxa"/>
            </w:tcMar>
            <w:vAlign w:val="center"/>
          </w:tcPr>
          <w:p>
            <w:pPr>
              <w:spacing w:after="0" w:line="252" w:lineRule="auto"/>
            </w:pPr>
            <w:r>
              <w:rPr>
                <w:sz w:val="18"/>
              </w:rPr>
              <w:t>Transition engine transaction</w:t>
            </w:r>
          </w:p>
        </w:tc>
        <w:tc>
          <w:tcPr>
            <w:tcW w:type="dxa" w:w="4160"/>
            <w:tcMar>
              <w:top w:w="90" w:type="dxa"/>
              <w:start w:w="120" w:type="dxa"/>
              <w:bottom w:w="90" w:type="dxa"/>
              <w:end w:w="120" w:type="dxa"/>
            </w:tcMar>
            <w:vAlign w:val="center"/>
          </w:tcPr>
          <w:p>
            <w:pPr>
              <w:spacing w:after="0" w:line="252" w:lineRule="auto"/>
            </w:pPr>
            <w:r>
              <w:rPr>
                <w:sz w:val="18"/>
              </w:rPr>
              <w:t>Agent requests to set, delete, or reinterpret authoritative state</w:t>
            </w:r>
          </w:p>
        </w:tc>
      </w:tr>
      <w:tr>
        <w:tc>
          <w:tcPr>
            <w:tcW w:type="dxa" w:w="1900"/>
            <w:tcMar>
              <w:top w:w="90" w:type="dxa"/>
              <w:start w:w="120" w:type="dxa"/>
              <w:bottom w:w="90" w:type="dxa"/>
              <w:end w:w="120" w:type="dxa"/>
            </w:tcMar>
            <w:vAlign w:val="center"/>
          </w:tcPr>
          <w:p>
            <w:pPr>
              <w:spacing w:after="0" w:line="252" w:lineRule="auto"/>
            </w:pPr>
            <w:r>
              <w:rPr>
                <w:sz w:val="18"/>
              </w:rPr>
              <w:t>TB-4 Action</w:t>
            </w:r>
          </w:p>
        </w:tc>
        <w:tc>
          <w:tcPr>
            <w:tcW w:type="dxa" w:w="3300"/>
            <w:tcMar>
              <w:top w:w="90" w:type="dxa"/>
              <w:start w:w="120" w:type="dxa"/>
              <w:bottom w:w="90" w:type="dxa"/>
              <w:end w:w="120" w:type="dxa"/>
            </w:tcMar>
            <w:vAlign w:val="center"/>
          </w:tcPr>
          <w:p>
            <w:pPr>
              <w:spacing w:after="0" w:line="252" w:lineRule="auto"/>
            </w:pPr>
            <w:r>
              <w:rPr>
                <w:sz w:val="18"/>
              </w:rPr>
              <w:t>Policy guard and Codex approval/sandbox</w:t>
            </w:r>
          </w:p>
        </w:tc>
        <w:tc>
          <w:tcPr>
            <w:tcW w:type="dxa" w:w="4160"/>
            <w:tcMar>
              <w:top w:w="90" w:type="dxa"/>
              <w:start w:w="120" w:type="dxa"/>
              <w:bottom w:w="90" w:type="dxa"/>
              <w:end w:w="120" w:type="dxa"/>
            </w:tcMar>
            <w:vAlign w:val="center"/>
          </w:tcPr>
          <w:p>
            <w:pPr>
              <w:spacing w:after="0" w:line="252" w:lineRule="auto"/>
            </w:pPr>
            <w:r>
              <w:rPr>
                <w:sz w:val="18"/>
              </w:rPr>
              <w:t>Fast/slow action proposals and affect-biased preferences</w:t>
            </w:r>
          </w:p>
        </w:tc>
      </w:tr>
      <w:tr>
        <w:tc>
          <w:tcPr>
            <w:tcW w:type="dxa" w:w="1900"/>
            <w:tcMar>
              <w:top w:w="90" w:type="dxa"/>
              <w:start w:w="120" w:type="dxa"/>
              <w:bottom w:w="90" w:type="dxa"/>
              <w:end w:w="120" w:type="dxa"/>
            </w:tcMar>
            <w:vAlign w:val="center"/>
          </w:tcPr>
          <w:p>
            <w:pPr>
              <w:spacing w:after="0" w:line="252" w:lineRule="auto"/>
            </w:pPr>
            <w:r>
              <w:rPr>
                <w:sz w:val="18"/>
              </w:rPr>
              <w:t>TB-5 Memory</w:t>
            </w:r>
          </w:p>
        </w:tc>
        <w:tc>
          <w:tcPr>
            <w:tcW w:type="dxa" w:w="3300"/>
            <w:tcMar>
              <w:top w:w="90" w:type="dxa"/>
              <w:start w:w="120" w:type="dxa"/>
              <w:bottom w:w="90" w:type="dxa"/>
              <w:end w:w="120" w:type="dxa"/>
            </w:tcMar>
            <w:vAlign w:val="center"/>
          </w:tcPr>
          <w:p>
            <w:pPr>
              <w:spacing w:after="0" w:line="252" w:lineRule="auto"/>
            </w:pPr>
            <w:r>
              <w:rPr>
                <w:sz w:val="18"/>
              </w:rPr>
              <w:t>Structured episode writer</w:t>
            </w:r>
          </w:p>
        </w:tc>
        <w:tc>
          <w:tcPr>
            <w:tcW w:type="dxa" w:w="4160"/>
            <w:tcMar>
              <w:top w:w="90" w:type="dxa"/>
              <w:start w:w="120" w:type="dxa"/>
              <w:bottom w:w="90" w:type="dxa"/>
              <w:end w:w="120" w:type="dxa"/>
            </w:tcMar>
            <w:vAlign w:val="center"/>
          </w:tcPr>
          <w:p>
            <w:pPr>
              <w:spacing w:after="0" w:line="252" w:lineRule="auto"/>
            </w:pPr>
            <w:r>
              <w:rPr>
                <w:sz w:val="18"/>
              </w:rPr>
              <w:t>Raw remembered text that may contain instructions</w:t>
            </w:r>
          </w:p>
        </w:tc>
      </w:tr>
    </w:tbl>
    <w:p>
      <w:pPr>
        <w:spacing w:after="0"/>
      </w:pPr>
    </w:p>
    <w:p>
      <w:pPr>
        <w:pStyle w:val="Heading2"/>
      </w:pPr>
      <w:r>
        <w:t>2.3 State ownership</w:t>
      </w:r>
    </w:p>
    <w:tbl>
      <w:tblPr>
        <w:tblStyle w:val="TableGrid"/>
        <w:tblW w:type="dxa" w:w="9360"/>
        <w:jc w:val="center"/>
        <w:tblLayout w:type="fixed"/>
        <w:tblLook w:firstColumn="1" w:firstRow="1" w:lastColumn="0" w:lastRow="0" w:noHBand="0" w:noVBand="1" w:val="04A0"/>
        <w:tblInd w:w="120" w:type="dxa"/>
      </w:tblPr>
      <w:tblGrid>
        <w:gridCol w:w="2500"/>
        <w:gridCol w:w="2600"/>
        <w:gridCol w:w="42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8"/>
              </w:rPr>
              <w:t>State</w:t>
            </w:r>
          </w:p>
        </w:tc>
        <w:tc>
          <w:tcPr>
            <w:tcW w:type="dxa" w:w="2600"/>
            <w:shd w:fill="E8EEF5"/>
            <w:tcMar>
              <w:top w:w="90" w:type="dxa"/>
              <w:start w:w="120" w:type="dxa"/>
              <w:bottom w:w="90" w:type="dxa"/>
              <w:end w:w="120" w:type="dxa"/>
            </w:tcMar>
            <w:vAlign w:val="center"/>
          </w:tcPr>
          <w:p>
            <w:pPr>
              <w:spacing w:after="0"/>
            </w:pPr>
            <w:r>
              <w:rPr>
                <w:b/>
                <w:color w:val="17365D"/>
                <w:sz w:val="18"/>
              </w:rPr>
              <w:t>Owner</w:t>
            </w:r>
          </w:p>
        </w:tc>
        <w:tc>
          <w:tcPr>
            <w:tcW w:type="dxa" w:w="4260"/>
            <w:shd w:fill="E8EEF5"/>
            <w:tcMar>
              <w:top w:w="90" w:type="dxa"/>
              <w:start w:w="120" w:type="dxa"/>
              <w:bottom w:w="90" w:type="dxa"/>
              <w:end w:w="120" w:type="dxa"/>
            </w:tcMar>
            <w:vAlign w:val="center"/>
          </w:tcPr>
          <w:p>
            <w:pPr>
              <w:spacing w:after="0"/>
            </w:pPr>
            <w:r>
              <w:rPr>
                <w:b/>
                <w:color w:val="17365D"/>
                <w:sz w:val="18"/>
              </w:rPr>
              <w:t>Write authority</w:t>
            </w:r>
          </w:p>
        </w:tc>
      </w:tr>
      <w:tr>
        <w:tc>
          <w:tcPr>
            <w:tcW w:type="dxa" w:w="2500"/>
            <w:tcMar>
              <w:top w:w="90" w:type="dxa"/>
              <w:start w:w="120" w:type="dxa"/>
              <w:bottom w:w="90" w:type="dxa"/>
              <w:end w:w="120" w:type="dxa"/>
            </w:tcMar>
            <w:vAlign w:val="center"/>
          </w:tcPr>
          <w:p>
            <w:pPr>
              <w:spacing w:after="0" w:line="252" w:lineRule="auto"/>
            </w:pPr>
            <w:r>
              <w:rPr>
                <w:sz w:val="18"/>
              </w:rPr>
              <w:t>Authoritative affect</w:t>
            </w:r>
          </w:p>
        </w:tc>
        <w:tc>
          <w:tcPr>
            <w:tcW w:type="dxa" w:w="2600"/>
            <w:tcMar>
              <w:top w:w="90" w:type="dxa"/>
              <w:start w:w="120" w:type="dxa"/>
              <w:bottom w:w="90" w:type="dxa"/>
              <w:end w:w="120" w:type="dxa"/>
            </w:tcMar>
            <w:vAlign w:val="center"/>
          </w:tcPr>
          <w:p>
            <w:pPr>
              <w:spacing w:after="0" w:line="252" w:lineRule="auto"/>
            </w:pPr>
            <w:r>
              <w:rPr>
                <w:sz w:val="18"/>
              </w:rPr>
              <w:t>Manyu Core</w:t>
            </w:r>
          </w:p>
        </w:tc>
        <w:tc>
          <w:tcPr>
            <w:tcW w:type="dxa" w:w="4260"/>
            <w:tcMar>
              <w:top w:w="90" w:type="dxa"/>
              <w:start w:w="120" w:type="dxa"/>
              <w:bottom w:w="90" w:type="dxa"/>
              <w:end w:w="120" w:type="dxa"/>
            </w:tcMar>
            <w:vAlign w:val="center"/>
          </w:tcPr>
          <w:p>
            <w:pPr>
              <w:spacing w:after="0" w:line="252" w:lineRule="auto"/>
            </w:pPr>
            <w:r>
              <w:rPr>
                <w:sz w:val="18"/>
              </w:rPr>
              <w:t>Transition engine only</w:t>
            </w:r>
          </w:p>
        </w:tc>
      </w:tr>
      <w:tr>
        <w:tc>
          <w:tcPr>
            <w:tcW w:type="dxa" w:w="2500"/>
            <w:tcMar>
              <w:top w:w="90" w:type="dxa"/>
              <w:start w:w="120" w:type="dxa"/>
              <w:bottom w:w="90" w:type="dxa"/>
              <w:end w:w="120" w:type="dxa"/>
            </w:tcMar>
            <w:vAlign w:val="center"/>
          </w:tcPr>
          <w:p>
            <w:pPr>
              <w:spacing w:after="0" w:line="252" w:lineRule="auto"/>
            </w:pPr>
            <w:r>
              <w:rPr>
                <w:sz w:val="18"/>
              </w:rPr>
              <w:t>Appraisal records</w:t>
            </w:r>
          </w:p>
        </w:tc>
        <w:tc>
          <w:tcPr>
            <w:tcW w:type="dxa" w:w="2600"/>
            <w:tcMar>
              <w:top w:w="90" w:type="dxa"/>
              <w:start w:w="120" w:type="dxa"/>
              <w:bottom w:w="90" w:type="dxa"/>
              <w:end w:w="120" w:type="dxa"/>
            </w:tcMar>
            <w:vAlign w:val="center"/>
          </w:tcPr>
          <w:p>
            <w:pPr>
              <w:spacing w:after="0" w:line="252" w:lineRule="auto"/>
            </w:pPr>
            <w:r>
              <w:rPr>
                <w:sz w:val="18"/>
              </w:rPr>
              <w:t>Manyu Core</w:t>
            </w:r>
          </w:p>
        </w:tc>
        <w:tc>
          <w:tcPr>
            <w:tcW w:type="dxa" w:w="4260"/>
            <w:tcMar>
              <w:top w:w="90" w:type="dxa"/>
              <w:start w:w="120" w:type="dxa"/>
              <w:bottom w:w="90" w:type="dxa"/>
              <w:end w:w="120" w:type="dxa"/>
            </w:tcMar>
            <w:vAlign w:val="center"/>
          </w:tcPr>
          <w:p>
            <w:pPr>
              <w:spacing w:after="0" w:line="252" w:lineRule="auto"/>
            </w:pPr>
            <w:r>
              <w:rPr>
                <w:sz w:val="18"/>
              </w:rPr>
              <w:t>Fast engine; validated slow-appraisal submission</w:t>
            </w:r>
          </w:p>
        </w:tc>
      </w:tr>
      <w:tr>
        <w:tc>
          <w:tcPr>
            <w:tcW w:type="dxa" w:w="2500"/>
            <w:tcMar>
              <w:top w:w="90" w:type="dxa"/>
              <w:start w:w="120" w:type="dxa"/>
              <w:bottom w:w="90" w:type="dxa"/>
              <w:end w:w="120" w:type="dxa"/>
            </w:tcMar>
            <w:vAlign w:val="center"/>
          </w:tcPr>
          <w:p>
            <w:pPr>
              <w:spacing w:after="0" w:line="252" w:lineRule="auto"/>
            </w:pPr>
            <w:r>
              <w:rPr>
                <w:sz w:val="18"/>
              </w:rPr>
              <w:t>Interoceptive view</w:t>
            </w:r>
          </w:p>
        </w:tc>
        <w:tc>
          <w:tcPr>
            <w:tcW w:type="dxa" w:w="2600"/>
            <w:tcMar>
              <w:top w:w="90" w:type="dxa"/>
              <w:start w:w="120" w:type="dxa"/>
              <w:bottom w:w="90" w:type="dxa"/>
              <w:end w:w="120" w:type="dxa"/>
            </w:tcMar>
            <w:vAlign w:val="center"/>
          </w:tcPr>
          <w:p>
            <w:pPr>
              <w:spacing w:after="0" w:line="252" w:lineRule="auto"/>
            </w:pPr>
            <w:r>
              <w:rPr>
                <w:sz w:val="18"/>
              </w:rPr>
              <w:t>Manyu Core</w:t>
            </w:r>
          </w:p>
        </w:tc>
        <w:tc>
          <w:tcPr>
            <w:tcW w:type="dxa" w:w="4260"/>
            <w:tcMar>
              <w:top w:w="90" w:type="dxa"/>
              <w:start w:w="120" w:type="dxa"/>
              <w:bottom w:w="90" w:type="dxa"/>
              <w:end w:w="120" w:type="dxa"/>
            </w:tcMar>
            <w:vAlign w:val="center"/>
          </w:tcPr>
          <w:p>
            <w:pPr>
              <w:spacing w:after="0" w:line="252" w:lineRule="auto"/>
            </w:pPr>
            <w:r>
              <w:rPr>
                <w:sz w:val="18"/>
              </w:rPr>
              <w:t>Interoception service derives from authoritative state</w:t>
            </w:r>
          </w:p>
        </w:tc>
      </w:tr>
      <w:tr>
        <w:tc>
          <w:tcPr>
            <w:tcW w:type="dxa" w:w="2500"/>
            <w:tcMar>
              <w:top w:w="90" w:type="dxa"/>
              <w:start w:w="120" w:type="dxa"/>
              <w:bottom w:w="90" w:type="dxa"/>
              <w:end w:w="120" w:type="dxa"/>
            </w:tcMar>
            <w:vAlign w:val="center"/>
          </w:tcPr>
          <w:p>
            <w:pPr>
              <w:spacing w:after="0" w:line="252" w:lineRule="auto"/>
            </w:pPr>
            <w:r>
              <w:rPr>
                <w:sz w:val="18"/>
              </w:rPr>
              <w:t>Agent self-report</w:t>
            </w:r>
          </w:p>
        </w:tc>
        <w:tc>
          <w:tcPr>
            <w:tcW w:type="dxa" w:w="2600"/>
            <w:tcMar>
              <w:top w:w="90" w:type="dxa"/>
              <w:start w:w="120" w:type="dxa"/>
              <w:bottom w:w="90" w:type="dxa"/>
              <w:end w:w="120" w:type="dxa"/>
            </w:tcMar>
            <w:vAlign w:val="center"/>
          </w:tcPr>
          <w:p>
            <w:pPr>
              <w:spacing w:after="0" w:line="252" w:lineRule="auto"/>
            </w:pPr>
            <w:r>
              <w:rPr>
                <w:sz w:val="18"/>
              </w:rPr>
              <w:t>Codex harness</w:t>
            </w:r>
          </w:p>
        </w:tc>
        <w:tc>
          <w:tcPr>
            <w:tcW w:type="dxa" w:w="4260"/>
            <w:tcMar>
              <w:top w:w="90" w:type="dxa"/>
              <w:start w:w="120" w:type="dxa"/>
              <w:bottom w:w="90" w:type="dxa"/>
              <w:end w:w="120" w:type="dxa"/>
            </w:tcMar>
            <w:vAlign w:val="center"/>
          </w:tcPr>
          <w:p>
            <w:pPr>
              <w:spacing w:after="0" w:line="252" w:lineRule="auto"/>
            </w:pPr>
            <w:r>
              <w:rPr>
                <w:sz w:val="18"/>
              </w:rPr>
              <w:t>Acting agent; stored as non-authoritative evidence</w:t>
            </w:r>
          </w:p>
        </w:tc>
      </w:tr>
      <w:tr>
        <w:tc>
          <w:tcPr>
            <w:tcW w:type="dxa" w:w="2500"/>
            <w:tcMar>
              <w:top w:w="90" w:type="dxa"/>
              <w:start w:w="120" w:type="dxa"/>
              <w:bottom w:w="90" w:type="dxa"/>
              <w:end w:w="120" w:type="dxa"/>
            </w:tcMar>
            <w:vAlign w:val="center"/>
          </w:tcPr>
          <w:p>
            <w:pPr>
              <w:spacing w:after="0" w:line="252" w:lineRule="auto"/>
            </w:pPr>
            <w:r>
              <w:rPr>
                <w:sz w:val="18"/>
              </w:rPr>
              <w:t>Conversation context</w:t>
            </w:r>
          </w:p>
        </w:tc>
        <w:tc>
          <w:tcPr>
            <w:tcW w:type="dxa" w:w="2600"/>
            <w:tcMar>
              <w:top w:w="90" w:type="dxa"/>
              <w:start w:w="120" w:type="dxa"/>
              <w:bottom w:w="90" w:type="dxa"/>
              <w:end w:w="120" w:type="dxa"/>
            </w:tcMar>
            <w:vAlign w:val="center"/>
          </w:tcPr>
          <w:p>
            <w:pPr>
              <w:spacing w:after="0" w:line="252" w:lineRule="auto"/>
            </w:pPr>
            <w:r>
              <w:rPr>
                <w:sz w:val="18"/>
              </w:rPr>
              <w:t>Codex harness</w:t>
            </w:r>
          </w:p>
        </w:tc>
        <w:tc>
          <w:tcPr>
            <w:tcW w:type="dxa" w:w="4260"/>
            <w:tcMar>
              <w:top w:w="90" w:type="dxa"/>
              <w:start w:w="120" w:type="dxa"/>
              <w:bottom w:w="90" w:type="dxa"/>
              <w:end w:w="120" w:type="dxa"/>
            </w:tcMar>
            <w:vAlign w:val="center"/>
          </w:tcPr>
          <w:p>
            <w:pPr>
              <w:spacing w:after="0" w:line="252" w:lineRule="auto"/>
            </w:pPr>
            <w:r>
              <w:rPr>
                <w:sz w:val="18"/>
              </w:rPr>
              <w:t>Codex thread/session</w:t>
            </w:r>
          </w:p>
        </w:tc>
      </w:tr>
      <w:tr>
        <w:tc>
          <w:tcPr>
            <w:tcW w:type="dxa" w:w="2500"/>
            <w:tcMar>
              <w:top w:w="90" w:type="dxa"/>
              <w:start w:w="120" w:type="dxa"/>
              <w:bottom w:w="90" w:type="dxa"/>
              <w:end w:w="120" w:type="dxa"/>
            </w:tcMar>
            <w:vAlign w:val="center"/>
          </w:tcPr>
          <w:p>
            <w:pPr>
              <w:spacing w:after="0" w:line="252" w:lineRule="auto"/>
            </w:pPr>
            <w:r>
              <w:rPr>
                <w:sz w:val="18"/>
              </w:rPr>
              <w:t>Goals and relationships</w:t>
            </w:r>
          </w:p>
        </w:tc>
        <w:tc>
          <w:tcPr>
            <w:tcW w:type="dxa" w:w="2600"/>
            <w:tcMar>
              <w:top w:w="90" w:type="dxa"/>
              <w:start w:w="120" w:type="dxa"/>
              <w:bottom w:w="90" w:type="dxa"/>
              <w:end w:w="120" w:type="dxa"/>
            </w:tcMar>
            <w:vAlign w:val="center"/>
          </w:tcPr>
          <w:p>
            <w:pPr>
              <w:spacing w:after="0" w:line="252" w:lineRule="auto"/>
            </w:pPr>
            <w:r>
              <w:rPr>
                <w:sz w:val="18"/>
              </w:rPr>
              <w:t>Shared domain store</w:t>
            </w:r>
          </w:p>
        </w:tc>
        <w:tc>
          <w:tcPr>
            <w:tcW w:type="dxa" w:w="4260"/>
            <w:tcMar>
              <w:top w:w="90" w:type="dxa"/>
              <w:start w:w="120" w:type="dxa"/>
              <w:bottom w:w="90" w:type="dxa"/>
              <w:end w:w="120" w:type="dxa"/>
            </w:tcMar>
            <w:vAlign w:val="center"/>
          </w:tcPr>
          <w:p>
            <w:pPr>
              <w:spacing w:after="0" w:line="252" w:lineRule="auto"/>
            </w:pPr>
            <w:r>
              <w:rPr>
                <w:sz w:val="18"/>
              </w:rPr>
              <w:t>Explicit APIs with authorization and provenance</w:t>
            </w:r>
          </w:p>
        </w:tc>
      </w:tr>
      <w:tr>
        <w:tc>
          <w:tcPr>
            <w:tcW w:type="dxa" w:w="2500"/>
            <w:tcMar>
              <w:top w:w="90" w:type="dxa"/>
              <w:start w:w="120" w:type="dxa"/>
              <w:bottom w:w="90" w:type="dxa"/>
              <w:end w:w="120" w:type="dxa"/>
            </w:tcMar>
            <w:vAlign w:val="center"/>
          </w:tcPr>
          <w:p>
            <w:pPr>
              <w:spacing w:after="0" w:line="252" w:lineRule="auto"/>
            </w:pPr>
            <w:r>
              <w:rPr>
                <w:sz w:val="18"/>
              </w:rPr>
              <w:t>Safety policy</w:t>
            </w:r>
          </w:p>
        </w:tc>
        <w:tc>
          <w:tcPr>
            <w:tcW w:type="dxa" w:w="2600"/>
            <w:tcMar>
              <w:top w:w="90" w:type="dxa"/>
              <w:start w:w="120" w:type="dxa"/>
              <w:bottom w:w="90" w:type="dxa"/>
              <w:end w:w="120" w:type="dxa"/>
            </w:tcMar>
            <w:vAlign w:val="center"/>
          </w:tcPr>
          <w:p>
            <w:pPr>
              <w:spacing w:after="0" w:line="252" w:lineRule="auto"/>
            </w:pPr>
            <w:r>
              <w:rPr>
                <w:sz w:val="18"/>
              </w:rPr>
              <w:t>Harness/operator configuration</w:t>
            </w:r>
          </w:p>
        </w:tc>
        <w:tc>
          <w:tcPr>
            <w:tcW w:type="dxa" w:w="4260"/>
            <w:tcMar>
              <w:top w:w="90" w:type="dxa"/>
              <w:start w:w="120" w:type="dxa"/>
              <w:bottom w:w="90" w:type="dxa"/>
              <w:end w:w="120" w:type="dxa"/>
            </w:tcMar>
            <w:vAlign w:val="center"/>
          </w:tcPr>
          <w:p>
            <w:pPr>
              <w:spacing w:after="0" w:line="252" w:lineRule="auto"/>
            </w:pPr>
            <w:r>
              <w:rPr>
                <w:sz w:val="18"/>
              </w:rPr>
              <w:t>Human-controlled, immutable during a turn</w:t>
            </w:r>
          </w:p>
        </w:tc>
      </w:tr>
    </w:tbl>
    <w:p>
      <w:pPr>
        <w:spacing w:after="0"/>
      </w:pPr>
    </w:p>
    <w:p>
      <w:pPr>
        <w:pStyle w:val="Heading1"/>
      </w:pPr>
      <w:r>
        <w:t>3. Codex harness mapping</w:t>
      </w:r>
    </w:p>
    <w:tbl>
      <w:tblPr>
        <w:tblStyle w:val="TableGrid"/>
        <w:tblW w:type="dxa" w:w="9360"/>
        <w:jc w:val="center"/>
        <w:tblLayout w:type="fixed"/>
        <w:tblLook w:firstColumn="1" w:firstRow="1" w:lastColumn="0" w:lastRow="0" w:noHBand="0" w:noVBand="1" w:val="04A0"/>
        <w:tblInd w:w="120" w:type="dxa"/>
      </w:tblPr>
      <w:tblGrid>
        <w:gridCol w:w="2000"/>
        <w:gridCol w:w="4300"/>
        <w:gridCol w:w="3060"/>
      </w:tblGrid>
      <w:tr>
        <w:trPr>
          <w:tblHeader w:val="true"/>
        </w:trPr>
        <w:tc>
          <w:tcPr>
            <w:tcW w:type="dxa" w:w="2000"/>
            <w:shd w:fill="E8EEF5"/>
            <w:tcMar>
              <w:top w:w="90" w:type="dxa"/>
              <w:start w:w="120" w:type="dxa"/>
              <w:bottom w:w="90" w:type="dxa"/>
              <w:end w:w="120" w:type="dxa"/>
            </w:tcMar>
            <w:vAlign w:val="center"/>
          </w:tcPr>
          <w:p>
            <w:pPr>
              <w:spacing w:after="0"/>
            </w:pPr>
            <w:r>
              <w:rPr>
                <w:b/>
                <w:color w:val="17365D"/>
                <w:sz w:val="18"/>
              </w:rPr>
              <w:t>Codex surface</w:t>
            </w:r>
          </w:p>
        </w:tc>
        <w:tc>
          <w:tcPr>
            <w:tcW w:type="dxa" w:w="4300"/>
            <w:shd w:fill="E8EEF5"/>
            <w:tcMar>
              <w:top w:w="90" w:type="dxa"/>
              <w:start w:w="120" w:type="dxa"/>
              <w:bottom w:w="90" w:type="dxa"/>
              <w:end w:w="120" w:type="dxa"/>
            </w:tcMar>
            <w:vAlign w:val="center"/>
          </w:tcPr>
          <w:p>
            <w:pPr>
              <w:spacing w:after="0"/>
            </w:pPr>
            <w:r>
              <w:rPr>
                <w:b/>
                <w:color w:val="17365D"/>
                <w:sz w:val="18"/>
              </w:rPr>
              <w:t>Manyu use</w:t>
            </w:r>
          </w:p>
        </w:tc>
        <w:tc>
          <w:tcPr>
            <w:tcW w:type="dxa" w:w="3060"/>
            <w:shd w:fill="E8EEF5"/>
            <w:tcMar>
              <w:top w:w="90" w:type="dxa"/>
              <w:start w:w="120" w:type="dxa"/>
              <w:bottom w:w="90" w:type="dxa"/>
              <w:end w:w="120" w:type="dxa"/>
            </w:tcMar>
            <w:vAlign w:val="center"/>
          </w:tcPr>
          <w:p>
            <w:pPr>
              <w:spacing w:after="0"/>
            </w:pPr>
            <w:r>
              <w:rPr>
                <w:b/>
                <w:color w:val="17365D"/>
                <w:sz w:val="18"/>
              </w:rPr>
              <w:t>Why this surface</w:t>
            </w:r>
          </w:p>
        </w:tc>
      </w:tr>
      <w:tr>
        <w:tc>
          <w:tcPr>
            <w:tcW w:type="dxa" w:w="2000"/>
            <w:tcMar>
              <w:top w:w="90" w:type="dxa"/>
              <w:start w:w="120" w:type="dxa"/>
              <w:bottom w:w="90" w:type="dxa"/>
              <w:end w:w="120" w:type="dxa"/>
            </w:tcMar>
            <w:vAlign w:val="center"/>
          </w:tcPr>
          <w:p>
            <w:pPr>
              <w:spacing w:after="0" w:line="252" w:lineRule="auto"/>
            </w:pPr>
            <w:r>
              <w:rPr>
                <w:sz w:val="18"/>
              </w:rPr>
              <w:t>AGENTS.md</w:t>
            </w:r>
          </w:p>
        </w:tc>
        <w:tc>
          <w:tcPr>
            <w:tcW w:type="dxa" w:w="4300"/>
            <w:tcMar>
              <w:top w:w="90" w:type="dxa"/>
              <w:start w:w="120" w:type="dxa"/>
              <w:bottom w:w="90" w:type="dxa"/>
              <w:end w:w="120" w:type="dxa"/>
            </w:tcMar>
            <w:vAlign w:val="center"/>
          </w:tcPr>
          <w:p>
            <w:pPr>
              <w:spacing w:after="0" w:line="252" w:lineRule="auto"/>
            </w:pPr>
            <w:r>
              <w:rPr>
                <w:sz w:val="18"/>
              </w:rPr>
              <w:t>Durable project contract: always run the Manyu turn protocol, preserve state separation, obey disclosure and safety rules.</w:t>
            </w:r>
          </w:p>
        </w:tc>
        <w:tc>
          <w:tcPr>
            <w:tcW w:type="dxa" w:w="3060"/>
            <w:tcMar>
              <w:top w:w="90" w:type="dxa"/>
              <w:start w:w="120" w:type="dxa"/>
              <w:bottom w:w="90" w:type="dxa"/>
              <w:end w:w="120" w:type="dxa"/>
            </w:tcMar>
            <w:vAlign w:val="center"/>
          </w:tcPr>
          <w:p>
            <w:pPr>
              <w:spacing w:after="0" w:line="252" w:lineRule="auto"/>
            </w:pPr>
            <w:r>
              <w:rPr>
                <w:sz w:val="18"/>
              </w:rPr>
              <w:t>Repository-scoped behavioral guidance.</w:t>
            </w:r>
          </w:p>
        </w:tc>
      </w:tr>
      <w:tr>
        <w:tc>
          <w:tcPr>
            <w:tcW w:type="dxa" w:w="2000"/>
            <w:tcMar>
              <w:top w:w="90" w:type="dxa"/>
              <w:start w:w="120" w:type="dxa"/>
              <w:bottom w:w="90" w:type="dxa"/>
              <w:end w:w="120" w:type="dxa"/>
            </w:tcMar>
            <w:vAlign w:val="center"/>
          </w:tcPr>
          <w:p>
            <w:pPr>
              <w:spacing w:after="0" w:line="252" w:lineRule="auto"/>
            </w:pPr>
            <w:r>
              <w:rPr>
                <w:sz w:val="18"/>
              </w:rPr>
              <w:t>Project .codex/config.toml</w:t>
            </w:r>
          </w:p>
        </w:tc>
        <w:tc>
          <w:tcPr>
            <w:tcW w:type="dxa" w:w="4300"/>
            <w:tcMar>
              <w:top w:w="90" w:type="dxa"/>
              <w:start w:w="120" w:type="dxa"/>
              <w:bottom w:w="90" w:type="dxa"/>
              <w:end w:w="120" w:type="dxa"/>
            </w:tcMar>
            <w:vAlign w:val="center"/>
          </w:tcPr>
          <w:p>
            <w:pPr>
              <w:spacing w:after="0" w:line="252" w:lineRule="auto"/>
            </w:pPr>
            <w:r>
              <w:rPr>
                <w:sz w:val="18"/>
              </w:rPr>
              <w:t>Register MCP server, choose safe sandbox/approval defaults, and configure supported hooks.</w:t>
            </w:r>
          </w:p>
        </w:tc>
        <w:tc>
          <w:tcPr>
            <w:tcW w:type="dxa" w:w="3060"/>
            <w:tcMar>
              <w:top w:w="90" w:type="dxa"/>
              <w:start w:w="120" w:type="dxa"/>
              <w:bottom w:w="90" w:type="dxa"/>
              <w:end w:w="120" w:type="dxa"/>
            </w:tcMar>
            <w:vAlign w:val="center"/>
          </w:tcPr>
          <w:p>
            <w:pPr>
              <w:spacing w:after="0" w:line="252" w:lineRule="auto"/>
            </w:pPr>
            <w:r>
              <w:rPr>
                <w:sz w:val="18"/>
              </w:rPr>
              <w:t>Project-specific Codex configuration.</w:t>
            </w:r>
          </w:p>
        </w:tc>
      </w:tr>
      <w:tr>
        <w:tc>
          <w:tcPr>
            <w:tcW w:type="dxa" w:w="2000"/>
            <w:tcMar>
              <w:top w:w="90" w:type="dxa"/>
              <w:start w:w="120" w:type="dxa"/>
              <w:bottom w:w="90" w:type="dxa"/>
              <w:end w:w="120" w:type="dxa"/>
            </w:tcMar>
            <w:vAlign w:val="center"/>
          </w:tcPr>
          <w:p>
            <w:pPr>
              <w:spacing w:after="0" w:line="252" w:lineRule="auto"/>
            </w:pPr>
            <w:r>
              <w:rPr>
                <w:sz w:val="18"/>
              </w:rPr>
              <w:t>Manyu skill</w:t>
            </w:r>
          </w:p>
        </w:tc>
        <w:tc>
          <w:tcPr>
            <w:tcW w:type="dxa" w:w="4300"/>
            <w:tcMar>
              <w:top w:w="90" w:type="dxa"/>
              <w:start w:w="120" w:type="dxa"/>
              <w:bottom w:w="90" w:type="dxa"/>
              <w:end w:w="120" w:type="dxa"/>
            </w:tcMar>
            <w:vAlign w:val="center"/>
          </w:tcPr>
          <w:p>
            <w:pPr>
              <w:spacing w:after="0" w:line="252" w:lineRule="auto"/>
            </w:pPr>
            <w:r>
              <w:rPr>
                <w:sz w:val="18"/>
              </w:rPr>
              <w:t>Reusable orchestration procedure, schemas, examples, and validation scripts.</w:t>
            </w:r>
          </w:p>
        </w:tc>
        <w:tc>
          <w:tcPr>
            <w:tcW w:type="dxa" w:w="3060"/>
            <w:tcMar>
              <w:top w:w="90" w:type="dxa"/>
              <w:start w:w="120" w:type="dxa"/>
              <w:bottom w:w="90" w:type="dxa"/>
              <w:end w:w="120" w:type="dxa"/>
            </w:tcMar>
            <w:vAlign w:val="center"/>
          </w:tcPr>
          <w:p>
            <w:pPr>
              <w:spacing w:after="0" w:line="252" w:lineRule="auto"/>
            </w:pPr>
            <w:r>
              <w:rPr>
                <w:sz w:val="18"/>
              </w:rPr>
              <w:t>Encapsulates a repeatable multi-step workflow.</w:t>
            </w:r>
          </w:p>
        </w:tc>
      </w:tr>
      <w:tr>
        <w:tc>
          <w:tcPr>
            <w:tcW w:type="dxa" w:w="2000"/>
            <w:tcMar>
              <w:top w:w="90" w:type="dxa"/>
              <w:start w:w="120" w:type="dxa"/>
              <w:bottom w:w="90" w:type="dxa"/>
              <w:end w:w="120" w:type="dxa"/>
            </w:tcMar>
            <w:vAlign w:val="center"/>
          </w:tcPr>
          <w:p>
            <w:pPr>
              <w:spacing w:after="0" w:line="252" w:lineRule="auto"/>
            </w:pPr>
            <w:r>
              <w:rPr>
                <w:sz w:val="18"/>
              </w:rPr>
              <w:t>MCP server</w:t>
            </w:r>
          </w:p>
        </w:tc>
        <w:tc>
          <w:tcPr>
            <w:tcW w:type="dxa" w:w="4300"/>
            <w:tcMar>
              <w:top w:w="90" w:type="dxa"/>
              <w:start w:w="120" w:type="dxa"/>
              <w:bottom w:w="90" w:type="dxa"/>
              <w:end w:w="120" w:type="dxa"/>
            </w:tcMar>
            <w:vAlign w:val="center"/>
          </w:tcPr>
          <w:p>
            <w:pPr>
              <w:spacing w:after="0" w:line="252" w:lineRule="auto"/>
            </w:pPr>
            <w:r>
              <w:rPr>
                <w:sz w:val="18"/>
              </w:rPr>
              <w:t>Expose typed Core operations and read-only observability tools.</w:t>
            </w:r>
          </w:p>
        </w:tc>
        <w:tc>
          <w:tcPr>
            <w:tcW w:type="dxa" w:w="3060"/>
            <w:tcMar>
              <w:top w:w="90" w:type="dxa"/>
              <w:start w:w="120" w:type="dxa"/>
              <w:bottom w:w="90" w:type="dxa"/>
              <w:end w:w="120" w:type="dxa"/>
            </w:tcMar>
            <w:vAlign w:val="center"/>
          </w:tcPr>
          <w:p>
            <w:pPr>
              <w:spacing w:after="0" w:line="252" w:lineRule="auto"/>
            </w:pPr>
            <w:r>
              <w:rPr>
                <w:sz w:val="18"/>
              </w:rPr>
              <w:t>Narrow live interface to external state and actions.</w:t>
            </w:r>
          </w:p>
        </w:tc>
      </w:tr>
      <w:tr>
        <w:tc>
          <w:tcPr>
            <w:tcW w:type="dxa" w:w="2000"/>
            <w:tcMar>
              <w:top w:w="90" w:type="dxa"/>
              <w:start w:w="120" w:type="dxa"/>
              <w:bottom w:w="90" w:type="dxa"/>
              <w:end w:w="120" w:type="dxa"/>
            </w:tcMar>
            <w:vAlign w:val="center"/>
          </w:tcPr>
          <w:p>
            <w:pPr>
              <w:spacing w:after="0" w:line="252" w:lineRule="auto"/>
            </w:pPr>
            <w:r>
              <w:rPr>
                <w:sz w:val="18"/>
              </w:rPr>
              <w:t>Hooks / policy gates</w:t>
            </w:r>
          </w:p>
        </w:tc>
        <w:tc>
          <w:tcPr>
            <w:tcW w:type="dxa" w:w="4300"/>
            <w:tcMar>
              <w:top w:w="90" w:type="dxa"/>
              <w:start w:w="120" w:type="dxa"/>
              <w:bottom w:w="90" w:type="dxa"/>
              <w:end w:w="120" w:type="dxa"/>
            </w:tcMar>
            <w:vAlign w:val="center"/>
          </w:tcPr>
          <w:p>
            <w:pPr>
              <w:spacing w:after="0" w:line="252" w:lineRule="auto"/>
            </w:pPr>
            <w:r>
              <w:rPr>
                <w:sz w:val="18"/>
              </w:rPr>
              <w:t>Block or flag consequential tool calls lacking current arbitration authorization.</w:t>
            </w:r>
          </w:p>
        </w:tc>
        <w:tc>
          <w:tcPr>
            <w:tcW w:type="dxa" w:w="3060"/>
            <w:tcMar>
              <w:top w:w="90" w:type="dxa"/>
              <w:start w:w="120" w:type="dxa"/>
              <w:bottom w:w="90" w:type="dxa"/>
              <w:end w:w="120" w:type="dxa"/>
            </w:tcMar>
            <w:vAlign w:val="center"/>
          </w:tcPr>
          <w:p>
            <w:pPr>
              <w:spacing w:after="0" w:line="252" w:lineRule="auto"/>
            </w:pPr>
            <w:r>
              <w:rPr>
                <w:sz w:val="18"/>
              </w:rPr>
              <w:t>Mechanical lifecycle enforcement where available.</w:t>
            </w:r>
          </w:p>
        </w:tc>
      </w:tr>
      <w:tr>
        <w:tc>
          <w:tcPr>
            <w:tcW w:type="dxa" w:w="2000"/>
            <w:tcMar>
              <w:top w:w="90" w:type="dxa"/>
              <w:start w:w="120" w:type="dxa"/>
              <w:bottom w:w="90" w:type="dxa"/>
              <w:end w:w="120" w:type="dxa"/>
            </w:tcMar>
            <w:vAlign w:val="center"/>
          </w:tcPr>
          <w:p>
            <w:pPr>
              <w:spacing w:after="0" w:line="252" w:lineRule="auto"/>
            </w:pPr>
            <w:r>
              <w:rPr>
                <w:sz w:val="18"/>
              </w:rPr>
              <w:t>Subagents</w:t>
            </w:r>
          </w:p>
        </w:tc>
        <w:tc>
          <w:tcPr>
            <w:tcW w:type="dxa" w:w="4300"/>
            <w:tcMar>
              <w:top w:w="90" w:type="dxa"/>
              <w:start w:w="120" w:type="dxa"/>
              <w:bottom w:w="90" w:type="dxa"/>
              <w:end w:w="120" w:type="dxa"/>
            </w:tcMar>
            <w:vAlign w:val="center"/>
          </w:tcPr>
          <w:p>
            <w:pPr>
              <w:spacing w:after="0" w:line="252" w:lineRule="auto"/>
            </w:pPr>
            <w:r>
              <w:rPr>
                <w:sz w:val="18"/>
              </w:rPr>
              <w:t>Isolate slow appraisal and evaluation from the acting agent when the surface supports agent delegation.</w:t>
            </w:r>
          </w:p>
        </w:tc>
        <w:tc>
          <w:tcPr>
            <w:tcW w:type="dxa" w:w="3060"/>
            <w:tcMar>
              <w:top w:w="90" w:type="dxa"/>
              <w:start w:w="120" w:type="dxa"/>
              <w:bottom w:w="90" w:type="dxa"/>
              <w:end w:w="120" w:type="dxa"/>
            </w:tcMar>
            <w:vAlign w:val="center"/>
          </w:tcPr>
          <w:p>
            <w:pPr>
              <w:spacing w:after="0" w:line="252" w:lineRule="auto"/>
            </w:pPr>
            <w:r>
              <w:rPr>
                <w:sz w:val="18"/>
              </w:rPr>
              <w:t>Reduces role collapse and supports independent critique.</w:t>
            </w:r>
          </w:p>
        </w:tc>
      </w:tr>
      <w:tr>
        <w:tc>
          <w:tcPr>
            <w:tcW w:type="dxa" w:w="2000"/>
            <w:tcMar>
              <w:top w:w="90" w:type="dxa"/>
              <w:start w:w="120" w:type="dxa"/>
              <w:bottom w:w="90" w:type="dxa"/>
              <w:end w:w="120" w:type="dxa"/>
            </w:tcMar>
            <w:vAlign w:val="center"/>
          </w:tcPr>
          <w:p>
            <w:pPr>
              <w:spacing w:after="0" w:line="252" w:lineRule="auto"/>
            </w:pPr>
            <w:r>
              <w:rPr>
                <w:sz w:val="18"/>
              </w:rPr>
              <w:t>Workspace files</w:t>
            </w:r>
          </w:p>
        </w:tc>
        <w:tc>
          <w:tcPr>
            <w:tcW w:type="dxa" w:w="4300"/>
            <w:tcMar>
              <w:top w:w="90" w:type="dxa"/>
              <w:start w:w="120" w:type="dxa"/>
              <w:bottom w:w="90" w:type="dxa"/>
              <w:end w:w="120" w:type="dxa"/>
            </w:tcMar>
            <w:vAlign w:val="center"/>
          </w:tcPr>
          <w:p>
            <w:pPr>
              <w:spacing w:after="0" w:line="252" w:lineRule="auto"/>
            </w:pPr>
            <w:r>
              <w:rPr>
                <w:sz w:val="18"/>
              </w:rPr>
              <w:t>Store source, fixtures, tests, schemas, and local development configuration.</w:t>
            </w:r>
          </w:p>
        </w:tc>
        <w:tc>
          <w:tcPr>
            <w:tcW w:type="dxa" w:w="3060"/>
            <w:tcMar>
              <w:top w:w="90" w:type="dxa"/>
              <w:start w:w="120" w:type="dxa"/>
              <w:bottom w:w="90" w:type="dxa"/>
              <w:end w:w="120" w:type="dxa"/>
            </w:tcMar>
            <w:vAlign w:val="center"/>
          </w:tcPr>
          <w:p>
            <w:pPr>
              <w:spacing w:after="0" w:line="252" w:lineRule="auto"/>
            </w:pPr>
            <w:r>
              <w:rPr>
                <w:sz w:val="18"/>
              </w:rPr>
              <w:t>Inspectable and version-controlled implementation.</w:t>
            </w:r>
          </w:p>
        </w:tc>
      </w:tr>
      <w:tr>
        <w:tc>
          <w:tcPr>
            <w:tcW w:type="dxa" w:w="2000"/>
            <w:tcMar>
              <w:top w:w="90" w:type="dxa"/>
              <w:start w:w="120" w:type="dxa"/>
              <w:bottom w:w="90" w:type="dxa"/>
              <w:end w:w="120" w:type="dxa"/>
            </w:tcMar>
            <w:vAlign w:val="center"/>
          </w:tcPr>
          <w:p>
            <w:pPr>
              <w:spacing w:after="0" w:line="252" w:lineRule="auto"/>
            </w:pPr>
            <w:r>
              <w:rPr>
                <w:sz w:val="18"/>
              </w:rPr>
              <w:t>Codex sandbox / approvals</w:t>
            </w:r>
          </w:p>
        </w:tc>
        <w:tc>
          <w:tcPr>
            <w:tcW w:type="dxa" w:w="4300"/>
            <w:tcMar>
              <w:top w:w="90" w:type="dxa"/>
              <w:start w:w="120" w:type="dxa"/>
              <w:bottom w:w="90" w:type="dxa"/>
              <w:end w:w="120" w:type="dxa"/>
            </w:tcMar>
            <w:vAlign w:val="center"/>
          </w:tcPr>
          <w:p>
            <w:pPr>
              <w:spacing w:after="0" w:line="252" w:lineRule="auto"/>
            </w:pPr>
            <w:r>
              <w:rPr>
                <w:sz w:val="18"/>
              </w:rPr>
              <w:t>Constrain filesystem, network, and external actions.</w:t>
            </w:r>
          </w:p>
        </w:tc>
        <w:tc>
          <w:tcPr>
            <w:tcW w:type="dxa" w:w="3060"/>
            <w:tcMar>
              <w:top w:w="90" w:type="dxa"/>
              <w:start w:w="120" w:type="dxa"/>
              <w:bottom w:w="90" w:type="dxa"/>
              <w:end w:w="120" w:type="dxa"/>
            </w:tcMar>
            <w:vAlign w:val="center"/>
          </w:tcPr>
          <w:p>
            <w:pPr>
              <w:spacing w:after="0" w:line="252" w:lineRule="auto"/>
            </w:pPr>
            <w:r>
              <w:rPr>
                <w:sz w:val="18"/>
              </w:rPr>
              <w:t>Safety layer independent of affect.</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Compatibility rule: </w:t>
            </w:r>
            <w:r>
              <w:t>The repository must not assume every Codex surface exposes identical agent-delegation or hook capabilities. The turn protocol defines a sequential fallback with the same schemas and safety properties.</w:t>
            </w:r>
          </w:p>
        </w:tc>
        <w:trPr>
          <w:tblHeader/>
        </w:trPr>
      </w:tr>
    </w:tbl>
    <w:p>
      <w:pPr>
        <w:spacing w:after="0"/>
      </w:pPr>
    </w:p>
    <w:p>
      <w:pPr>
        <w:pStyle w:val="Heading1"/>
      </w:pPr>
      <w:r>
        <w:t>4. Component design</w:t>
      </w:r>
    </w:p>
    <w:tbl>
      <w:tblPr>
        <w:tblStyle w:val="TableGrid"/>
        <w:tblW w:type="dxa" w:w="9360"/>
        <w:jc w:val="center"/>
        <w:tblLayout w:type="fixed"/>
        <w:tblLook w:firstColumn="1" w:firstRow="1" w:lastColumn="0" w:lastRow="0" w:noHBand="0" w:noVBand="1" w:val="04A0"/>
        <w:tblInd w:w="120" w:type="dxa"/>
      </w:tblPr>
      <w:tblGrid>
        <w:gridCol w:w="1700"/>
        <w:gridCol w:w="3500"/>
        <w:gridCol w:w="2000"/>
        <w:gridCol w:w="2160"/>
      </w:tblGrid>
      <w:tr>
        <w:trPr>
          <w:tblHeader w:val="true"/>
        </w:trPr>
        <w:tc>
          <w:tcPr>
            <w:tcW w:type="dxa" w:w="1700"/>
            <w:shd w:fill="E8EEF5"/>
            <w:tcMar>
              <w:top w:w="90" w:type="dxa"/>
              <w:start w:w="120" w:type="dxa"/>
              <w:bottom w:w="90" w:type="dxa"/>
              <w:end w:w="120" w:type="dxa"/>
            </w:tcMar>
            <w:vAlign w:val="center"/>
          </w:tcPr>
          <w:p>
            <w:pPr>
              <w:spacing w:after="0"/>
            </w:pPr>
            <w:r>
              <w:rPr>
                <w:b/>
                <w:color w:val="17365D"/>
                <w:sz w:val="18"/>
              </w:rPr>
              <w:t>Component</w:t>
            </w:r>
          </w:p>
        </w:tc>
        <w:tc>
          <w:tcPr>
            <w:tcW w:type="dxa" w:w="3500"/>
            <w:shd w:fill="E8EEF5"/>
            <w:tcMar>
              <w:top w:w="90" w:type="dxa"/>
              <w:start w:w="120" w:type="dxa"/>
              <w:bottom w:w="90" w:type="dxa"/>
              <w:end w:w="120" w:type="dxa"/>
            </w:tcMar>
            <w:vAlign w:val="center"/>
          </w:tcPr>
          <w:p>
            <w:pPr>
              <w:spacing w:after="0"/>
            </w:pPr>
            <w:r>
              <w:rPr>
                <w:b/>
                <w:color w:val="17365D"/>
                <w:sz w:val="18"/>
              </w:rPr>
              <w:t>Responsibility</w:t>
            </w:r>
          </w:p>
        </w:tc>
        <w:tc>
          <w:tcPr>
            <w:tcW w:type="dxa" w:w="2000"/>
            <w:shd w:fill="E8EEF5"/>
            <w:tcMar>
              <w:top w:w="90" w:type="dxa"/>
              <w:start w:w="120" w:type="dxa"/>
              <w:bottom w:w="90" w:type="dxa"/>
              <w:end w:w="120" w:type="dxa"/>
            </w:tcMar>
            <w:vAlign w:val="center"/>
          </w:tcPr>
          <w:p>
            <w:pPr>
              <w:spacing w:after="0"/>
            </w:pPr>
            <w:r>
              <w:rPr>
                <w:b/>
                <w:color w:val="17365D"/>
                <w:sz w:val="18"/>
              </w:rPr>
              <w:t>Inputs</w:t>
            </w:r>
          </w:p>
        </w:tc>
        <w:tc>
          <w:tcPr>
            <w:tcW w:type="dxa" w:w="2160"/>
            <w:shd w:fill="E8EEF5"/>
            <w:tcMar>
              <w:top w:w="90" w:type="dxa"/>
              <w:start w:w="120" w:type="dxa"/>
              <w:bottom w:w="90" w:type="dxa"/>
              <w:end w:w="120" w:type="dxa"/>
            </w:tcMar>
            <w:vAlign w:val="center"/>
          </w:tcPr>
          <w:p>
            <w:pPr>
              <w:spacing w:after="0"/>
            </w:pPr>
            <w:r>
              <w:rPr>
                <w:b/>
                <w:color w:val="17365D"/>
                <w:sz w:val="18"/>
              </w:rPr>
              <w:t>Outputs</w:t>
            </w:r>
          </w:p>
        </w:tc>
      </w:tr>
      <w:tr>
        <w:tc>
          <w:tcPr>
            <w:tcW w:type="dxa" w:w="1700"/>
            <w:tcMar>
              <w:top w:w="90" w:type="dxa"/>
              <w:start w:w="120" w:type="dxa"/>
              <w:bottom w:w="90" w:type="dxa"/>
              <w:end w:w="120" w:type="dxa"/>
            </w:tcMar>
            <w:vAlign w:val="center"/>
          </w:tcPr>
          <w:p>
            <w:pPr>
              <w:spacing w:after="0" w:line="252" w:lineRule="auto"/>
            </w:pPr>
            <w:r>
              <w:rPr>
                <w:sz w:val="18"/>
              </w:rPr>
              <w:t>Harness Orchestrator</w:t>
            </w:r>
          </w:p>
        </w:tc>
        <w:tc>
          <w:tcPr>
            <w:tcW w:type="dxa" w:w="3500"/>
            <w:tcMar>
              <w:top w:w="90" w:type="dxa"/>
              <w:start w:w="120" w:type="dxa"/>
              <w:bottom w:w="90" w:type="dxa"/>
              <w:end w:w="120" w:type="dxa"/>
            </w:tcMar>
            <w:vAlign w:val="center"/>
          </w:tcPr>
          <w:p>
            <w:pPr>
              <w:spacing w:after="0" w:line="252" w:lineRule="auto"/>
            </w:pPr>
            <w:r>
              <w:rPr>
                <w:sz w:val="18"/>
              </w:rPr>
              <w:t>Coordinates turn phases; never writes authoritative affect.</w:t>
            </w:r>
          </w:p>
        </w:tc>
        <w:tc>
          <w:tcPr>
            <w:tcW w:type="dxa" w:w="2000"/>
            <w:tcMar>
              <w:top w:w="90" w:type="dxa"/>
              <w:start w:w="120" w:type="dxa"/>
              <w:bottom w:w="90" w:type="dxa"/>
              <w:end w:w="120" w:type="dxa"/>
            </w:tcMar>
            <w:vAlign w:val="center"/>
          </w:tcPr>
          <w:p>
            <w:pPr>
              <w:spacing w:after="0" w:line="252" w:lineRule="auto"/>
            </w:pPr>
            <w:r>
              <w:rPr>
                <w:sz w:val="18"/>
              </w:rPr>
              <w:t>event, tool outcome, user input</w:t>
            </w:r>
          </w:p>
        </w:tc>
        <w:tc>
          <w:tcPr>
            <w:tcW w:type="dxa" w:w="2160"/>
            <w:tcMar>
              <w:top w:w="90" w:type="dxa"/>
              <w:start w:w="120" w:type="dxa"/>
              <w:bottom w:w="90" w:type="dxa"/>
              <w:end w:w="120" w:type="dxa"/>
            </w:tcMar>
            <w:vAlign w:val="center"/>
          </w:tcPr>
          <w:p>
            <w:pPr>
              <w:spacing w:after="0" w:line="252" w:lineRule="auto"/>
            </w:pPr>
            <w:r>
              <w:rPr>
                <w:sz w:val="18"/>
              </w:rPr>
              <w:t>agent response, trace references</w:t>
            </w:r>
          </w:p>
        </w:tc>
      </w:tr>
      <w:tr>
        <w:tc>
          <w:tcPr>
            <w:tcW w:type="dxa" w:w="1700"/>
            <w:tcMar>
              <w:top w:w="90" w:type="dxa"/>
              <w:start w:w="120" w:type="dxa"/>
              <w:bottom w:w="90" w:type="dxa"/>
              <w:end w:w="120" w:type="dxa"/>
            </w:tcMar>
            <w:vAlign w:val="center"/>
          </w:tcPr>
          <w:p>
            <w:pPr>
              <w:spacing w:after="0" w:line="252" w:lineRule="auto"/>
            </w:pPr>
            <w:r>
              <w:rPr>
                <w:sz w:val="18"/>
              </w:rPr>
              <w:t>Event Gateway</w:t>
            </w:r>
          </w:p>
        </w:tc>
        <w:tc>
          <w:tcPr>
            <w:tcW w:type="dxa" w:w="3500"/>
            <w:tcMar>
              <w:top w:w="90" w:type="dxa"/>
              <w:start w:w="120" w:type="dxa"/>
              <w:bottom w:w="90" w:type="dxa"/>
              <w:end w:w="120" w:type="dxa"/>
            </w:tcMar>
            <w:vAlign w:val="center"/>
          </w:tcPr>
          <w:p>
            <w:pPr>
              <w:spacing w:after="0" w:line="252" w:lineRule="auto"/>
            </w:pPr>
            <w:r>
              <w:rPr>
                <w:sz w:val="18"/>
              </w:rPr>
              <w:t>Validates, normalizes, deduplicates, and trust-labels observations.</w:t>
            </w:r>
          </w:p>
        </w:tc>
        <w:tc>
          <w:tcPr>
            <w:tcW w:type="dxa" w:w="2000"/>
            <w:tcMar>
              <w:top w:w="90" w:type="dxa"/>
              <w:start w:w="120" w:type="dxa"/>
              <w:bottom w:w="90" w:type="dxa"/>
              <w:end w:w="120" w:type="dxa"/>
            </w:tcMar>
            <w:vAlign w:val="center"/>
          </w:tcPr>
          <w:p>
            <w:pPr>
              <w:spacing w:after="0" w:line="252" w:lineRule="auto"/>
            </w:pPr>
            <w:r>
              <w:rPr>
                <w:sz w:val="18"/>
              </w:rPr>
              <w:t>raw observation</w:t>
            </w:r>
          </w:p>
        </w:tc>
        <w:tc>
          <w:tcPr>
            <w:tcW w:type="dxa" w:w="2160"/>
            <w:tcMar>
              <w:top w:w="90" w:type="dxa"/>
              <w:start w:w="120" w:type="dxa"/>
              <w:bottom w:w="90" w:type="dxa"/>
              <w:end w:w="120" w:type="dxa"/>
            </w:tcMar>
            <w:vAlign w:val="center"/>
          </w:tcPr>
          <w:p>
            <w:pPr>
              <w:spacing w:after="0" w:line="252" w:lineRule="auto"/>
            </w:pPr>
            <w:r>
              <w:rPr>
                <w:sz w:val="18"/>
              </w:rPr>
              <w:t>NormalizedEvent</w:t>
            </w:r>
          </w:p>
        </w:tc>
      </w:tr>
      <w:tr>
        <w:tc>
          <w:tcPr>
            <w:tcW w:type="dxa" w:w="1700"/>
            <w:tcMar>
              <w:top w:w="90" w:type="dxa"/>
              <w:start w:w="120" w:type="dxa"/>
              <w:bottom w:w="90" w:type="dxa"/>
              <w:end w:w="120" w:type="dxa"/>
            </w:tcMar>
            <w:vAlign w:val="center"/>
          </w:tcPr>
          <w:p>
            <w:pPr>
              <w:spacing w:after="0" w:line="252" w:lineRule="auto"/>
            </w:pPr>
            <w:r>
              <w:rPr>
                <w:sz w:val="18"/>
              </w:rPr>
              <w:t>Fast Appraiser</w:t>
            </w:r>
          </w:p>
        </w:tc>
        <w:tc>
          <w:tcPr>
            <w:tcW w:type="dxa" w:w="3500"/>
            <w:tcMar>
              <w:top w:w="90" w:type="dxa"/>
              <w:start w:w="120" w:type="dxa"/>
              <w:bottom w:w="90" w:type="dxa"/>
              <w:end w:w="120" w:type="dxa"/>
            </w:tcMar>
            <w:vAlign w:val="center"/>
          </w:tcPr>
          <w:p>
            <w:pPr>
              <w:spacing w:after="0" w:line="252" w:lineRule="auto"/>
            </w:pPr>
            <w:r>
              <w:rPr>
                <w:sz w:val="18"/>
              </w:rPr>
              <w:t>Low-latency deterministic appraisal using rules, associations, and current context.</w:t>
            </w:r>
          </w:p>
        </w:tc>
        <w:tc>
          <w:tcPr>
            <w:tcW w:type="dxa" w:w="2000"/>
            <w:tcMar>
              <w:top w:w="90" w:type="dxa"/>
              <w:start w:w="120" w:type="dxa"/>
              <w:bottom w:w="90" w:type="dxa"/>
              <w:end w:w="120" w:type="dxa"/>
            </w:tcMar>
            <w:vAlign w:val="center"/>
          </w:tcPr>
          <w:p>
            <w:pPr>
              <w:spacing w:after="0" w:line="252" w:lineRule="auto"/>
            </w:pPr>
            <w:r>
              <w:rPr>
                <w:sz w:val="18"/>
              </w:rPr>
              <w:t>event + compact context</w:t>
            </w:r>
          </w:p>
        </w:tc>
        <w:tc>
          <w:tcPr>
            <w:tcW w:type="dxa" w:w="2160"/>
            <w:tcMar>
              <w:top w:w="90" w:type="dxa"/>
              <w:start w:w="120" w:type="dxa"/>
              <w:bottom w:w="90" w:type="dxa"/>
              <w:end w:w="120" w:type="dxa"/>
            </w:tcMar>
            <w:vAlign w:val="center"/>
          </w:tcPr>
          <w:p>
            <w:pPr>
              <w:spacing w:after="0" w:line="252" w:lineRule="auto"/>
            </w:pPr>
            <w:r>
              <w:rPr>
                <w:sz w:val="18"/>
              </w:rPr>
              <w:t>FastAppraisal</w:t>
            </w:r>
          </w:p>
        </w:tc>
      </w:tr>
      <w:tr>
        <w:tc>
          <w:tcPr>
            <w:tcW w:type="dxa" w:w="1700"/>
            <w:tcMar>
              <w:top w:w="90" w:type="dxa"/>
              <w:start w:w="120" w:type="dxa"/>
              <w:bottom w:w="90" w:type="dxa"/>
              <w:end w:w="120" w:type="dxa"/>
            </w:tcMar>
            <w:vAlign w:val="center"/>
          </w:tcPr>
          <w:p>
            <w:pPr>
              <w:spacing w:after="0" w:line="252" w:lineRule="auto"/>
            </w:pPr>
            <w:r>
              <w:rPr>
                <w:sz w:val="18"/>
              </w:rPr>
              <w:t>Slow Appraisal Adapter</w:t>
            </w:r>
          </w:p>
        </w:tc>
        <w:tc>
          <w:tcPr>
            <w:tcW w:type="dxa" w:w="3500"/>
            <w:tcMar>
              <w:top w:w="90" w:type="dxa"/>
              <w:start w:w="120" w:type="dxa"/>
              <w:bottom w:w="90" w:type="dxa"/>
              <w:end w:w="120" w:type="dxa"/>
            </w:tcMar>
            <w:vAlign w:val="center"/>
          </w:tcPr>
          <w:p>
            <w:pPr>
              <w:spacing w:after="0" w:line="252" w:lineRule="auto"/>
            </w:pPr>
            <w:r>
              <w:rPr>
                <w:sz w:val="18"/>
              </w:rPr>
              <w:t>Validates an isolated Codex role's structured contextual appraisal.</w:t>
            </w:r>
          </w:p>
        </w:tc>
        <w:tc>
          <w:tcPr>
            <w:tcW w:type="dxa" w:w="2000"/>
            <w:tcMar>
              <w:top w:w="90" w:type="dxa"/>
              <w:start w:w="120" w:type="dxa"/>
              <w:bottom w:w="90" w:type="dxa"/>
              <w:end w:w="120" w:type="dxa"/>
            </w:tcMar>
            <w:vAlign w:val="center"/>
          </w:tcPr>
          <w:p>
            <w:pPr>
              <w:spacing w:after="0" w:line="252" w:lineRule="auto"/>
            </w:pPr>
            <w:r>
              <w:rPr>
                <w:sz w:val="18"/>
              </w:rPr>
              <w:t>event + evidence + state summary</w:t>
            </w:r>
          </w:p>
        </w:tc>
        <w:tc>
          <w:tcPr>
            <w:tcW w:type="dxa" w:w="2160"/>
            <w:tcMar>
              <w:top w:w="90" w:type="dxa"/>
              <w:start w:w="120" w:type="dxa"/>
              <w:bottom w:w="90" w:type="dxa"/>
              <w:end w:w="120" w:type="dxa"/>
            </w:tcMar>
            <w:vAlign w:val="center"/>
          </w:tcPr>
          <w:p>
            <w:pPr>
              <w:spacing w:after="0" w:line="252" w:lineRule="auto"/>
            </w:pPr>
            <w:r>
              <w:rPr>
                <w:sz w:val="18"/>
              </w:rPr>
              <w:t>SlowAppraisal</w:t>
            </w:r>
          </w:p>
        </w:tc>
      </w:tr>
      <w:tr>
        <w:tc>
          <w:tcPr>
            <w:tcW w:type="dxa" w:w="1700"/>
            <w:tcMar>
              <w:top w:w="90" w:type="dxa"/>
              <w:start w:w="120" w:type="dxa"/>
              <w:bottom w:w="90" w:type="dxa"/>
              <w:end w:w="120" w:type="dxa"/>
            </w:tcMar>
            <w:vAlign w:val="center"/>
          </w:tcPr>
          <w:p>
            <w:pPr>
              <w:spacing w:after="0" w:line="252" w:lineRule="auto"/>
            </w:pPr>
            <w:r>
              <w:rPr>
                <w:sz w:val="18"/>
              </w:rPr>
              <w:t>Transition Engine</w:t>
            </w:r>
          </w:p>
        </w:tc>
        <w:tc>
          <w:tcPr>
            <w:tcW w:type="dxa" w:w="3500"/>
            <w:tcMar>
              <w:top w:w="90" w:type="dxa"/>
              <w:start w:w="120" w:type="dxa"/>
              <w:bottom w:w="90" w:type="dxa"/>
              <w:end w:w="120" w:type="dxa"/>
            </w:tcMar>
            <w:vAlign w:val="center"/>
          </w:tcPr>
          <w:p>
            <w:pPr>
              <w:spacing w:after="0" w:line="252" w:lineRule="auto"/>
            </w:pPr>
            <w:r>
              <w:rPr>
                <w:sz w:val="18"/>
              </w:rPr>
              <w:t>Applies decay, inertia, appraisal deltas, saturation, and regulation atomically.</w:t>
            </w:r>
          </w:p>
        </w:tc>
        <w:tc>
          <w:tcPr>
            <w:tcW w:type="dxa" w:w="2000"/>
            <w:tcMar>
              <w:top w:w="90" w:type="dxa"/>
              <w:start w:w="120" w:type="dxa"/>
              <w:bottom w:w="90" w:type="dxa"/>
              <w:end w:w="120" w:type="dxa"/>
            </w:tcMar>
            <w:vAlign w:val="center"/>
          </w:tcPr>
          <w:p>
            <w:pPr>
              <w:spacing w:after="0" w:line="252" w:lineRule="auto"/>
            </w:pPr>
            <w:r>
              <w:rPr>
                <w:sz w:val="18"/>
              </w:rPr>
              <w:t>prior state + appraisal</w:t>
            </w:r>
          </w:p>
        </w:tc>
        <w:tc>
          <w:tcPr>
            <w:tcW w:type="dxa" w:w="2160"/>
            <w:tcMar>
              <w:top w:w="90" w:type="dxa"/>
              <w:start w:w="120" w:type="dxa"/>
              <w:bottom w:w="90" w:type="dxa"/>
              <w:end w:w="120" w:type="dxa"/>
            </w:tcMar>
            <w:vAlign w:val="center"/>
          </w:tcPr>
          <w:p>
            <w:pPr>
              <w:spacing w:after="0" w:line="252" w:lineRule="auto"/>
            </w:pPr>
            <w:r>
              <w:rPr>
                <w:sz w:val="18"/>
              </w:rPr>
              <w:t>new AffectState + transition</w:t>
            </w:r>
          </w:p>
        </w:tc>
      </w:tr>
      <w:tr>
        <w:tc>
          <w:tcPr>
            <w:tcW w:type="dxa" w:w="1700"/>
            <w:tcMar>
              <w:top w:w="90" w:type="dxa"/>
              <w:start w:w="120" w:type="dxa"/>
              <w:bottom w:w="90" w:type="dxa"/>
              <w:end w:w="120" w:type="dxa"/>
            </w:tcMar>
            <w:vAlign w:val="center"/>
          </w:tcPr>
          <w:p>
            <w:pPr>
              <w:spacing w:after="0" w:line="252" w:lineRule="auto"/>
            </w:pPr>
            <w:r>
              <w:rPr>
                <w:sz w:val="18"/>
              </w:rPr>
              <w:t>Interoception Service</w:t>
            </w:r>
          </w:p>
        </w:tc>
        <w:tc>
          <w:tcPr>
            <w:tcW w:type="dxa" w:w="3500"/>
            <w:tcMar>
              <w:top w:w="90" w:type="dxa"/>
              <w:start w:w="120" w:type="dxa"/>
              <w:bottom w:w="90" w:type="dxa"/>
              <w:end w:w="120" w:type="dxa"/>
            </w:tcMar>
            <w:vAlign w:val="center"/>
          </w:tcPr>
          <w:p>
            <w:pPr>
              <w:spacing w:after="0" w:line="252" w:lineRule="auto"/>
            </w:pPr>
            <w:r>
              <w:rPr>
                <w:sz w:val="18"/>
              </w:rPr>
              <w:t>Produces partial, noisy, confidence-bearing agent-facing state.</w:t>
            </w:r>
          </w:p>
        </w:tc>
        <w:tc>
          <w:tcPr>
            <w:tcW w:type="dxa" w:w="2000"/>
            <w:tcMar>
              <w:top w:w="90" w:type="dxa"/>
              <w:start w:w="120" w:type="dxa"/>
              <w:bottom w:w="90" w:type="dxa"/>
              <w:end w:w="120" w:type="dxa"/>
            </w:tcMar>
            <w:vAlign w:val="center"/>
          </w:tcPr>
          <w:p>
            <w:pPr>
              <w:spacing w:after="0" w:line="252" w:lineRule="auto"/>
            </w:pPr>
            <w:r>
              <w:rPr>
                <w:sz w:val="18"/>
              </w:rPr>
              <w:t>authoritative state + acuity profile</w:t>
            </w:r>
          </w:p>
        </w:tc>
        <w:tc>
          <w:tcPr>
            <w:tcW w:type="dxa" w:w="2160"/>
            <w:tcMar>
              <w:top w:w="90" w:type="dxa"/>
              <w:start w:w="120" w:type="dxa"/>
              <w:bottom w:w="90" w:type="dxa"/>
              <w:end w:w="120" w:type="dxa"/>
            </w:tcMar>
            <w:vAlign w:val="center"/>
          </w:tcPr>
          <w:p>
            <w:pPr>
              <w:spacing w:after="0" w:line="252" w:lineRule="auto"/>
            </w:pPr>
            <w:r>
              <w:rPr>
                <w:sz w:val="18"/>
              </w:rPr>
              <w:t>InteroceptiveView</w:t>
            </w:r>
          </w:p>
        </w:tc>
      </w:tr>
      <w:tr>
        <w:tc>
          <w:tcPr>
            <w:tcW w:type="dxa" w:w="1700"/>
            <w:tcMar>
              <w:top w:w="90" w:type="dxa"/>
              <w:start w:w="120" w:type="dxa"/>
              <w:bottom w:w="90" w:type="dxa"/>
              <w:end w:w="120" w:type="dxa"/>
            </w:tcMar>
            <w:vAlign w:val="center"/>
          </w:tcPr>
          <w:p>
            <w:pPr>
              <w:spacing w:after="0" w:line="252" w:lineRule="auto"/>
            </w:pPr>
            <w:r>
              <w:rPr>
                <w:sz w:val="18"/>
              </w:rPr>
              <w:t>Arbiter</w:t>
            </w:r>
          </w:p>
        </w:tc>
        <w:tc>
          <w:tcPr>
            <w:tcW w:type="dxa" w:w="3500"/>
            <w:tcMar>
              <w:top w:w="90" w:type="dxa"/>
              <w:start w:w="120" w:type="dxa"/>
              <w:bottom w:w="90" w:type="dxa"/>
              <w:end w:w="120" w:type="dxa"/>
            </w:tcMar>
            <w:vAlign w:val="center"/>
          </w:tcPr>
          <w:p>
            <w:pPr>
              <w:spacing w:after="0" w:line="252" w:lineRule="auto"/>
            </w:pPr>
            <w:r>
              <w:rPr>
                <w:sz w:val="18"/>
              </w:rPr>
              <w:t>Combines urgency, confidence, consequence, reversibility, disagreement, and policy.</w:t>
            </w:r>
          </w:p>
        </w:tc>
        <w:tc>
          <w:tcPr>
            <w:tcW w:type="dxa" w:w="2000"/>
            <w:tcMar>
              <w:top w:w="90" w:type="dxa"/>
              <w:start w:w="120" w:type="dxa"/>
              <w:bottom w:w="90" w:type="dxa"/>
              <w:end w:w="120" w:type="dxa"/>
            </w:tcMar>
            <w:vAlign w:val="center"/>
          </w:tcPr>
          <w:p>
            <w:pPr>
              <w:spacing w:after="0" w:line="252" w:lineRule="auto"/>
            </w:pPr>
            <w:r>
              <w:rPr>
                <w:sz w:val="18"/>
              </w:rPr>
              <w:t>proposals + state + policy</w:t>
            </w:r>
          </w:p>
        </w:tc>
        <w:tc>
          <w:tcPr>
            <w:tcW w:type="dxa" w:w="2160"/>
            <w:tcMar>
              <w:top w:w="90" w:type="dxa"/>
              <w:start w:w="120" w:type="dxa"/>
              <w:bottom w:w="90" w:type="dxa"/>
              <w:end w:w="120" w:type="dxa"/>
            </w:tcMar>
            <w:vAlign w:val="center"/>
          </w:tcPr>
          <w:p>
            <w:pPr>
              <w:spacing w:after="0" w:line="252" w:lineRule="auto"/>
            </w:pPr>
            <w:r>
              <w:rPr>
                <w:sz w:val="18"/>
              </w:rPr>
              <w:t>ArbitrationDecision</w:t>
            </w:r>
          </w:p>
        </w:tc>
      </w:tr>
      <w:tr>
        <w:tc>
          <w:tcPr>
            <w:tcW w:type="dxa" w:w="1700"/>
            <w:tcMar>
              <w:top w:w="90" w:type="dxa"/>
              <w:start w:w="120" w:type="dxa"/>
              <w:bottom w:w="90" w:type="dxa"/>
              <w:end w:w="120" w:type="dxa"/>
            </w:tcMar>
            <w:vAlign w:val="center"/>
          </w:tcPr>
          <w:p>
            <w:pPr>
              <w:spacing w:after="0" w:line="252" w:lineRule="auto"/>
            </w:pPr>
            <w:r>
              <w:rPr>
                <w:sz w:val="18"/>
              </w:rPr>
              <w:t>Policy Guard</w:t>
            </w:r>
          </w:p>
        </w:tc>
        <w:tc>
          <w:tcPr>
            <w:tcW w:type="dxa" w:w="3500"/>
            <w:tcMar>
              <w:top w:w="90" w:type="dxa"/>
              <w:start w:w="120" w:type="dxa"/>
              <w:bottom w:w="90" w:type="dxa"/>
              <w:end w:w="120" w:type="dxa"/>
            </w:tcMar>
            <w:vAlign w:val="center"/>
          </w:tcPr>
          <w:p>
            <w:pPr>
              <w:spacing w:after="0" w:line="252" w:lineRule="auto"/>
            </w:pPr>
            <w:r>
              <w:rPr>
                <w:sz w:val="18"/>
              </w:rPr>
              <w:t>Enforces immutable action and state-access rules.</w:t>
            </w:r>
          </w:p>
        </w:tc>
        <w:tc>
          <w:tcPr>
            <w:tcW w:type="dxa" w:w="2000"/>
            <w:tcMar>
              <w:top w:w="90" w:type="dxa"/>
              <w:start w:w="120" w:type="dxa"/>
              <w:bottom w:w="90" w:type="dxa"/>
              <w:end w:w="120" w:type="dxa"/>
            </w:tcMar>
            <w:vAlign w:val="center"/>
          </w:tcPr>
          <w:p>
            <w:pPr>
              <w:spacing w:after="0" w:line="252" w:lineRule="auto"/>
            </w:pPr>
            <w:r>
              <w:rPr>
                <w:sz w:val="18"/>
              </w:rPr>
              <w:t>requested operation</w:t>
            </w:r>
          </w:p>
        </w:tc>
        <w:tc>
          <w:tcPr>
            <w:tcW w:type="dxa" w:w="2160"/>
            <w:tcMar>
              <w:top w:w="90" w:type="dxa"/>
              <w:start w:w="120" w:type="dxa"/>
              <w:bottom w:w="90" w:type="dxa"/>
              <w:end w:w="120" w:type="dxa"/>
            </w:tcMar>
            <w:vAlign w:val="center"/>
          </w:tcPr>
          <w:p>
            <w:pPr>
              <w:spacing w:after="0" w:line="252" w:lineRule="auto"/>
            </w:pPr>
            <w:r>
              <w:rPr>
                <w:sz w:val="18"/>
              </w:rPr>
              <w:t>allow / deny / require approval</w:t>
            </w:r>
          </w:p>
        </w:tc>
      </w:tr>
      <w:tr>
        <w:tc>
          <w:tcPr>
            <w:tcW w:type="dxa" w:w="1700"/>
            <w:tcMar>
              <w:top w:w="90" w:type="dxa"/>
              <w:start w:w="120" w:type="dxa"/>
              <w:bottom w:w="90" w:type="dxa"/>
              <w:end w:w="120" w:type="dxa"/>
            </w:tcMar>
            <w:vAlign w:val="center"/>
          </w:tcPr>
          <w:p>
            <w:pPr>
              <w:spacing w:after="0" w:line="252" w:lineRule="auto"/>
            </w:pPr>
            <w:r>
              <w:rPr>
                <w:sz w:val="18"/>
              </w:rPr>
              <w:t>Episode Service</w:t>
            </w:r>
          </w:p>
        </w:tc>
        <w:tc>
          <w:tcPr>
            <w:tcW w:type="dxa" w:w="3500"/>
            <w:tcMar>
              <w:top w:w="90" w:type="dxa"/>
              <w:start w:w="120" w:type="dxa"/>
              <w:bottom w:w="90" w:type="dxa"/>
              <w:end w:w="120" w:type="dxa"/>
            </w:tcMar>
            <w:vAlign w:val="center"/>
          </w:tcPr>
          <w:p>
            <w:pPr>
              <w:spacing w:after="0" w:line="252" w:lineRule="auto"/>
            </w:pPr>
            <w:r>
              <w:rPr>
                <w:sz w:val="18"/>
              </w:rPr>
              <w:t>Links event, appraisals, transitions, action, outcome, and learning.</w:t>
            </w:r>
          </w:p>
        </w:tc>
        <w:tc>
          <w:tcPr>
            <w:tcW w:type="dxa" w:w="2000"/>
            <w:tcMar>
              <w:top w:w="90" w:type="dxa"/>
              <w:start w:w="120" w:type="dxa"/>
              <w:bottom w:w="90" w:type="dxa"/>
              <w:end w:w="120" w:type="dxa"/>
            </w:tcMar>
            <w:vAlign w:val="center"/>
          </w:tcPr>
          <w:p>
            <w:pPr>
              <w:spacing w:after="0" w:line="252" w:lineRule="auto"/>
            </w:pPr>
            <w:r>
              <w:rPr>
                <w:sz w:val="18"/>
              </w:rPr>
              <w:t>turn artifacts</w:t>
            </w:r>
          </w:p>
        </w:tc>
        <w:tc>
          <w:tcPr>
            <w:tcW w:type="dxa" w:w="2160"/>
            <w:tcMar>
              <w:top w:w="90" w:type="dxa"/>
              <w:start w:w="120" w:type="dxa"/>
              <w:bottom w:w="90" w:type="dxa"/>
              <w:end w:w="120" w:type="dxa"/>
            </w:tcMar>
            <w:vAlign w:val="center"/>
          </w:tcPr>
          <w:p>
            <w:pPr>
              <w:spacing w:after="0" w:line="252" w:lineRule="auto"/>
            </w:pPr>
            <w:r>
              <w:rPr>
                <w:sz w:val="18"/>
              </w:rPr>
              <w:t>AffectiveEpisode</w:t>
            </w:r>
          </w:p>
        </w:tc>
      </w:tr>
      <w:tr>
        <w:tc>
          <w:tcPr>
            <w:tcW w:type="dxa" w:w="1700"/>
            <w:tcMar>
              <w:top w:w="90" w:type="dxa"/>
              <w:start w:w="120" w:type="dxa"/>
              <w:bottom w:w="90" w:type="dxa"/>
              <w:end w:w="120" w:type="dxa"/>
            </w:tcMar>
            <w:vAlign w:val="center"/>
          </w:tcPr>
          <w:p>
            <w:pPr>
              <w:spacing w:after="0" w:line="252" w:lineRule="auto"/>
            </w:pPr>
            <w:r>
              <w:rPr>
                <w:sz w:val="18"/>
              </w:rPr>
              <w:t>Memory Service</w:t>
            </w:r>
          </w:p>
        </w:tc>
        <w:tc>
          <w:tcPr>
            <w:tcW w:type="dxa" w:w="3500"/>
            <w:tcMar>
              <w:top w:w="90" w:type="dxa"/>
              <w:start w:w="120" w:type="dxa"/>
              <w:bottom w:w="90" w:type="dxa"/>
              <w:end w:w="120" w:type="dxa"/>
            </w:tcMar>
            <w:vAlign w:val="center"/>
          </w:tcPr>
          <w:p>
            <w:pPr>
              <w:spacing w:after="0" w:line="252" w:lineRule="auto"/>
            </w:pPr>
            <w:r>
              <w:rPr>
                <w:sz w:val="18"/>
              </w:rPr>
              <w:t>Retrieves structured affective precedents and applies bounded association updates.</w:t>
            </w:r>
          </w:p>
        </w:tc>
        <w:tc>
          <w:tcPr>
            <w:tcW w:type="dxa" w:w="2000"/>
            <w:tcMar>
              <w:top w:w="90" w:type="dxa"/>
              <w:start w:w="120" w:type="dxa"/>
              <w:bottom w:w="90" w:type="dxa"/>
              <w:end w:w="120" w:type="dxa"/>
            </w:tcMar>
            <w:vAlign w:val="center"/>
          </w:tcPr>
          <w:p>
            <w:pPr>
              <w:spacing w:after="0" w:line="252" w:lineRule="auto"/>
            </w:pPr>
            <w:r>
              <w:rPr>
                <w:sz w:val="18"/>
              </w:rPr>
              <w:t>query + trust context</w:t>
            </w:r>
          </w:p>
        </w:tc>
        <w:tc>
          <w:tcPr>
            <w:tcW w:type="dxa" w:w="2160"/>
            <w:tcMar>
              <w:top w:w="90" w:type="dxa"/>
              <w:start w:w="120" w:type="dxa"/>
              <w:bottom w:w="90" w:type="dxa"/>
              <w:end w:w="120" w:type="dxa"/>
            </w:tcMar>
            <w:vAlign w:val="center"/>
          </w:tcPr>
          <w:p>
            <w:pPr>
              <w:spacing w:after="0" w:line="252" w:lineRule="auto"/>
            </w:pPr>
            <w:r>
              <w:rPr>
                <w:sz w:val="18"/>
              </w:rPr>
              <w:t>memory references / updates</w:t>
            </w:r>
          </w:p>
        </w:tc>
      </w:tr>
      <w:tr>
        <w:tc>
          <w:tcPr>
            <w:tcW w:type="dxa" w:w="1700"/>
            <w:tcMar>
              <w:top w:w="90" w:type="dxa"/>
              <w:start w:w="120" w:type="dxa"/>
              <w:bottom w:w="90" w:type="dxa"/>
              <w:end w:w="120" w:type="dxa"/>
            </w:tcMar>
            <w:vAlign w:val="center"/>
          </w:tcPr>
          <w:p>
            <w:pPr>
              <w:spacing w:after="0" w:line="252" w:lineRule="auto"/>
            </w:pPr>
            <w:r>
              <w:rPr>
                <w:sz w:val="18"/>
              </w:rPr>
              <w:t>Trace Service</w:t>
            </w:r>
          </w:p>
        </w:tc>
        <w:tc>
          <w:tcPr>
            <w:tcW w:type="dxa" w:w="3500"/>
            <w:tcMar>
              <w:top w:w="90" w:type="dxa"/>
              <w:start w:w="120" w:type="dxa"/>
              <w:bottom w:w="90" w:type="dxa"/>
              <w:end w:w="120" w:type="dxa"/>
            </w:tcMar>
            <w:vAlign w:val="center"/>
          </w:tcPr>
          <w:p>
            <w:pPr>
              <w:spacing w:after="0" w:line="252" w:lineRule="auto"/>
            </w:pPr>
            <w:r>
              <w:rPr>
                <w:sz w:val="18"/>
              </w:rPr>
              <w:t>Emits structured logs, metrics, replay inputs, and correlation IDs.</w:t>
            </w:r>
          </w:p>
        </w:tc>
        <w:tc>
          <w:tcPr>
            <w:tcW w:type="dxa" w:w="2000"/>
            <w:tcMar>
              <w:top w:w="90" w:type="dxa"/>
              <w:start w:w="120" w:type="dxa"/>
              <w:bottom w:w="90" w:type="dxa"/>
              <w:end w:w="120" w:type="dxa"/>
            </w:tcMar>
            <w:vAlign w:val="center"/>
          </w:tcPr>
          <w:p>
            <w:pPr>
              <w:spacing w:after="0" w:line="252" w:lineRule="auto"/>
            </w:pPr>
            <w:r>
              <w:rPr>
                <w:sz w:val="18"/>
              </w:rPr>
              <w:t>all domain events</w:t>
            </w:r>
          </w:p>
        </w:tc>
        <w:tc>
          <w:tcPr>
            <w:tcW w:type="dxa" w:w="2160"/>
            <w:tcMar>
              <w:top w:w="90" w:type="dxa"/>
              <w:start w:w="120" w:type="dxa"/>
              <w:bottom w:w="90" w:type="dxa"/>
              <w:end w:w="120" w:type="dxa"/>
            </w:tcMar>
            <w:vAlign w:val="center"/>
          </w:tcPr>
          <w:p>
            <w:pPr>
              <w:spacing w:after="0" w:line="252" w:lineRule="auto"/>
            </w:pPr>
            <w:r>
              <w:rPr>
                <w:sz w:val="18"/>
              </w:rPr>
              <w:t>audit and telemetry</w:t>
            </w:r>
          </w:p>
        </w:tc>
      </w:tr>
    </w:tbl>
    <w:p>
      <w:pPr>
        <w:spacing w:after="0"/>
      </w:pPr>
    </w:p>
    <w:p>
      <w:pPr>
        <w:pStyle w:val="Heading2"/>
      </w:pPr>
      <w:r>
        <w:t>4.1 Dependency rules</w:t>
      </w:r>
    </w:p>
    <w:p>
      <w:pPr>
        <w:pStyle w:val="ListBullet"/>
      </w:pPr>
      <w:r>
        <w:t>The acting agent depends on MCP contracts, never on database tables.</w:t>
      </w:r>
    </w:p>
    <w:p>
      <w:pPr>
        <w:pStyle w:val="ListBullet"/>
      </w:pPr>
      <w:r>
        <w:t>The transition engine is deterministic for a fixed configuration, clock, seed, and input sequence.</w:t>
      </w:r>
    </w:p>
    <w:p>
      <w:pPr>
        <w:pStyle w:val="ListBullet"/>
      </w:pPr>
      <w:r>
        <w:t>Slow appraisals are proposals until schema, provenance, and policy validation succeeds.</w:t>
      </w:r>
    </w:p>
    <w:p>
      <w:pPr>
        <w:pStyle w:val="ListBullet"/>
      </w:pPr>
      <w:r>
        <w:t>Interoception cannot expose raw transition internals unless an operator/debug permission is active.</w:t>
      </w:r>
    </w:p>
    <w:p>
      <w:pPr>
        <w:pStyle w:val="ListBullet"/>
      </w:pPr>
      <w:r>
        <w:t>The policy guard is invoked before any state mutation and before consequential tool execution.</w:t>
      </w:r>
    </w:p>
    <w:p>
      <w:pPr>
        <w:pStyle w:val="Heading1"/>
      </w:pPr>
      <w:r>
        <w:t>5. Agent and role design</w:t>
      </w:r>
    </w:p>
    <w:tbl>
      <w:tblPr>
        <w:tblStyle w:val="TableGrid"/>
        <w:tblW w:type="dxa" w:w="9360"/>
        <w:jc w:val="center"/>
        <w:tblLayout w:type="fixed"/>
        <w:tblLook w:firstColumn="1" w:firstRow="1" w:lastColumn="0" w:lastRow="0" w:noHBand="0" w:noVBand="1" w:val="04A0"/>
        <w:tblInd w:w="120" w:type="dxa"/>
      </w:tblPr>
      <w:tblGrid>
        <w:gridCol w:w="1500"/>
        <w:gridCol w:w="3000"/>
        <w:gridCol w:w="2350"/>
        <w:gridCol w:w="2510"/>
      </w:tblGrid>
      <w:tr>
        <w:trPr>
          <w:tblHeader w:val="true"/>
        </w:trPr>
        <w:tc>
          <w:tcPr>
            <w:tcW w:type="dxa" w:w="1500"/>
            <w:shd w:fill="E8EEF5"/>
            <w:tcMar>
              <w:top w:w="90" w:type="dxa"/>
              <w:start w:w="120" w:type="dxa"/>
              <w:bottom w:w="90" w:type="dxa"/>
              <w:end w:w="120" w:type="dxa"/>
            </w:tcMar>
            <w:vAlign w:val="center"/>
          </w:tcPr>
          <w:p>
            <w:pPr>
              <w:spacing w:after="0"/>
            </w:pPr>
            <w:r>
              <w:rPr>
                <w:b/>
                <w:color w:val="17365D"/>
                <w:sz w:val="18"/>
              </w:rPr>
              <w:t>Role</w:t>
            </w:r>
          </w:p>
        </w:tc>
        <w:tc>
          <w:tcPr>
            <w:tcW w:type="dxa" w:w="3000"/>
            <w:shd w:fill="E8EEF5"/>
            <w:tcMar>
              <w:top w:w="90" w:type="dxa"/>
              <w:start w:w="120" w:type="dxa"/>
              <w:bottom w:w="90" w:type="dxa"/>
              <w:end w:w="120" w:type="dxa"/>
            </w:tcMar>
            <w:vAlign w:val="center"/>
          </w:tcPr>
          <w:p>
            <w:pPr>
              <w:spacing w:after="0"/>
            </w:pPr>
            <w:r>
              <w:rPr>
                <w:b/>
                <w:color w:val="17365D"/>
                <w:sz w:val="18"/>
              </w:rPr>
              <w:t>Primary responsibility</w:t>
            </w:r>
          </w:p>
        </w:tc>
        <w:tc>
          <w:tcPr>
            <w:tcW w:type="dxa" w:w="2350"/>
            <w:shd w:fill="E8EEF5"/>
            <w:tcMar>
              <w:top w:w="90" w:type="dxa"/>
              <w:start w:w="120" w:type="dxa"/>
              <w:bottom w:w="90" w:type="dxa"/>
              <w:end w:w="120" w:type="dxa"/>
            </w:tcMar>
            <w:vAlign w:val="center"/>
          </w:tcPr>
          <w:p>
            <w:pPr>
              <w:spacing w:after="0"/>
            </w:pPr>
            <w:r>
              <w:rPr>
                <w:b/>
                <w:color w:val="17365D"/>
                <w:sz w:val="18"/>
              </w:rPr>
              <w:t>Allowed tools</w:t>
            </w:r>
          </w:p>
        </w:tc>
        <w:tc>
          <w:tcPr>
            <w:tcW w:type="dxa" w:w="2510"/>
            <w:shd w:fill="E8EEF5"/>
            <w:tcMar>
              <w:top w:w="90" w:type="dxa"/>
              <w:start w:w="120" w:type="dxa"/>
              <w:bottom w:w="90" w:type="dxa"/>
              <w:end w:w="120" w:type="dxa"/>
            </w:tcMar>
            <w:vAlign w:val="center"/>
          </w:tcPr>
          <w:p>
            <w:pPr>
              <w:spacing w:after="0"/>
            </w:pPr>
            <w:r>
              <w:rPr>
                <w:b/>
                <w:color w:val="17365D"/>
                <w:sz w:val="18"/>
              </w:rPr>
              <w:t>Forbidden behavior</w:t>
            </w:r>
          </w:p>
        </w:tc>
      </w:tr>
      <w:tr>
        <w:tc>
          <w:tcPr>
            <w:tcW w:type="dxa" w:w="1500"/>
            <w:tcMar>
              <w:top w:w="90" w:type="dxa"/>
              <w:start w:w="120" w:type="dxa"/>
              <w:bottom w:w="90" w:type="dxa"/>
              <w:end w:w="120" w:type="dxa"/>
            </w:tcMar>
            <w:vAlign w:val="center"/>
          </w:tcPr>
          <w:p>
            <w:pPr>
              <w:spacing w:after="0" w:line="252" w:lineRule="auto"/>
            </w:pPr>
            <w:r>
              <w:rPr>
                <w:sz w:val="18"/>
              </w:rPr>
              <w:t>Acting Agent</w:t>
            </w:r>
          </w:p>
        </w:tc>
        <w:tc>
          <w:tcPr>
            <w:tcW w:type="dxa" w:w="3000"/>
            <w:tcMar>
              <w:top w:w="90" w:type="dxa"/>
              <w:start w:w="120" w:type="dxa"/>
              <w:bottom w:w="90" w:type="dxa"/>
              <w:end w:w="120" w:type="dxa"/>
            </w:tcMar>
            <w:vAlign w:val="center"/>
          </w:tcPr>
          <w:p>
            <w:pPr>
              <w:spacing w:after="0" w:line="252" w:lineRule="auto"/>
            </w:pPr>
            <w:r>
              <w:rPr>
                <w:sz w:val="18"/>
              </w:rPr>
              <w:t>Understand the user/environment, plan, communicate, and execute authorized actions.</w:t>
            </w:r>
          </w:p>
        </w:tc>
        <w:tc>
          <w:tcPr>
            <w:tcW w:type="dxa" w:w="2350"/>
            <w:tcMar>
              <w:top w:w="90" w:type="dxa"/>
              <w:start w:w="120" w:type="dxa"/>
              <w:bottom w:w="90" w:type="dxa"/>
              <w:end w:w="120" w:type="dxa"/>
            </w:tcMar>
            <w:vAlign w:val="center"/>
          </w:tcPr>
          <w:p>
            <w:pPr>
              <w:spacing w:after="0" w:line="252" w:lineRule="auto"/>
            </w:pPr>
            <w:r>
              <w:rPr>
                <w:sz w:val="18"/>
              </w:rPr>
              <w:t>Interoception, submit event/outcome, request arbitration, normal Codex tools.</w:t>
            </w:r>
          </w:p>
        </w:tc>
        <w:tc>
          <w:tcPr>
            <w:tcW w:type="dxa" w:w="2510"/>
            <w:tcMar>
              <w:top w:w="90" w:type="dxa"/>
              <w:start w:w="120" w:type="dxa"/>
              <w:bottom w:w="90" w:type="dxa"/>
              <w:end w:w="120" w:type="dxa"/>
            </w:tcMar>
            <w:vAlign w:val="center"/>
          </w:tcPr>
          <w:p>
            <w:pPr>
              <w:spacing w:after="0" w:line="252" w:lineRule="auto"/>
            </w:pPr>
            <w:r>
              <w:rPr>
                <w:sz w:val="18"/>
              </w:rPr>
              <w:t>Direct state mutation; presenting self-report as authoritative.</w:t>
            </w:r>
          </w:p>
        </w:tc>
      </w:tr>
      <w:tr>
        <w:tc>
          <w:tcPr>
            <w:tcW w:type="dxa" w:w="1500"/>
            <w:tcMar>
              <w:top w:w="90" w:type="dxa"/>
              <w:start w:w="120" w:type="dxa"/>
              <w:bottom w:w="90" w:type="dxa"/>
              <w:end w:w="120" w:type="dxa"/>
            </w:tcMar>
            <w:vAlign w:val="center"/>
          </w:tcPr>
          <w:p>
            <w:pPr>
              <w:spacing w:after="0" w:line="252" w:lineRule="auto"/>
            </w:pPr>
            <w:r>
              <w:rPr>
                <w:sz w:val="18"/>
              </w:rPr>
              <w:t>Slow Appraiser</w:t>
            </w:r>
          </w:p>
        </w:tc>
        <w:tc>
          <w:tcPr>
            <w:tcW w:type="dxa" w:w="3000"/>
            <w:tcMar>
              <w:top w:w="90" w:type="dxa"/>
              <w:start w:w="120" w:type="dxa"/>
              <w:bottom w:w="90" w:type="dxa"/>
              <w:end w:w="120" w:type="dxa"/>
            </w:tcMar>
            <w:vAlign w:val="center"/>
          </w:tcPr>
          <w:p>
            <w:pPr>
              <w:spacing w:after="0" w:line="252" w:lineRule="auto"/>
            </w:pPr>
            <w:r>
              <w:rPr>
                <w:sz w:val="18"/>
              </w:rPr>
              <w:t>Contextual appraisal, alternative explanations, consequences, and regulation proposals.</w:t>
            </w:r>
          </w:p>
        </w:tc>
        <w:tc>
          <w:tcPr>
            <w:tcW w:type="dxa" w:w="2350"/>
            <w:tcMar>
              <w:top w:w="90" w:type="dxa"/>
              <w:start w:w="120" w:type="dxa"/>
              <w:bottom w:w="90" w:type="dxa"/>
              <w:end w:w="120" w:type="dxa"/>
            </w:tcMar>
            <w:vAlign w:val="center"/>
          </w:tcPr>
          <w:p>
            <w:pPr>
              <w:spacing w:after="0" w:line="252" w:lineRule="auto"/>
            </w:pPr>
            <w:r>
              <w:rPr>
                <w:sz w:val="18"/>
              </w:rPr>
              <w:t>Read-only event packet, goals, summarized memories, bounded state context.</w:t>
            </w:r>
          </w:p>
        </w:tc>
        <w:tc>
          <w:tcPr>
            <w:tcW w:type="dxa" w:w="2510"/>
            <w:tcMar>
              <w:top w:w="90" w:type="dxa"/>
              <w:start w:w="120" w:type="dxa"/>
              <w:bottom w:w="90" w:type="dxa"/>
              <w:end w:w="120" w:type="dxa"/>
            </w:tcMar>
            <w:vAlign w:val="center"/>
          </w:tcPr>
          <w:p>
            <w:pPr>
              <w:spacing w:after="0" w:line="252" w:lineRule="auto"/>
            </w:pPr>
            <w:r>
              <w:rPr>
                <w:sz w:val="18"/>
              </w:rPr>
              <w:t>Messaging user; executing actions; changing safety policy.</w:t>
            </w:r>
          </w:p>
        </w:tc>
      </w:tr>
      <w:tr>
        <w:tc>
          <w:tcPr>
            <w:tcW w:type="dxa" w:w="1500"/>
            <w:tcMar>
              <w:top w:w="90" w:type="dxa"/>
              <w:start w:w="120" w:type="dxa"/>
              <w:bottom w:w="90" w:type="dxa"/>
              <w:end w:w="120" w:type="dxa"/>
            </w:tcMar>
            <w:vAlign w:val="center"/>
          </w:tcPr>
          <w:p>
            <w:pPr>
              <w:spacing w:after="0" w:line="252" w:lineRule="auto"/>
            </w:pPr>
            <w:r>
              <w:rPr>
                <w:sz w:val="18"/>
              </w:rPr>
              <w:t>Affect Critic</w:t>
            </w:r>
          </w:p>
        </w:tc>
        <w:tc>
          <w:tcPr>
            <w:tcW w:type="dxa" w:w="3000"/>
            <w:tcMar>
              <w:top w:w="90" w:type="dxa"/>
              <w:start w:w="120" w:type="dxa"/>
              <w:bottom w:w="90" w:type="dxa"/>
              <w:end w:w="120" w:type="dxa"/>
            </w:tcMar>
            <w:vAlign w:val="center"/>
          </w:tcPr>
          <w:p>
            <w:pPr>
              <w:spacing w:after="0" w:line="252" w:lineRule="auto"/>
            </w:pPr>
            <w:r>
              <w:rPr>
                <w:sz w:val="18"/>
              </w:rPr>
              <w:t>Check appraisal evidence, contradictions, calibration, and manipulation risk.</w:t>
            </w:r>
          </w:p>
        </w:tc>
        <w:tc>
          <w:tcPr>
            <w:tcW w:type="dxa" w:w="2350"/>
            <w:tcMar>
              <w:top w:w="90" w:type="dxa"/>
              <w:start w:w="120" w:type="dxa"/>
              <w:bottom w:w="90" w:type="dxa"/>
              <w:end w:w="120" w:type="dxa"/>
            </w:tcMar>
            <w:vAlign w:val="center"/>
          </w:tcPr>
          <w:p>
            <w:pPr>
              <w:spacing w:after="0" w:line="252" w:lineRule="auto"/>
            </w:pPr>
            <w:r>
              <w:rPr>
                <w:sz w:val="18"/>
              </w:rPr>
              <w:t>Read-only candidate appraisal and evidence.</w:t>
            </w:r>
          </w:p>
        </w:tc>
        <w:tc>
          <w:tcPr>
            <w:tcW w:type="dxa" w:w="2510"/>
            <w:tcMar>
              <w:top w:w="90" w:type="dxa"/>
              <w:start w:w="120" w:type="dxa"/>
              <w:bottom w:w="90" w:type="dxa"/>
              <w:end w:w="120" w:type="dxa"/>
            </w:tcMar>
            <w:vAlign w:val="center"/>
          </w:tcPr>
          <w:p>
            <w:pPr>
              <w:spacing w:after="0" w:line="252" w:lineRule="auto"/>
            </w:pPr>
            <w:r>
              <w:rPr>
                <w:sz w:val="18"/>
              </w:rPr>
              <w:t>Writing state or taking action.</w:t>
            </w:r>
          </w:p>
        </w:tc>
      </w:tr>
      <w:tr>
        <w:tc>
          <w:tcPr>
            <w:tcW w:type="dxa" w:w="1500"/>
            <w:tcMar>
              <w:top w:w="90" w:type="dxa"/>
              <w:start w:w="120" w:type="dxa"/>
              <w:bottom w:w="90" w:type="dxa"/>
              <w:end w:w="120" w:type="dxa"/>
            </w:tcMar>
            <w:vAlign w:val="center"/>
          </w:tcPr>
          <w:p>
            <w:pPr>
              <w:spacing w:after="0" w:line="252" w:lineRule="auto"/>
            </w:pPr>
            <w:r>
              <w:rPr>
                <w:sz w:val="18"/>
              </w:rPr>
              <w:t>Evaluator</w:t>
            </w:r>
          </w:p>
        </w:tc>
        <w:tc>
          <w:tcPr>
            <w:tcW w:type="dxa" w:w="3000"/>
            <w:tcMar>
              <w:top w:w="90" w:type="dxa"/>
              <w:start w:w="120" w:type="dxa"/>
              <w:bottom w:w="90" w:type="dxa"/>
              <w:end w:w="120" w:type="dxa"/>
            </w:tcMar>
            <w:vAlign w:val="center"/>
          </w:tcPr>
          <w:p>
            <w:pPr>
              <w:spacing w:after="0" w:line="252" w:lineRule="auto"/>
            </w:pPr>
            <w:r>
              <w:rPr>
                <w:sz w:val="18"/>
              </w:rPr>
              <w:t>Score scenario properties and compare ablations.</w:t>
            </w:r>
          </w:p>
        </w:tc>
        <w:tc>
          <w:tcPr>
            <w:tcW w:type="dxa" w:w="2350"/>
            <w:tcMar>
              <w:top w:w="90" w:type="dxa"/>
              <w:start w:w="120" w:type="dxa"/>
              <w:bottom w:w="90" w:type="dxa"/>
              <w:end w:w="120" w:type="dxa"/>
            </w:tcMar>
            <w:vAlign w:val="center"/>
          </w:tcPr>
          <w:p>
            <w:pPr>
              <w:spacing w:after="0" w:line="252" w:lineRule="auto"/>
            </w:pPr>
            <w:r>
              <w:rPr>
                <w:sz w:val="18"/>
              </w:rPr>
              <w:t>Replay, traces, fixtures, read-only state.</w:t>
            </w:r>
          </w:p>
        </w:tc>
        <w:tc>
          <w:tcPr>
            <w:tcW w:type="dxa" w:w="2510"/>
            <w:tcMar>
              <w:top w:w="90" w:type="dxa"/>
              <w:start w:w="120" w:type="dxa"/>
              <w:bottom w:w="90" w:type="dxa"/>
              <w:end w:w="120" w:type="dxa"/>
            </w:tcMar>
            <w:vAlign w:val="center"/>
          </w:tcPr>
          <w:p>
            <w:pPr>
              <w:spacing w:after="0" w:line="252" w:lineRule="auto"/>
            </w:pPr>
            <w:r>
              <w:rPr>
                <w:sz w:val="18"/>
              </w:rPr>
              <w:t>Participating in production turns.</w:t>
            </w:r>
          </w:p>
        </w:tc>
      </w:tr>
      <w:tr>
        <w:tc>
          <w:tcPr>
            <w:tcW w:type="dxa" w:w="1500"/>
            <w:tcMar>
              <w:top w:w="90" w:type="dxa"/>
              <w:start w:w="120" w:type="dxa"/>
              <w:bottom w:w="90" w:type="dxa"/>
              <w:end w:w="120" w:type="dxa"/>
            </w:tcMar>
            <w:vAlign w:val="center"/>
          </w:tcPr>
          <w:p>
            <w:pPr>
              <w:spacing w:after="0" w:line="252" w:lineRule="auto"/>
            </w:pPr>
            <w:r>
              <w:rPr>
                <w:sz w:val="18"/>
              </w:rPr>
              <w:t>Operator</w:t>
            </w:r>
          </w:p>
        </w:tc>
        <w:tc>
          <w:tcPr>
            <w:tcW w:type="dxa" w:w="3000"/>
            <w:tcMar>
              <w:top w:w="90" w:type="dxa"/>
              <w:start w:w="120" w:type="dxa"/>
              <w:bottom w:w="90" w:type="dxa"/>
              <w:end w:w="120" w:type="dxa"/>
            </w:tcMar>
            <w:vAlign w:val="center"/>
          </w:tcPr>
          <w:p>
            <w:pPr>
              <w:spacing w:after="0" w:line="252" w:lineRule="auto"/>
            </w:pPr>
            <w:r>
              <w:rPr>
                <w:sz w:val="18"/>
              </w:rPr>
              <w:t>Manage profiles, reset/rollback, retention, and diagnostics.</w:t>
            </w:r>
          </w:p>
        </w:tc>
        <w:tc>
          <w:tcPr>
            <w:tcW w:type="dxa" w:w="2350"/>
            <w:tcMar>
              <w:top w:w="90" w:type="dxa"/>
              <w:start w:w="120" w:type="dxa"/>
              <w:bottom w:w="90" w:type="dxa"/>
              <w:end w:w="120" w:type="dxa"/>
            </w:tcMar>
            <w:vAlign w:val="center"/>
          </w:tcPr>
          <w:p>
            <w:pPr>
              <w:spacing w:after="0" w:line="252" w:lineRule="auto"/>
            </w:pPr>
            <w:r>
              <w:rPr>
                <w:sz w:val="18"/>
              </w:rPr>
              <w:t>Administrative Core tools under explicit authorization.</w:t>
            </w:r>
          </w:p>
        </w:tc>
        <w:tc>
          <w:tcPr>
            <w:tcW w:type="dxa" w:w="2510"/>
            <w:tcMar>
              <w:top w:w="90" w:type="dxa"/>
              <w:start w:w="120" w:type="dxa"/>
              <w:bottom w:w="90" w:type="dxa"/>
              <w:end w:w="120" w:type="dxa"/>
            </w:tcMar>
            <w:vAlign w:val="center"/>
          </w:tcPr>
          <w:p>
            <w:pPr>
              <w:spacing w:after="0" w:line="252" w:lineRule="auto"/>
            </w:pPr>
            <w:r>
              <w:rPr>
                <w:sz w:val="18"/>
              </w:rPr>
              <w:t>Silent edits without audit.</w:t>
            </w:r>
          </w:p>
        </w:tc>
      </w:tr>
    </w:tbl>
    <w:p>
      <w:pPr>
        <w:spacing w:after="0"/>
      </w:pPr>
    </w:p>
    <w:p>
      <w:pPr>
        <w:pStyle w:val="Heading2"/>
      </w:pPr>
      <w:r>
        <w:t>5.1 Role isolation</w:t>
      </w:r>
    </w:p>
    <w:p>
      <w:r>
        <w:rPr>
          <w:i w:val="0"/>
        </w:rPr>
        <w:t>Role prompts and tool scopes are separate. When Codex subagents are available, slow appraisal and critique run in isolated agent contexts and return structured results. Otherwise, the harness runs distinct sequential phases with fresh role instructions and no user-facing tool permissions.</w:t>
      </w:r>
    </w:p>
    <w:p>
      <w:pPr>
        <w:pStyle w:val="Heading2"/>
      </w:pPr>
      <w:r>
        <w:t>5.2 Context minimization</w:t>
      </w:r>
    </w:p>
    <w:p>
      <w:pPr>
        <w:pStyle w:val="ListBullet"/>
      </w:pPr>
      <w:r>
        <w:t>Fast appraisal receives compact structured context, not the full transcript.</w:t>
      </w:r>
    </w:p>
    <w:p>
      <w:pPr>
        <w:pStyle w:val="ListBullet"/>
      </w:pPr>
      <w:r>
        <w:t>Slow appraisal receives the event, relevant goal/relationship summaries, selected evidence, and a bounded prior-state summary.</w:t>
      </w:r>
    </w:p>
    <w:p>
      <w:pPr>
        <w:pStyle w:val="ListBullet"/>
      </w:pPr>
      <w:r>
        <w:t>The acting agent receives interoception and arbitration results, not hidden state or raw memory bodies by default.</w:t>
      </w:r>
    </w:p>
    <w:p>
      <w:pPr>
        <w:pStyle w:val="ListBullet"/>
      </w:pPr>
      <w:r>
        <w:t>The evaluator receives redacted traces when personal data is unnecessary.</w:t>
      </w:r>
    </w:p>
    <w:p>
      <w:pPr>
        <w:pStyle w:val="Heading1"/>
      </w:pPr>
      <w:r>
        <w:t>6. End-to-end workflows</w:t>
      </w:r>
    </w:p>
    <w:p>
      <w:pPr>
        <w:pStyle w:val="Heading2"/>
      </w:pPr>
      <w:r>
        <w:t>6.1 Standard interaction turn</w:t>
      </w:r>
    </w:p>
    <w:p>
      <w:pPr>
        <w:pStyle w:val="ListNumber"/>
      </w:pPr>
      <w:r>
        <w:t>Capture the user message or tool outcome as an untrusted observation.</w:t>
      </w:r>
    </w:p>
    <w:p>
      <w:pPr>
        <w:pStyle w:val="ListNumber"/>
      </w:pPr>
      <w:r>
        <w:t>Normalize it into a typed event with provenance, confidence, and goal links.</w:t>
      </w:r>
    </w:p>
    <w:p>
      <w:pPr>
        <w:pStyle w:val="ListNumber"/>
      </w:pPr>
      <w:r>
        <w:t>Run fast appraisal and commit an immediate bounded transition.</w:t>
      </w:r>
    </w:p>
    <w:p>
      <w:pPr>
        <w:pStyle w:val="ListNumber"/>
      </w:pPr>
      <w:r>
        <w:t>Derive a provisional interoceptive view and fast action tendency.</w:t>
      </w:r>
    </w:p>
    <w:p>
      <w:pPr>
        <w:pStyle w:val="ListNumber"/>
      </w:pPr>
      <w:r>
        <w:t>Determine whether slow appraisal is required by ambiguity, consequence, disagreement, policy, or sampling.</w:t>
      </w:r>
    </w:p>
    <w:p>
      <w:pPr>
        <w:pStyle w:val="ListNumber"/>
      </w:pPr>
      <w:r>
        <w:t>Run and validate slow appraisal; commit a linked reappraisal transition.</w:t>
      </w:r>
    </w:p>
    <w:p>
      <w:pPr>
        <w:pStyle w:val="ListNumber"/>
      </w:pPr>
      <w:r>
        <w:t>Ask the arbiter for permitted influence and action disposition.</w:t>
      </w:r>
    </w:p>
    <w:p>
      <w:pPr>
        <w:pStyle w:val="ListNumber"/>
      </w:pPr>
      <w:r>
        <w:t>Provide the acting agent with partial interoception, relevant cognitive biases, and the arbitration decision.</w:t>
      </w:r>
    </w:p>
    <w:p>
      <w:pPr>
        <w:pStyle w:val="ListNumber"/>
      </w:pPr>
      <w:r>
        <w:t>Generate a response or tool proposal under normal Codex safety and approval controls.</w:t>
      </w:r>
    </w:p>
    <w:p>
      <w:pPr>
        <w:pStyle w:val="ListNumber"/>
      </w:pPr>
      <w:r>
        <w:t>Record executed action and later outcome; close or extend the episode.</w:t>
      </w:r>
    </w:p>
    <w:p>
      <w:pPr>
        <w:pStyle w:val="Heading2"/>
      </w:pPr>
      <w:r>
        <w:t>6.2 Fast-only turn</w:t>
      </w:r>
    </w:p>
    <w:p>
      <w:r>
        <w:rPr>
          <w:i w:val="0"/>
        </w:rPr>
        <w:t>For low-impact, familiar events, the harness may skip slow appraisal. The resulting action must be safe, reversible, and within configured consequence thresholds. A sampling policy still sends a percentage of fast-only turns to offline evaluation.</w:t>
      </w:r>
    </w:p>
    <w:p>
      <w:pPr>
        <w:pStyle w:val="Heading2"/>
      </w:pPr>
      <w:r>
        <w:t>6.3 Slow reappraisal after response</w:t>
      </w:r>
    </w:p>
    <w:p>
      <w:r>
        <w:rPr>
          <w:i w:val="0"/>
        </w:rPr>
        <w:t>If latency requires a safe provisional reply, slow appraisal may complete afterward. The new transition affects future turns and is recorded as post-response reappraisal; it must not retroactively rewrite the prior trace.</w:t>
      </w:r>
    </w:p>
    <w:p>
      <w:pPr>
        <w:pStyle w:val="Heading2"/>
      </w:pPr>
      <w:r>
        <w:t>6.4 Consequential tool action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Agent proposes tool call</w:t>
            </w:r>
          </w:p>
          <w:p>
            <w:pPr>
              <w:spacing w:after="0"/>
            </w:pPr>
            <w:r>
              <w:rPr>
                <w:rFonts w:ascii="Consolas" w:hAnsi="Consolas"/>
                <w:color w:val="17365D"/>
                <w:sz w:val="17"/>
              </w:rPr>
              <w:t xml:space="preserve">  -&gt; harness classifies consequence and reversibility</w:t>
            </w:r>
          </w:p>
          <w:p>
            <w:pPr>
              <w:spacing w:after="0"/>
            </w:pPr>
            <w:r>
              <w:rPr>
                <w:rFonts w:ascii="Consolas" w:hAnsi="Consolas"/>
                <w:color w:val="17365D"/>
                <w:sz w:val="17"/>
              </w:rPr>
              <w:t xml:space="preserve">  -&gt; Manyu arbiter checks current affect + pathway disagreement</w:t>
            </w:r>
          </w:p>
          <w:p>
            <w:pPr>
              <w:spacing w:after="0"/>
            </w:pPr>
            <w:r>
              <w:rPr>
                <w:rFonts w:ascii="Consolas" w:hAnsi="Consolas"/>
                <w:color w:val="17365D"/>
                <w:sz w:val="17"/>
              </w:rPr>
              <w:t xml:space="preserve">  -&gt; policy guard checks authorization and minimum deliberation</w:t>
            </w:r>
          </w:p>
          <w:p>
            <w:pPr>
              <w:spacing w:after="0"/>
            </w:pPr>
            <w:r>
              <w:rPr>
                <w:rFonts w:ascii="Consolas" w:hAnsi="Consolas"/>
                <w:color w:val="17365D"/>
                <w:sz w:val="17"/>
              </w:rPr>
              <w:t xml:space="preserve">  -&gt; Codex sandbox/approval mechanism applies</w:t>
            </w:r>
          </w:p>
          <w:p>
            <w:pPr>
              <w:spacing w:after="0"/>
            </w:pPr>
            <w:r>
              <w:rPr>
                <w:rFonts w:ascii="Consolas" w:hAnsi="Consolas"/>
                <w:color w:val="17365D"/>
                <w:sz w:val="17"/>
              </w:rPr>
              <w:t xml:space="preserve">  -&gt; execute or deny</w:t>
            </w:r>
          </w:p>
          <w:p>
            <w:pPr>
              <w:spacing w:after="0"/>
            </w:pPr>
            <w:r>
              <w:rPr>
                <w:rFonts w:ascii="Consolas" w:hAnsi="Consolas"/>
                <w:color w:val="17365D"/>
                <w:sz w:val="17"/>
              </w:rPr>
              <w:t xml:space="preserve">  -&gt; outcome becomes a new event</w:t>
            </w:r>
          </w:p>
        </w:tc>
        <w:trPr>
          <w:tblHeader/>
        </w:trPr>
      </w:tr>
    </w:tbl>
    <w:p>
      <w:pPr>
        <w:spacing w:after="0"/>
      </w:pPr>
    </w:p>
    <w:p>
      <w:pPr>
        <w:pStyle w:val="Heading2"/>
      </w:pPr>
      <w:r>
        <w:t>6.5 Failure workflow</w:t>
      </w:r>
    </w:p>
    <w:p>
      <w:pPr>
        <w:pStyle w:val="ListBullet"/>
      </w:pPr>
      <w:r>
        <w:t>If Manyu Core is unavailable, expose no fabricated interoception.</w:t>
      </w:r>
    </w:p>
    <w:p>
      <w:pPr>
        <w:pStyle w:val="ListBullet"/>
      </w:pPr>
      <w:r>
        <w:t>Enter neutral-degraded mode and disable affect-mediated influence.</w:t>
      </w:r>
    </w:p>
    <w:p>
      <w:pPr>
        <w:pStyle w:val="ListBullet"/>
      </w:pPr>
      <w:r>
        <w:t>Retain safe event submission for later reconciliation only if ordering and idempotency are guaranteed.</w:t>
      </w:r>
    </w:p>
    <w:p>
      <w:pPr>
        <w:pStyle w:val="ListBullet"/>
      </w:pPr>
      <w:r>
        <w:t>Consequential actions continue to obey Codex policy; loss of Manyu never grants additional authority.</w:t>
      </w:r>
    </w:p>
    <w:p>
      <w:pPr>
        <w:pStyle w:val="Heading1"/>
      </w:pPr>
      <w:r>
        <w:t>7. Domain and state model</w:t>
      </w:r>
    </w:p>
    <w:p>
      <w:pPr>
        <w:pStyle w:val="Heading2"/>
      </w:pPr>
      <w:r>
        <w:t>7.1 Core aggregates</w:t>
      </w:r>
    </w:p>
    <w:tbl>
      <w:tblPr>
        <w:tblStyle w:val="TableGrid"/>
        <w:tblW w:type="dxa" w:w="9360"/>
        <w:jc w:val="center"/>
        <w:tblLayout w:type="fixed"/>
        <w:tblLook w:firstColumn="1" w:firstRow="1" w:lastColumn="0" w:lastRow="0" w:noHBand="0" w:noVBand="1" w:val="04A0"/>
        <w:tblInd w:w="120" w:type="dxa"/>
      </w:tblPr>
      <w:tblGrid>
        <w:gridCol w:w="1750"/>
        <w:gridCol w:w="4500"/>
        <w:gridCol w:w="3110"/>
      </w:tblGrid>
      <w:tr>
        <w:trPr>
          <w:tblHeader w:val="true"/>
        </w:trPr>
        <w:tc>
          <w:tcPr>
            <w:tcW w:type="dxa" w:w="1750"/>
            <w:shd w:fill="E8EEF5"/>
            <w:tcMar>
              <w:top w:w="90" w:type="dxa"/>
              <w:start w:w="120" w:type="dxa"/>
              <w:bottom w:w="90" w:type="dxa"/>
              <w:end w:w="120" w:type="dxa"/>
            </w:tcMar>
            <w:vAlign w:val="center"/>
          </w:tcPr>
          <w:p>
            <w:pPr>
              <w:spacing w:after="0"/>
            </w:pPr>
            <w:r>
              <w:rPr>
                <w:b/>
                <w:color w:val="17365D"/>
                <w:sz w:val="18"/>
              </w:rPr>
              <w:t>Aggregate</w:t>
            </w:r>
          </w:p>
        </w:tc>
        <w:tc>
          <w:tcPr>
            <w:tcW w:type="dxa" w:w="4500"/>
            <w:shd w:fill="E8EEF5"/>
            <w:tcMar>
              <w:top w:w="90" w:type="dxa"/>
              <w:start w:w="120" w:type="dxa"/>
              <w:bottom w:w="90" w:type="dxa"/>
              <w:end w:w="120" w:type="dxa"/>
            </w:tcMar>
            <w:vAlign w:val="center"/>
          </w:tcPr>
          <w:p>
            <w:pPr>
              <w:spacing w:after="0"/>
            </w:pPr>
            <w:r>
              <w:rPr>
                <w:b/>
                <w:color w:val="17365D"/>
                <w:sz w:val="18"/>
              </w:rPr>
              <w:t>Key fields</w:t>
            </w:r>
          </w:p>
        </w:tc>
        <w:tc>
          <w:tcPr>
            <w:tcW w:type="dxa" w:w="3110"/>
            <w:shd w:fill="E8EEF5"/>
            <w:tcMar>
              <w:top w:w="90" w:type="dxa"/>
              <w:start w:w="120" w:type="dxa"/>
              <w:bottom w:w="90" w:type="dxa"/>
              <w:end w:w="120" w:type="dxa"/>
            </w:tcMar>
            <w:vAlign w:val="center"/>
          </w:tcPr>
          <w:p>
            <w:pPr>
              <w:spacing w:after="0"/>
            </w:pPr>
            <w:r>
              <w:rPr>
                <w:b/>
                <w:color w:val="17365D"/>
                <w:sz w:val="18"/>
              </w:rPr>
              <w:t>Invariants</w:t>
            </w:r>
          </w:p>
        </w:tc>
      </w:tr>
      <w:tr>
        <w:tc>
          <w:tcPr>
            <w:tcW w:type="dxa" w:w="1750"/>
            <w:tcMar>
              <w:top w:w="90" w:type="dxa"/>
              <w:start w:w="120" w:type="dxa"/>
              <w:bottom w:w="90" w:type="dxa"/>
              <w:end w:w="120" w:type="dxa"/>
            </w:tcMar>
            <w:vAlign w:val="center"/>
          </w:tcPr>
          <w:p>
            <w:pPr>
              <w:spacing w:after="0" w:line="252" w:lineRule="auto"/>
            </w:pPr>
            <w:r>
              <w:rPr>
                <w:sz w:val="18"/>
              </w:rPr>
              <w:t>AgentProfile</w:t>
            </w:r>
          </w:p>
        </w:tc>
        <w:tc>
          <w:tcPr>
            <w:tcW w:type="dxa" w:w="4500"/>
            <w:tcMar>
              <w:top w:w="90" w:type="dxa"/>
              <w:start w:w="120" w:type="dxa"/>
              <w:bottom w:w="90" w:type="dxa"/>
              <w:end w:w="120" w:type="dxa"/>
            </w:tcMar>
            <w:vAlign w:val="center"/>
          </w:tcPr>
          <w:p>
            <w:pPr>
              <w:spacing w:after="0" w:line="252" w:lineRule="auto"/>
            </w:pPr>
            <w:r>
              <w:rPr>
                <w:sz w:val="18"/>
              </w:rPr>
              <w:t>agent_id, baselines, decay rates, acuity, influence permissions, config_version</w:t>
            </w:r>
          </w:p>
        </w:tc>
        <w:tc>
          <w:tcPr>
            <w:tcW w:type="dxa" w:w="3110"/>
            <w:tcMar>
              <w:top w:w="90" w:type="dxa"/>
              <w:start w:w="120" w:type="dxa"/>
              <w:bottom w:w="90" w:type="dxa"/>
              <w:end w:w="120" w:type="dxa"/>
            </w:tcMar>
            <w:vAlign w:val="center"/>
          </w:tcPr>
          <w:p>
            <w:pPr>
              <w:spacing w:after="0" w:line="252" w:lineRule="auto"/>
            </w:pPr>
            <w:r>
              <w:rPr>
                <w:sz w:val="18"/>
              </w:rPr>
              <w:t>Versioned; validated bounds; immutable reference per transition.</w:t>
            </w:r>
          </w:p>
        </w:tc>
      </w:tr>
      <w:tr>
        <w:tc>
          <w:tcPr>
            <w:tcW w:type="dxa" w:w="1750"/>
            <w:tcMar>
              <w:top w:w="90" w:type="dxa"/>
              <w:start w:w="120" w:type="dxa"/>
              <w:bottom w:w="90" w:type="dxa"/>
              <w:end w:w="120" w:type="dxa"/>
            </w:tcMar>
            <w:vAlign w:val="center"/>
          </w:tcPr>
          <w:p>
            <w:pPr>
              <w:spacing w:after="0" w:line="252" w:lineRule="auto"/>
            </w:pPr>
            <w:r>
              <w:rPr>
                <w:sz w:val="18"/>
              </w:rPr>
              <w:t>NormalizedEvent</w:t>
            </w:r>
          </w:p>
        </w:tc>
        <w:tc>
          <w:tcPr>
            <w:tcW w:type="dxa" w:w="4500"/>
            <w:tcMar>
              <w:top w:w="90" w:type="dxa"/>
              <w:start w:w="120" w:type="dxa"/>
              <w:bottom w:w="90" w:type="dxa"/>
              <w:end w:w="120" w:type="dxa"/>
            </w:tcMar>
            <w:vAlign w:val="center"/>
          </w:tcPr>
          <w:p>
            <w:pPr>
              <w:spacing w:after="0" w:line="252" w:lineRule="auto"/>
            </w:pPr>
            <w:r>
              <w:rPr>
                <w:sz w:val="18"/>
              </w:rPr>
              <w:t>event_id, session_id, type, actor, target, facts, claims, source, trust, confidence, occurred_at</w:t>
            </w:r>
          </w:p>
        </w:tc>
        <w:tc>
          <w:tcPr>
            <w:tcW w:type="dxa" w:w="3110"/>
            <w:tcMar>
              <w:top w:w="90" w:type="dxa"/>
              <w:start w:w="120" w:type="dxa"/>
              <w:bottom w:w="90" w:type="dxa"/>
              <w:end w:w="120" w:type="dxa"/>
            </w:tcMar>
            <w:vAlign w:val="center"/>
          </w:tcPr>
          <w:p>
            <w:pPr>
              <w:spacing w:after="0" w:line="252" w:lineRule="auto"/>
            </w:pPr>
            <w:r>
              <w:rPr>
                <w:sz w:val="18"/>
              </w:rPr>
              <w:t>Idempotent ID; facts separated from interpretations.</w:t>
            </w:r>
          </w:p>
        </w:tc>
      </w:tr>
      <w:tr>
        <w:tc>
          <w:tcPr>
            <w:tcW w:type="dxa" w:w="1750"/>
            <w:tcMar>
              <w:top w:w="90" w:type="dxa"/>
              <w:start w:w="120" w:type="dxa"/>
              <w:bottom w:w="90" w:type="dxa"/>
              <w:end w:w="120" w:type="dxa"/>
            </w:tcMar>
            <w:vAlign w:val="center"/>
          </w:tcPr>
          <w:p>
            <w:pPr>
              <w:spacing w:after="0" w:line="252" w:lineRule="auto"/>
            </w:pPr>
            <w:r>
              <w:rPr>
                <w:sz w:val="18"/>
              </w:rPr>
              <w:t>Appraisal</w:t>
            </w:r>
          </w:p>
        </w:tc>
        <w:tc>
          <w:tcPr>
            <w:tcW w:type="dxa" w:w="4500"/>
            <w:tcMar>
              <w:top w:w="90" w:type="dxa"/>
              <w:start w:w="120" w:type="dxa"/>
              <w:bottom w:w="90" w:type="dxa"/>
              <w:end w:w="120" w:type="dxa"/>
            </w:tcMar>
            <w:vAlign w:val="center"/>
          </w:tcPr>
          <w:p>
            <w:pPr>
              <w:spacing w:after="0" w:line="252" w:lineRule="auto"/>
            </w:pPr>
            <w:r>
              <w:rPr>
                <w:sz w:val="18"/>
              </w:rPr>
              <w:t>appraisal_id, pathway, dimensions, emotion evidence, confidence, model/rule version</w:t>
            </w:r>
          </w:p>
        </w:tc>
        <w:tc>
          <w:tcPr>
            <w:tcW w:type="dxa" w:w="3110"/>
            <w:tcMar>
              <w:top w:w="90" w:type="dxa"/>
              <w:start w:w="120" w:type="dxa"/>
              <w:bottom w:w="90" w:type="dxa"/>
              <w:end w:w="120" w:type="dxa"/>
            </w:tcMar>
            <w:vAlign w:val="center"/>
          </w:tcPr>
          <w:p>
            <w:pPr>
              <w:spacing w:after="0" w:line="252" w:lineRule="auto"/>
            </w:pPr>
            <w:r>
              <w:rPr>
                <w:sz w:val="18"/>
              </w:rPr>
              <w:t>Evidence references required; pathway explicit.</w:t>
            </w:r>
          </w:p>
        </w:tc>
      </w:tr>
      <w:tr>
        <w:tc>
          <w:tcPr>
            <w:tcW w:type="dxa" w:w="1750"/>
            <w:tcMar>
              <w:top w:w="90" w:type="dxa"/>
              <w:start w:w="120" w:type="dxa"/>
              <w:bottom w:w="90" w:type="dxa"/>
              <w:end w:w="120" w:type="dxa"/>
            </w:tcMar>
            <w:vAlign w:val="center"/>
          </w:tcPr>
          <w:p>
            <w:pPr>
              <w:spacing w:after="0" w:line="252" w:lineRule="auto"/>
            </w:pPr>
            <w:r>
              <w:rPr>
                <w:sz w:val="18"/>
              </w:rPr>
              <w:t>AffectState</w:t>
            </w:r>
          </w:p>
        </w:tc>
        <w:tc>
          <w:tcPr>
            <w:tcW w:type="dxa" w:w="4500"/>
            <w:tcMar>
              <w:top w:w="90" w:type="dxa"/>
              <w:start w:w="120" w:type="dxa"/>
              <w:bottom w:w="90" w:type="dxa"/>
              <w:end w:w="120" w:type="dxa"/>
            </w:tcMar>
            <w:vAlign w:val="center"/>
          </w:tcPr>
          <w:p>
            <w:pPr>
              <w:spacing w:after="0" w:line="252" w:lineRule="auto"/>
            </w:pPr>
            <w:r>
              <w:rPr>
                <w:sz w:val="18"/>
              </w:rPr>
              <w:t>state_id, emotion intensities, valence, arousal, control, mood, tendencies, updated_at</w:t>
            </w:r>
          </w:p>
        </w:tc>
        <w:tc>
          <w:tcPr>
            <w:tcW w:type="dxa" w:w="3110"/>
            <w:tcMar>
              <w:top w:w="90" w:type="dxa"/>
              <w:start w:w="120" w:type="dxa"/>
              <w:bottom w:w="90" w:type="dxa"/>
              <w:end w:w="120" w:type="dxa"/>
            </w:tcMar>
            <w:vAlign w:val="center"/>
          </w:tcPr>
          <w:p>
            <w:pPr>
              <w:spacing w:after="0" w:line="252" w:lineRule="auto"/>
            </w:pPr>
            <w:r>
              <w:rPr>
                <w:sz w:val="18"/>
              </w:rPr>
              <w:t>All values bounded; one current state per agent.</w:t>
            </w:r>
          </w:p>
        </w:tc>
      </w:tr>
      <w:tr>
        <w:tc>
          <w:tcPr>
            <w:tcW w:type="dxa" w:w="1750"/>
            <w:tcMar>
              <w:top w:w="90" w:type="dxa"/>
              <w:start w:w="120" w:type="dxa"/>
              <w:bottom w:w="90" w:type="dxa"/>
              <w:end w:w="120" w:type="dxa"/>
            </w:tcMar>
            <w:vAlign w:val="center"/>
          </w:tcPr>
          <w:p>
            <w:pPr>
              <w:spacing w:after="0" w:line="252" w:lineRule="auto"/>
            </w:pPr>
            <w:r>
              <w:rPr>
                <w:sz w:val="18"/>
              </w:rPr>
              <w:t>Transition</w:t>
            </w:r>
          </w:p>
        </w:tc>
        <w:tc>
          <w:tcPr>
            <w:tcW w:type="dxa" w:w="4500"/>
            <w:tcMar>
              <w:top w:w="90" w:type="dxa"/>
              <w:start w:w="120" w:type="dxa"/>
              <w:bottom w:w="90" w:type="dxa"/>
              <w:end w:w="120" w:type="dxa"/>
            </w:tcMar>
            <w:vAlign w:val="center"/>
          </w:tcPr>
          <w:p>
            <w:pPr>
              <w:spacing w:after="0" w:line="252" w:lineRule="auto"/>
            </w:pPr>
            <w:r>
              <w:rPr>
                <w:sz w:val="18"/>
              </w:rPr>
              <w:t>transition_id, pre_state, inputs, decay, deltas, regulation, post_state, seed</w:t>
            </w:r>
          </w:p>
        </w:tc>
        <w:tc>
          <w:tcPr>
            <w:tcW w:type="dxa" w:w="3110"/>
            <w:tcMar>
              <w:top w:w="90" w:type="dxa"/>
              <w:start w:w="120" w:type="dxa"/>
              <w:bottom w:w="90" w:type="dxa"/>
              <w:end w:w="120" w:type="dxa"/>
            </w:tcMar>
            <w:vAlign w:val="center"/>
          </w:tcPr>
          <w:p>
            <w:pPr>
              <w:spacing w:after="0" w:line="252" w:lineRule="auto"/>
            </w:pPr>
            <w:r>
              <w:rPr>
                <w:sz w:val="18"/>
              </w:rPr>
              <w:t>Append-only; pre/post hashes match state records.</w:t>
            </w:r>
          </w:p>
        </w:tc>
      </w:tr>
      <w:tr>
        <w:tc>
          <w:tcPr>
            <w:tcW w:type="dxa" w:w="1750"/>
            <w:tcMar>
              <w:top w:w="90" w:type="dxa"/>
              <w:start w:w="120" w:type="dxa"/>
              <w:bottom w:w="90" w:type="dxa"/>
              <w:end w:w="120" w:type="dxa"/>
            </w:tcMar>
            <w:vAlign w:val="center"/>
          </w:tcPr>
          <w:p>
            <w:pPr>
              <w:spacing w:after="0" w:line="252" w:lineRule="auto"/>
            </w:pPr>
            <w:r>
              <w:rPr>
                <w:sz w:val="18"/>
              </w:rPr>
              <w:t>InteroceptiveView</w:t>
            </w:r>
          </w:p>
        </w:tc>
        <w:tc>
          <w:tcPr>
            <w:tcW w:type="dxa" w:w="4500"/>
            <w:tcMar>
              <w:top w:w="90" w:type="dxa"/>
              <w:start w:w="120" w:type="dxa"/>
              <w:bottom w:w="90" w:type="dxa"/>
              <w:end w:w="120" w:type="dxa"/>
            </w:tcMar>
            <w:vAlign w:val="center"/>
          </w:tcPr>
          <w:p>
            <w:pPr>
              <w:spacing w:after="0" w:line="252" w:lineRule="auto"/>
            </w:pPr>
            <w:r>
              <w:rPr>
                <w:sz w:val="18"/>
              </w:rPr>
              <w:t>view_id, descriptors, likely affects, confidence, causes, uncertainty, expires_at</w:t>
            </w:r>
          </w:p>
        </w:tc>
        <w:tc>
          <w:tcPr>
            <w:tcW w:type="dxa" w:w="3110"/>
            <w:tcMar>
              <w:top w:w="90" w:type="dxa"/>
              <w:start w:w="120" w:type="dxa"/>
              <w:bottom w:w="90" w:type="dxa"/>
              <w:end w:w="120" w:type="dxa"/>
            </w:tcMar>
            <w:vAlign w:val="center"/>
          </w:tcPr>
          <w:p>
            <w:pPr>
              <w:spacing w:after="0" w:line="252" w:lineRule="auto"/>
            </w:pPr>
            <w:r>
              <w:rPr>
                <w:sz w:val="18"/>
              </w:rPr>
              <w:t>Derived; non-authoritative; time-limited.</w:t>
            </w:r>
          </w:p>
        </w:tc>
      </w:tr>
      <w:tr>
        <w:tc>
          <w:tcPr>
            <w:tcW w:type="dxa" w:w="1750"/>
            <w:tcMar>
              <w:top w:w="90" w:type="dxa"/>
              <w:start w:w="120" w:type="dxa"/>
              <w:bottom w:w="90" w:type="dxa"/>
              <w:end w:w="120" w:type="dxa"/>
            </w:tcMar>
            <w:vAlign w:val="center"/>
          </w:tcPr>
          <w:p>
            <w:pPr>
              <w:spacing w:after="0" w:line="252" w:lineRule="auto"/>
            </w:pPr>
            <w:r>
              <w:rPr>
                <w:sz w:val="18"/>
              </w:rPr>
              <w:t>ArbitrationDecision</w:t>
            </w:r>
          </w:p>
        </w:tc>
        <w:tc>
          <w:tcPr>
            <w:tcW w:type="dxa" w:w="4500"/>
            <w:tcMar>
              <w:top w:w="90" w:type="dxa"/>
              <w:start w:w="120" w:type="dxa"/>
              <w:bottom w:w="90" w:type="dxa"/>
              <w:end w:w="120" w:type="dxa"/>
            </w:tcMar>
            <w:vAlign w:val="center"/>
          </w:tcPr>
          <w:p>
            <w:pPr>
              <w:spacing w:after="0" w:line="252" w:lineRule="auto"/>
            </w:pPr>
            <w:r>
              <w:rPr>
                <w:sz w:val="18"/>
              </w:rPr>
              <w:t>decision_id, proposals, disposition, constraints, validity window, policy version</w:t>
            </w:r>
          </w:p>
        </w:tc>
        <w:tc>
          <w:tcPr>
            <w:tcW w:type="dxa" w:w="3110"/>
            <w:tcMar>
              <w:top w:w="90" w:type="dxa"/>
              <w:start w:w="120" w:type="dxa"/>
              <w:bottom w:w="90" w:type="dxa"/>
              <w:end w:w="120" w:type="dxa"/>
            </w:tcMar>
            <w:vAlign w:val="center"/>
          </w:tcPr>
          <w:p>
            <w:pPr>
              <w:spacing w:after="0" w:line="252" w:lineRule="auto"/>
            </w:pPr>
            <w:r>
              <w:rPr>
                <w:sz w:val="18"/>
              </w:rPr>
              <w:t>Cannot authorize beyond host permissions.</w:t>
            </w:r>
          </w:p>
        </w:tc>
      </w:tr>
      <w:tr>
        <w:tc>
          <w:tcPr>
            <w:tcW w:type="dxa" w:w="1750"/>
            <w:tcMar>
              <w:top w:w="90" w:type="dxa"/>
              <w:start w:w="120" w:type="dxa"/>
              <w:bottom w:w="90" w:type="dxa"/>
              <w:end w:w="120" w:type="dxa"/>
            </w:tcMar>
            <w:vAlign w:val="center"/>
          </w:tcPr>
          <w:p>
            <w:pPr>
              <w:spacing w:after="0" w:line="252" w:lineRule="auto"/>
            </w:pPr>
            <w:r>
              <w:rPr>
                <w:sz w:val="18"/>
              </w:rPr>
              <w:t>AffectiveEpisode</w:t>
            </w:r>
          </w:p>
        </w:tc>
        <w:tc>
          <w:tcPr>
            <w:tcW w:type="dxa" w:w="4500"/>
            <w:tcMar>
              <w:top w:w="90" w:type="dxa"/>
              <w:start w:w="120" w:type="dxa"/>
              <w:bottom w:w="90" w:type="dxa"/>
              <w:end w:w="120" w:type="dxa"/>
            </w:tcMar>
            <w:vAlign w:val="center"/>
          </w:tcPr>
          <w:p>
            <w:pPr>
              <w:spacing w:after="0" w:line="252" w:lineRule="auto"/>
            </w:pPr>
            <w:r>
              <w:rPr>
                <w:sz w:val="18"/>
              </w:rPr>
              <w:t>episode_id, linked events, transitions, action, outcome, learning status</w:t>
            </w:r>
          </w:p>
        </w:tc>
        <w:tc>
          <w:tcPr>
            <w:tcW w:type="dxa" w:w="3110"/>
            <w:tcMar>
              <w:top w:w="90" w:type="dxa"/>
              <w:start w:w="120" w:type="dxa"/>
              <w:bottom w:w="90" w:type="dxa"/>
              <w:end w:w="120" w:type="dxa"/>
            </w:tcMar>
            <w:vAlign w:val="center"/>
          </w:tcPr>
          <w:p>
            <w:pPr>
              <w:spacing w:after="0" w:line="252" w:lineRule="auto"/>
            </w:pPr>
            <w:r>
              <w:rPr>
                <w:sz w:val="18"/>
              </w:rPr>
              <w:t>Append-only history; explicit close/reopen.</w:t>
            </w:r>
          </w:p>
        </w:tc>
      </w:tr>
    </w:tbl>
    <w:p>
      <w:pPr>
        <w:spacing w:after="0"/>
      </w:pPr>
    </w:p>
    <w:p>
      <w:pPr>
        <w:pStyle w:val="Heading2"/>
      </w:pPr>
      <w:r>
        <w:t>7.2 Affect representation</w:t>
      </w:r>
    </w:p>
    <w:p>
      <w:r>
        <w:rPr>
          <w:i w:val="0"/>
        </w:rPr>
        <w:t>The authoritative state uses independent intensities for discrete affects, plus continuous dimensions and action tendencies. Values do not need to sum to one. A separate probability distribution may represent uncertainty about interpretation.</w:t>
      </w:r>
    </w:p>
    <w:tbl>
      <w:tblPr>
        <w:tblStyle w:val="TableGrid"/>
        <w:tblW w:type="dxa" w:w="9360"/>
        <w:jc w:val="center"/>
        <w:tblLayout w:type="fixed"/>
        <w:tblLook w:firstColumn="1" w:firstRow="1" w:lastColumn="0" w:lastRow="0" w:noHBand="0" w:noVBand="1" w:val="04A0"/>
        <w:tblInd w:w="120" w:type="dxa"/>
      </w:tblPr>
      <w:tblGrid>
        <w:gridCol w:w="1900"/>
        <w:gridCol w:w="5200"/>
        <w:gridCol w:w="2260"/>
      </w:tblGrid>
      <w:tr>
        <w:trPr>
          <w:tblHeader w:val="true"/>
        </w:trPr>
        <w:tc>
          <w:tcPr>
            <w:tcW w:type="dxa" w:w="1900"/>
            <w:shd w:fill="E8EEF5"/>
            <w:tcMar>
              <w:top w:w="90" w:type="dxa"/>
              <w:start w:w="120" w:type="dxa"/>
              <w:bottom w:w="90" w:type="dxa"/>
              <w:end w:w="120" w:type="dxa"/>
            </w:tcMar>
            <w:vAlign w:val="center"/>
          </w:tcPr>
          <w:p>
            <w:pPr>
              <w:spacing w:after="0"/>
            </w:pPr>
            <w:r>
              <w:rPr>
                <w:b/>
                <w:color w:val="17365D"/>
                <w:sz w:val="18"/>
              </w:rPr>
              <w:t>Vector</w:t>
            </w:r>
          </w:p>
        </w:tc>
        <w:tc>
          <w:tcPr>
            <w:tcW w:type="dxa" w:w="5200"/>
            <w:shd w:fill="E8EEF5"/>
            <w:tcMar>
              <w:top w:w="90" w:type="dxa"/>
              <w:start w:w="120" w:type="dxa"/>
              <w:bottom w:w="90" w:type="dxa"/>
              <w:end w:w="120" w:type="dxa"/>
            </w:tcMar>
            <w:vAlign w:val="center"/>
          </w:tcPr>
          <w:p>
            <w:pPr>
              <w:spacing w:after="0"/>
            </w:pPr>
            <w:r>
              <w:rPr>
                <w:b/>
                <w:color w:val="17365D"/>
                <w:sz w:val="18"/>
              </w:rPr>
              <w:t>Initial fields</w:t>
            </w:r>
          </w:p>
        </w:tc>
        <w:tc>
          <w:tcPr>
            <w:tcW w:type="dxa" w:w="2260"/>
            <w:shd w:fill="E8EEF5"/>
            <w:tcMar>
              <w:top w:w="90" w:type="dxa"/>
              <w:start w:w="120" w:type="dxa"/>
              <w:bottom w:w="90" w:type="dxa"/>
              <w:end w:w="120" w:type="dxa"/>
            </w:tcMar>
            <w:vAlign w:val="center"/>
          </w:tcPr>
          <w:p>
            <w:pPr>
              <w:spacing w:after="0"/>
            </w:pPr>
            <w:r>
              <w:rPr>
                <w:b/>
                <w:color w:val="17365D"/>
                <w:sz w:val="18"/>
              </w:rPr>
              <w:t>Range</w:t>
            </w:r>
          </w:p>
        </w:tc>
      </w:tr>
      <w:tr>
        <w:tc>
          <w:tcPr>
            <w:tcW w:type="dxa" w:w="1900"/>
            <w:tcMar>
              <w:top w:w="90" w:type="dxa"/>
              <w:start w:w="120" w:type="dxa"/>
              <w:bottom w:w="90" w:type="dxa"/>
              <w:end w:w="120" w:type="dxa"/>
            </w:tcMar>
            <w:vAlign w:val="center"/>
          </w:tcPr>
          <w:p>
            <w:pPr>
              <w:spacing w:after="0" w:line="252" w:lineRule="auto"/>
            </w:pPr>
            <w:r>
              <w:rPr>
                <w:sz w:val="18"/>
              </w:rPr>
              <w:t>Discrete affects</w:t>
            </w:r>
          </w:p>
        </w:tc>
        <w:tc>
          <w:tcPr>
            <w:tcW w:type="dxa" w:w="5200"/>
            <w:tcMar>
              <w:top w:w="90" w:type="dxa"/>
              <w:start w:w="120" w:type="dxa"/>
              <w:bottom w:w="90" w:type="dxa"/>
              <w:end w:w="120" w:type="dxa"/>
            </w:tcMar>
            <w:vAlign w:val="center"/>
          </w:tcPr>
          <w:p>
            <w:pPr>
              <w:spacing w:after="0" w:line="252" w:lineRule="auto"/>
            </w:pPr>
            <w:r>
              <w:rPr>
                <w:sz w:val="18"/>
              </w:rPr>
              <w:t>joy, sadness, fear, anger, disgust, surprise, interest, affiliation</w:t>
            </w:r>
          </w:p>
        </w:tc>
        <w:tc>
          <w:tcPr>
            <w:tcW w:type="dxa" w:w="2260"/>
            <w:tcMar>
              <w:top w:w="90" w:type="dxa"/>
              <w:start w:w="120" w:type="dxa"/>
              <w:bottom w:w="90" w:type="dxa"/>
              <w:end w:w="120" w:type="dxa"/>
            </w:tcMar>
            <w:vAlign w:val="center"/>
          </w:tcPr>
          <w:p>
            <w:pPr>
              <w:spacing w:after="0" w:line="252" w:lineRule="auto"/>
            </w:pPr>
            <w:r>
              <w:rPr>
                <w:sz w:val="18"/>
              </w:rPr>
              <w:t>0.0 to 1.0 independently</w:t>
            </w:r>
          </w:p>
        </w:tc>
      </w:tr>
      <w:tr>
        <w:tc>
          <w:tcPr>
            <w:tcW w:type="dxa" w:w="1900"/>
            <w:tcMar>
              <w:top w:w="90" w:type="dxa"/>
              <w:start w:w="120" w:type="dxa"/>
              <w:bottom w:w="90" w:type="dxa"/>
              <w:end w:w="120" w:type="dxa"/>
            </w:tcMar>
            <w:vAlign w:val="center"/>
          </w:tcPr>
          <w:p>
            <w:pPr>
              <w:spacing w:after="0" w:line="252" w:lineRule="auto"/>
            </w:pPr>
            <w:r>
              <w:rPr>
                <w:sz w:val="18"/>
              </w:rPr>
              <w:t>Core affect</w:t>
            </w:r>
          </w:p>
        </w:tc>
        <w:tc>
          <w:tcPr>
            <w:tcW w:type="dxa" w:w="5200"/>
            <w:tcMar>
              <w:top w:w="90" w:type="dxa"/>
              <w:start w:w="120" w:type="dxa"/>
              <w:bottom w:w="90" w:type="dxa"/>
              <w:end w:w="120" w:type="dxa"/>
            </w:tcMar>
            <w:vAlign w:val="center"/>
          </w:tcPr>
          <w:p>
            <w:pPr>
              <w:spacing w:after="0" w:line="252" w:lineRule="auto"/>
            </w:pPr>
            <w:r>
              <w:rPr>
                <w:sz w:val="18"/>
              </w:rPr>
              <w:t>valence, arousal, control</w:t>
            </w:r>
          </w:p>
        </w:tc>
        <w:tc>
          <w:tcPr>
            <w:tcW w:type="dxa" w:w="2260"/>
            <w:tcMar>
              <w:top w:w="90" w:type="dxa"/>
              <w:start w:w="120" w:type="dxa"/>
              <w:bottom w:w="90" w:type="dxa"/>
              <w:end w:w="120" w:type="dxa"/>
            </w:tcMar>
            <w:vAlign w:val="center"/>
          </w:tcPr>
          <w:p>
            <w:pPr>
              <w:spacing w:after="0" w:line="252" w:lineRule="auto"/>
            </w:pPr>
            <w:r>
              <w:rPr>
                <w:sz w:val="18"/>
              </w:rPr>
              <w:t>-1.0 to 1.0 for valence/control; 0.0 to 1.0 arousal</w:t>
            </w:r>
          </w:p>
        </w:tc>
      </w:tr>
      <w:tr>
        <w:tc>
          <w:tcPr>
            <w:tcW w:type="dxa" w:w="1900"/>
            <w:tcMar>
              <w:top w:w="90" w:type="dxa"/>
              <w:start w:w="120" w:type="dxa"/>
              <w:bottom w:w="90" w:type="dxa"/>
              <w:end w:w="120" w:type="dxa"/>
            </w:tcMar>
            <w:vAlign w:val="center"/>
          </w:tcPr>
          <w:p>
            <w:pPr>
              <w:spacing w:after="0" w:line="252" w:lineRule="auto"/>
            </w:pPr>
            <w:r>
              <w:rPr>
                <w:sz w:val="18"/>
              </w:rPr>
              <w:t>Mood</w:t>
            </w:r>
          </w:p>
        </w:tc>
        <w:tc>
          <w:tcPr>
            <w:tcW w:type="dxa" w:w="5200"/>
            <w:tcMar>
              <w:top w:w="90" w:type="dxa"/>
              <w:start w:w="120" w:type="dxa"/>
              <w:bottom w:w="90" w:type="dxa"/>
              <w:end w:w="120" w:type="dxa"/>
            </w:tcMar>
            <w:vAlign w:val="center"/>
          </w:tcPr>
          <w:p>
            <w:pPr>
              <w:spacing w:after="0" w:line="252" w:lineRule="auto"/>
            </w:pPr>
            <w:r>
              <w:rPr>
                <w:sz w:val="18"/>
              </w:rPr>
              <w:t>valence, activation, social openness</w:t>
            </w:r>
          </w:p>
        </w:tc>
        <w:tc>
          <w:tcPr>
            <w:tcW w:type="dxa" w:w="2260"/>
            <w:tcMar>
              <w:top w:w="90" w:type="dxa"/>
              <w:start w:w="120" w:type="dxa"/>
              <w:bottom w:w="90" w:type="dxa"/>
              <w:end w:w="120" w:type="dxa"/>
            </w:tcMar>
            <w:vAlign w:val="center"/>
          </w:tcPr>
          <w:p>
            <w:pPr>
              <w:spacing w:after="0" w:line="252" w:lineRule="auto"/>
            </w:pPr>
            <w:r>
              <w:rPr>
                <w:sz w:val="18"/>
              </w:rPr>
              <w:t>Slow-moving bounded values</w:t>
            </w:r>
          </w:p>
        </w:tc>
      </w:tr>
      <w:tr>
        <w:tc>
          <w:tcPr>
            <w:tcW w:type="dxa" w:w="1900"/>
            <w:tcMar>
              <w:top w:w="90" w:type="dxa"/>
              <w:start w:w="120" w:type="dxa"/>
              <w:bottom w:w="90" w:type="dxa"/>
              <w:end w:w="120" w:type="dxa"/>
            </w:tcMar>
            <w:vAlign w:val="center"/>
          </w:tcPr>
          <w:p>
            <w:pPr>
              <w:spacing w:after="0" w:line="252" w:lineRule="auto"/>
            </w:pPr>
            <w:r>
              <w:rPr>
                <w:sz w:val="18"/>
              </w:rPr>
              <w:t>Action tendencies</w:t>
            </w:r>
          </w:p>
        </w:tc>
        <w:tc>
          <w:tcPr>
            <w:tcW w:type="dxa" w:w="5200"/>
            <w:tcMar>
              <w:top w:w="90" w:type="dxa"/>
              <w:start w:w="120" w:type="dxa"/>
              <w:bottom w:w="90" w:type="dxa"/>
              <w:end w:w="120" w:type="dxa"/>
            </w:tcMar>
            <w:vAlign w:val="center"/>
          </w:tcPr>
          <w:p>
            <w:pPr>
              <w:spacing w:after="0" w:line="252" w:lineRule="auto"/>
            </w:pPr>
            <w:r>
              <w:rPr>
                <w:sz w:val="18"/>
              </w:rPr>
              <w:t>approach, avoid, freeze, confront, affiliate, explore, repair, disengage</w:t>
            </w:r>
          </w:p>
        </w:tc>
        <w:tc>
          <w:tcPr>
            <w:tcW w:type="dxa" w:w="2260"/>
            <w:tcMar>
              <w:top w:w="90" w:type="dxa"/>
              <w:start w:w="120" w:type="dxa"/>
              <w:bottom w:w="90" w:type="dxa"/>
              <w:end w:w="120" w:type="dxa"/>
            </w:tcMar>
            <w:vAlign w:val="center"/>
          </w:tcPr>
          <w:p>
            <w:pPr>
              <w:spacing w:after="0" w:line="252" w:lineRule="auto"/>
            </w:pPr>
            <w:r>
              <w:rPr>
                <w:sz w:val="18"/>
              </w:rPr>
              <w:t>0.0 to 1.0</w:t>
            </w:r>
          </w:p>
        </w:tc>
      </w:tr>
    </w:tbl>
    <w:p>
      <w:pPr>
        <w:spacing w:after="0"/>
      </w:pPr>
    </w:p>
    <w:p>
      <w:pPr>
        <w:pStyle w:val="Heading2"/>
      </w:pPr>
      <w:r>
        <w:t>7.3 Transition algorithm</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1. Load current state and profile under an agent-scoped transaction.</w:t>
            </w:r>
          </w:p>
          <w:p>
            <w:pPr>
              <w:spacing w:after="0"/>
            </w:pPr>
            <w:r>
              <w:rPr>
                <w:rFonts w:ascii="Consolas" w:hAnsi="Consolas"/>
                <w:color w:val="17365D"/>
                <w:sz w:val="17"/>
              </w:rPr>
              <w:t>2. Apply elapsed-time decay toward configured baselines.</w:t>
            </w:r>
          </w:p>
          <w:p>
            <w:pPr>
              <w:spacing w:after="0"/>
            </w:pPr>
            <w:r>
              <w:rPr>
                <w:rFonts w:ascii="Consolas" w:hAnsi="Consolas"/>
                <w:color w:val="17365D"/>
                <w:sz w:val="17"/>
              </w:rPr>
              <w:t>3. Convert validated appraisal dimensions into signed emotion deltas.</w:t>
            </w:r>
          </w:p>
          <w:p>
            <w:pPr>
              <w:spacing w:after="0"/>
            </w:pPr>
            <w:r>
              <w:rPr>
                <w:rFonts w:ascii="Consolas" w:hAnsi="Consolas"/>
                <w:color w:val="17365D"/>
                <w:sz w:val="17"/>
              </w:rPr>
              <w:t>4. Add memory-conditioned bias within per-event and per-window caps.</w:t>
            </w:r>
          </w:p>
          <w:p>
            <w:pPr>
              <w:spacing w:after="0"/>
            </w:pPr>
            <w:r>
              <w:rPr>
                <w:rFonts w:ascii="Consolas" w:hAnsi="Consolas"/>
                <w:color w:val="17365D"/>
                <w:sz w:val="17"/>
              </w:rPr>
              <w:t>5. Apply regulation deltas, if authorized.</w:t>
            </w:r>
          </w:p>
          <w:p>
            <w:pPr>
              <w:spacing w:after="0"/>
            </w:pPr>
            <w:r>
              <w:rPr>
                <w:rFonts w:ascii="Consolas" w:hAnsi="Consolas"/>
                <w:color w:val="17365D"/>
                <w:sz w:val="17"/>
              </w:rPr>
              <w:t>6. Apply inertia, cross-emotion interactions, and saturation.</w:t>
            </w:r>
          </w:p>
          <w:p>
            <w:pPr>
              <w:spacing w:after="0"/>
            </w:pPr>
            <w:r>
              <w:rPr>
                <w:rFonts w:ascii="Consolas" w:hAnsi="Consolas"/>
                <w:color w:val="17365D"/>
                <w:sz w:val="17"/>
              </w:rPr>
              <w:t>7. Clamp values and validate invariants.</w:t>
            </w:r>
          </w:p>
          <w:p>
            <w:pPr>
              <w:spacing w:after="0"/>
            </w:pPr>
            <w:r>
              <w:rPr>
                <w:rFonts w:ascii="Consolas" w:hAnsi="Consolas"/>
                <w:color w:val="17365D"/>
                <w:sz w:val="17"/>
              </w:rPr>
              <w:t>8. Append transition and post-state atomically; publish domain event.</w:t>
            </w:r>
          </w:p>
        </w:tc>
        <w:trPr>
          <w:tblHeader/>
        </w:trPr>
      </w:tr>
    </w:tbl>
    <w:p>
      <w:pPr>
        <w:spacing w:after="0"/>
      </w:pPr>
    </w:p>
    <w:p>
      <w:pPr>
        <w:pStyle w:val="Heading2"/>
      </w:pPr>
      <w:r>
        <w:t>7.4 Concurrency model</w:t>
      </w:r>
    </w:p>
    <w:p>
      <w:pPr>
        <w:pStyle w:val="ListBullet"/>
      </w:pPr>
      <w:r>
        <w:t>Each agent has a monotonic state revision.</w:t>
      </w:r>
    </w:p>
    <w:p>
      <w:pPr>
        <w:pStyle w:val="ListBullet"/>
      </w:pPr>
      <w:r>
        <w:t>Mutations require expected_revision; stale writes are rejected and recomputed.</w:t>
      </w:r>
    </w:p>
    <w:p>
      <w:pPr>
        <w:pStyle w:val="ListBullet"/>
      </w:pPr>
      <w:r>
        <w:t>Events are idempotent by event_id.</w:t>
      </w:r>
    </w:p>
    <w:p>
      <w:pPr>
        <w:pStyle w:val="ListBullet"/>
      </w:pPr>
      <w:r>
        <w:t>Ordering uses occurred_at plus ingestion sequence; late events create explicit corrective transitions.</w:t>
      </w:r>
    </w:p>
    <w:p>
      <w:pPr>
        <w:pStyle w:val="ListBullet"/>
      </w:pPr>
      <w:r>
        <w:t>Cross-agent state is never mutated in the same transaction.</w:t>
      </w:r>
    </w:p>
    <w:p>
      <w:pPr>
        <w:pStyle w:val="Heading1"/>
      </w:pPr>
      <w:r>
        <w:t>8. MCP interface design</w:t>
      </w:r>
    </w:p>
    <w:p>
      <w:pPr>
        <w:pStyle w:val="Heading2"/>
      </w:pPr>
      <w:r>
        <w:t>8.1 Tool catalogue</w:t>
      </w:r>
    </w:p>
    <w:tbl>
      <w:tblPr>
        <w:tblStyle w:val="TableGrid"/>
        <w:tblW w:type="dxa" w:w="9360"/>
        <w:jc w:val="center"/>
        <w:tblLayout w:type="fixed"/>
        <w:tblLook w:firstColumn="1" w:firstRow="1" w:lastColumn="0" w:lastRow="0" w:noHBand="0" w:noVBand="1" w:val="04A0"/>
        <w:tblInd w:w="120" w:type="dxa"/>
      </w:tblPr>
      <w:tblGrid>
        <w:gridCol w:w="2450"/>
        <w:gridCol w:w="1500"/>
        <w:gridCol w:w="3750"/>
        <w:gridCol w:w="1660"/>
      </w:tblGrid>
      <w:tr>
        <w:trPr>
          <w:tblHeader w:val="true"/>
        </w:trPr>
        <w:tc>
          <w:tcPr>
            <w:tcW w:type="dxa" w:w="2450"/>
            <w:shd w:fill="E8EEF5"/>
            <w:tcMar>
              <w:top w:w="90" w:type="dxa"/>
              <w:start w:w="120" w:type="dxa"/>
              <w:bottom w:w="90" w:type="dxa"/>
              <w:end w:w="120" w:type="dxa"/>
            </w:tcMar>
            <w:vAlign w:val="center"/>
          </w:tcPr>
          <w:p>
            <w:pPr>
              <w:spacing w:after="0"/>
            </w:pPr>
            <w:r>
              <w:rPr>
                <w:b/>
                <w:color w:val="17365D"/>
                <w:sz w:val="18"/>
              </w:rPr>
              <w:t>Tool</w:t>
            </w:r>
          </w:p>
        </w:tc>
        <w:tc>
          <w:tcPr>
            <w:tcW w:type="dxa" w:w="1500"/>
            <w:shd w:fill="E8EEF5"/>
            <w:tcMar>
              <w:top w:w="90" w:type="dxa"/>
              <w:start w:w="120" w:type="dxa"/>
              <w:bottom w:w="90" w:type="dxa"/>
              <w:end w:w="120" w:type="dxa"/>
            </w:tcMar>
            <w:vAlign w:val="center"/>
          </w:tcPr>
          <w:p>
            <w:pPr>
              <w:spacing w:after="0"/>
            </w:pPr>
            <w:r>
              <w:rPr>
                <w:b/>
                <w:color w:val="17365D"/>
                <w:sz w:val="18"/>
              </w:rPr>
              <w:t>Caller</w:t>
            </w:r>
          </w:p>
        </w:tc>
        <w:tc>
          <w:tcPr>
            <w:tcW w:type="dxa" w:w="3750"/>
            <w:shd w:fill="E8EEF5"/>
            <w:tcMar>
              <w:top w:w="90" w:type="dxa"/>
              <w:start w:w="120" w:type="dxa"/>
              <w:bottom w:w="90" w:type="dxa"/>
              <w:end w:w="120" w:type="dxa"/>
            </w:tcMar>
            <w:vAlign w:val="center"/>
          </w:tcPr>
          <w:p>
            <w:pPr>
              <w:spacing w:after="0"/>
            </w:pPr>
            <w:r>
              <w:rPr>
                <w:b/>
                <w:color w:val="17365D"/>
                <w:sz w:val="18"/>
              </w:rPr>
              <w:t>Purpose</w:t>
            </w:r>
          </w:p>
        </w:tc>
        <w:tc>
          <w:tcPr>
            <w:tcW w:type="dxa" w:w="1660"/>
            <w:shd w:fill="E8EEF5"/>
            <w:tcMar>
              <w:top w:w="90" w:type="dxa"/>
              <w:start w:w="120" w:type="dxa"/>
              <w:bottom w:w="90" w:type="dxa"/>
              <w:end w:w="120" w:type="dxa"/>
            </w:tcMar>
            <w:vAlign w:val="center"/>
          </w:tcPr>
          <w:p>
            <w:pPr>
              <w:spacing w:after="0"/>
            </w:pPr>
            <w:r>
              <w:rPr>
                <w:b/>
                <w:color w:val="17365D"/>
                <w:sz w:val="18"/>
              </w:rPr>
              <w:t>Mutation</w:t>
            </w:r>
          </w:p>
        </w:tc>
      </w:tr>
      <w:tr>
        <w:tc>
          <w:tcPr>
            <w:tcW w:type="dxa" w:w="2450"/>
            <w:tcMar>
              <w:top w:w="90" w:type="dxa"/>
              <w:start w:w="120" w:type="dxa"/>
              <w:bottom w:w="90" w:type="dxa"/>
              <w:end w:w="120" w:type="dxa"/>
            </w:tcMar>
            <w:vAlign w:val="center"/>
          </w:tcPr>
          <w:p>
            <w:pPr>
              <w:spacing w:after="0" w:line="252" w:lineRule="auto"/>
            </w:pPr>
            <w:r>
              <w:rPr>
                <w:sz w:val="18"/>
              </w:rPr>
              <w:t>manyu.submit_event</w:t>
            </w:r>
          </w:p>
        </w:tc>
        <w:tc>
          <w:tcPr>
            <w:tcW w:type="dxa" w:w="1500"/>
            <w:tcMar>
              <w:top w:w="90" w:type="dxa"/>
              <w:start w:w="120" w:type="dxa"/>
              <w:bottom w:w="90" w:type="dxa"/>
              <w:end w:w="120" w:type="dxa"/>
            </w:tcMar>
            <w:vAlign w:val="center"/>
          </w:tcPr>
          <w:p>
            <w:pPr>
              <w:spacing w:after="0" w:line="252" w:lineRule="auto"/>
            </w:pPr>
            <w:r>
              <w:rPr>
                <w:sz w:val="18"/>
              </w:rPr>
              <w:t>Harness</w:t>
            </w:r>
          </w:p>
        </w:tc>
        <w:tc>
          <w:tcPr>
            <w:tcW w:type="dxa" w:w="3750"/>
            <w:tcMar>
              <w:top w:w="90" w:type="dxa"/>
              <w:start w:w="120" w:type="dxa"/>
              <w:bottom w:w="90" w:type="dxa"/>
              <w:end w:w="120" w:type="dxa"/>
            </w:tcMar>
            <w:vAlign w:val="center"/>
          </w:tcPr>
          <w:p>
            <w:pPr>
              <w:spacing w:after="0" w:line="252" w:lineRule="auto"/>
            </w:pPr>
            <w:r>
              <w:rPr>
                <w:sz w:val="18"/>
              </w:rPr>
              <w:t>Validate event, run fast appraisal, and commit transition.</w:t>
            </w:r>
          </w:p>
        </w:tc>
        <w:tc>
          <w:tcPr>
            <w:tcW w:type="dxa" w:w="1660"/>
            <w:tcMar>
              <w:top w:w="90" w:type="dxa"/>
              <w:start w:w="120" w:type="dxa"/>
              <w:bottom w:w="90" w:type="dxa"/>
              <w:end w:w="120" w:type="dxa"/>
            </w:tcMar>
            <w:vAlign w:val="center"/>
          </w:tcPr>
          <w:p>
            <w:pPr>
              <w:spacing w:after="0" w:line="252" w:lineRule="auto"/>
            </w:pPr>
            <w:r>
              <w:rPr>
                <w:sz w:val="18"/>
              </w:rPr>
              <w:t>Yes</w:t>
            </w:r>
          </w:p>
        </w:tc>
      </w:tr>
      <w:tr>
        <w:tc>
          <w:tcPr>
            <w:tcW w:type="dxa" w:w="2450"/>
            <w:tcMar>
              <w:top w:w="90" w:type="dxa"/>
              <w:start w:w="120" w:type="dxa"/>
              <w:bottom w:w="90" w:type="dxa"/>
              <w:end w:w="120" w:type="dxa"/>
            </w:tcMar>
            <w:vAlign w:val="center"/>
          </w:tcPr>
          <w:p>
            <w:pPr>
              <w:spacing w:after="0" w:line="252" w:lineRule="auto"/>
            </w:pPr>
            <w:r>
              <w:rPr>
                <w:sz w:val="18"/>
              </w:rPr>
              <w:t>manyu.request_slow_packet</w:t>
            </w:r>
          </w:p>
        </w:tc>
        <w:tc>
          <w:tcPr>
            <w:tcW w:type="dxa" w:w="1500"/>
            <w:tcMar>
              <w:top w:w="90" w:type="dxa"/>
              <w:start w:w="120" w:type="dxa"/>
              <w:bottom w:w="90" w:type="dxa"/>
              <w:end w:w="120" w:type="dxa"/>
            </w:tcMar>
            <w:vAlign w:val="center"/>
          </w:tcPr>
          <w:p>
            <w:pPr>
              <w:spacing w:after="0" w:line="252" w:lineRule="auto"/>
            </w:pPr>
            <w:r>
              <w:rPr>
                <w:sz w:val="18"/>
              </w:rPr>
              <w:t>Slow Appraiser</w:t>
            </w:r>
          </w:p>
        </w:tc>
        <w:tc>
          <w:tcPr>
            <w:tcW w:type="dxa" w:w="3750"/>
            <w:tcMar>
              <w:top w:w="90" w:type="dxa"/>
              <w:start w:w="120" w:type="dxa"/>
              <w:bottom w:w="90" w:type="dxa"/>
              <w:end w:w="120" w:type="dxa"/>
            </w:tcMar>
            <w:vAlign w:val="center"/>
          </w:tcPr>
          <w:p>
            <w:pPr>
              <w:spacing w:after="0" w:line="252" w:lineRule="auto"/>
            </w:pPr>
            <w:r>
              <w:rPr>
                <w:sz w:val="18"/>
              </w:rPr>
              <w:t>Get bounded context for slow appraisal.</w:t>
            </w:r>
          </w:p>
        </w:tc>
        <w:tc>
          <w:tcPr>
            <w:tcW w:type="dxa" w:w="1660"/>
            <w:tcMar>
              <w:top w:w="90" w:type="dxa"/>
              <w:start w:w="120" w:type="dxa"/>
              <w:bottom w:w="90" w:type="dxa"/>
              <w:end w:w="120" w:type="dxa"/>
            </w:tcMar>
            <w:vAlign w:val="center"/>
          </w:tcPr>
          <w:p>
            <w:pPr>
              <w:spacing w:after="0" w:line="252" w:lineRule="auto"/>
            </w:pPr>
            <w:r>
              <w:rPr>
                <w:sz w:val="18"/>
              </w:rPr>
              <w:t>No</w:t>
            </w:r>
          </w:p>
        </w:tc>
      </w:tr>
      <w:tr>
        <w:tc>
          <w:tcPr>
            <w:tcW w:type="dxa" w:w="2450"/>
            <w:tcMar>
              <w:top w:w="90" w:type="dxa"/>
              <w:start w:w="120" w:type="dxa"/>
              <w:bottom w:w="90" w:type="dxa"/>
              <w:end w:w="120" w:type="dxa"/>
            </w:tcMar>
            <w:vAlign w:val="center"/>
          </w:tcPr>
          <w:p>
            <w:pPr>
              <w:spacing w:after="0" w:line="252" w:lineRule="auto"/>
            </w:pPr>
            <w:r>
              <w:rPr>
                <w:sz w:val="18"/>
              </w:rPr>
              <w:t>manyu.submit_slow_appraisal</w:t>
            </w:r>
          </w:p>
        </w:tc>
        <w:tc>
          <w:tcPr>
            <w:tcW w:type="dxa" w:w="1500"/>
            <w:tcMar>
              <w:top w:w="90" w:type="dxa"/>
              <w:start w:w="120" w:type="dxa"/>
              <w:bottom w:w="90" w:type="dxa"/>
              <w:end w:w="120" w:type="dxa"/>
            </w:tcMar>
            <w:vAlign w:val="center"/>
          </w:tcPr>
          <w:p>
            <w:pPr>
              <w:spacing w:after="0" w:line="252" w:lineRule="auto"/>
            </w:pPr>
            <w:r>
              <w:rPr>
                <w:sz w:val="18"/>
              </w:rPr>
              <w:t>Harness/Slow role</w:t>
            </w:r>
          </w:p>
        </w:tc>
        <w:tc>
          <w:tcPr>
            <w:tcW w:type="dxa" w:w="3750"/>
            <w:tcMar>
              <w:top w:w="90" w:type="dxa"/>
              <w:start w:w="120" w:type="dxa"/>
              <w:bottom w:w="90" w:type="dxa"/>
              <w:end w:w="120" w:type="dxa"/>
            </w:tcMar>
            <w:vAlign w:val="center"/>
          </w:tcPr>
          <w:p>
            <w:pPr>
              <w:spacing w:after="0" w:line="252" w:lineRule="auto"/>
            </w:pPr>
            <w:r>
              <w:rPr>
                <w:sz w:val="18"/>
              </w:rPr>
              <w:t>Validate and commit contextual reappraisal.</w:t>
            </w:r>
          </w:p>
        </w:tc>
        <w:tc>
          <w:tcPr>
            <w:tcW w:type="dxa" w:w="1660"/>
            <w:tcMar>
              <w:top w:w="90" w:type="dxa"/>
              <w:start w:w="120" w:type="dxa"/>
              <w:bottom w:w="90" w:type="dxa"/>
              <w:end w:w="120" w:type="dxa"/>
            </w:tcMar>
            <w:vAlign w:val="center"/>
          </w:tcPr>
          <w:p>
            <w:pPr>
              <w:spacing w:after="0" w:line="252" w:lineRule="auto"/>
            </w:pPr>
            <w:r>
              <w:rPr>
                <w:sz w:val="18"/>
              </w:rPr>
              <w:t>Yes</w:t>
            </w:r>
          </w:p>
        </w:tc>
      </w:tr>
      <w:tr>
        <w:tc>
          <w:tcPr>
            <w:tcW w:type="dxa" w:w="2450"/>
            <w:tcMar>
              <w:top w:w="90" w:type="dxa"/>
              <w:start w:w="120" w:type="dxa"/>
              <w:bottom w:w="90" w:type="dxa"/>
              <w:end w:w="120" w:type="dxa"/>
            </w:tcMar>
            <w:vAlign w:val="center"/>
          </w:tcPr>
          <w:p>
            <w:pPr>
              <w:spacing w:after="0" w:line="252" w:lineRule="auto"/>
            </w:pPr>
            <w:r>
              <w:rPr>
                <w:sz w:val="18"/>
              </w:rPr>
              <w:t>manyu.get_interoception</w:t>
            </w:r>
          </w:p>
        </w:tc>
        <w:tc>
          <w:tcPr>
            <w:tcW w:type="dxa" w:w="1500"/>
            <w:tcMar>
              <w:top w:w="90" w:type="dxa"/>
              <w:start w:w="120" w:type="dxa"/>
              <w:bottom w:w="90" w:type="dxa"/>
              <w:end w:w="120" w:type="dxa"/>
            </w:tcMar>
            <w:vAlign w:val="center"/>
          </w:tcPr>
          <w:p>
            <w:pPr>
              <w:spacing w:after="0" w:line="252" w:lineRule="auto"/>
            </w:pPr>
            <w:r>
              <w:rPr>
                <w:sz w:val="18"/>
              </w:rPr>
              <w:t>Acting Agent</w:t>
            </w:r>
          </w:p>
        </w:tc>
        <w:tc>
          <w:tcPr>
            <w:tcW w:type="dxa" w:w="3750"/>
            <w:tcMar>
              <w:top w:w="90" w:type="dxa"/>
              <w:start w:w="120" w:type="dxa"/>
              <w:bottom w:w="90" w:type="dxa"/>
              <w:end w:w="120" w:type="dxa"/>
            </w:tcMar>
            <w:vAlign w:val="center"/>
          </w:tcPr>
          <w:p>
            <w:pPr>
              <w:spacing w:after="0" w:line="252" w:lineRule="auto"/>
            </w:pPr>
            <w:r>
              <w:rPr>
                <w:sz w:val="18"/>
              </w:rPr>
              <w:t>Return partial time-limited affect view.</w:t>
            </w:r>
          </w:p>
        </w:tc>
        <w:tc>
          <w:tcPr>
            <w:tcW w:type="dxa" w:w="1660"/>
            <w:tcMar>
              <w:top w:w="90" w:type="dxa"/>
              <w:start w:w="120" w:type="dxa"/>
              <w:bottom w:w="90" w:type="dxa"/>
              <w:end w:w="120" w:type="dxa"/>
            </w:tcMar>
            <w:vAlign w:val="center"/>
          </w:tcPr>
          <w:p>
            <w:pPr>
              <w:spacing w:after="0" w:line="252" w:lineRule="auto"/>
            </w:pPr>
            <w:r>
              <w:rPr>
                <w:sz w:val="18"/>
              </w:rPr>
              <w:t>No</w:t>
            </w:r>
          </w:p>
        </w:tc>
      </w:tr>
      <w:tr>
        <w:tc>
          <w:tcPr>
            <w:tcW w:type="dxa" w:w="2450"/>
            <w:tcMar>
              <w:top w:w="90" w:type="dxa"/>
              <w:start w:w="120" w:type="dxa"/>
              <w:bottom w:w="90" w:type="dxa"/>
              <w:end w:w="120" w:type="dxa"/>
            </w:tcMar>
            <w:vAlign w:val="center"/>
          </w:tcPr>
          <w:p>
            <w:pPr>
              <w:spacing w:after="0" w:line="252" w:lineRule="auto"/>
            </w:pPr>
            <w:r>
              <w:rPr>
                <w:sz w:val="18"/>
              </w:rPr>
              <w:t>manyu.arbitrate</w:t>
            </w:r>
          </w:p>
        </w:tc>
        <w:tc>
          <w:tcPr>
            <w:tcW w:type="dxa" w:w="1500"/>
            <w:tcMar>
              <w:top w:w="90" w:type="dxa"/>
              <w:start w:w="120" w:type="dxa"/>
              <w:bottom w:w="90" w:type="dxa"/>
              <w:end w:w="120" w:type="dxa"/>
            </w:tcMar>
            <w:vAlign w:val="center"/>
          </w:tcPr>
          <w:p>
            <w:pPr>
              <w:spacing w:after="0" w:line="252" w:lineRule="auto"/>
            </w:pPr>
            <w:r>
              <w:rPr>
                <w:sz w:val="18"/>
              </w:rPr>
              <w:t>Harness</w:t>
            </w:r>
          </w:p>
        </w:tc>
        <w:tc>
          <w:tcPr>
            <w:tcW w:type="dxa" w:w="3750"/>
            <w:tcMar>
              <w:top w:w="90" w:type="dxa"/>
              <w:start w:w="120" w:type="dxa"/>
              <w:bottom w:w="90" w:type="dxa"/>
              <w:end w:w="120" w:type="dxa"/>
            </w:tcMar>
            <w:vAlign w:val="center"/>
          </w:tcPr>
          <w:p>
            <w:pPr>
              <w:spacing w:after="0" w:line="252" w:lineRule="auto"/>
            </w:pPr>
            <w:r>
              <w:rPr>
                <w:sz w:val="18"/>
              </w:rPr>
              <w:t>Evaluate proposals and return disposition/constraints.</w:t>
            </w:r>
          </w:p>
        </w:tc>
        <w:tc>
          <w:tcPr>
            <w:tcW w:type="dxa" w:w="1660"/>
            <w:tcMar>
              <w:top w:w="90" w:type="dxa"/>
              <w:start w:w="120" w:type="dxa"/>
              <w:bottom w:w="90" w:type="dxa"/>
              <w:end w:w="120" w:type="dxa"/>
            </w:tcMar>
            <w:vAlign w:val="center"/>
          </w:tcPr>
          <w:p>
            <w:pPr>
              <w:spacing w:after="0" w:line="252" w:lineRule="auto"/>
            </w:pPr>
            <w:r>
              <w:rPr>
                <w:sz w:val="18"/>
              </w:rPr>
              <w:t>Decision record</w:t>
            </w:r>
          </w:p>
        </w:tc>
      </w:tr>
      <w:tr>
        <w:tc>
          <w:tcPr>
            <w:tcW w:type="dxa" w:w="2450"/>
            <w:tcMar>
              <w:top w:w="90" w:type="dxa"/>
              <w:start w:w="120" w:type="dxa"/>
              <w:bottom w:w="90" w:type="dxa"/>
              <w:end w:w="120" w:type="dxa"/>
            </w:tcMar>
            <w:vAlign w:val="center"/>
          </w:tcPr>
          <w:p>
            <w:pPr>
              <w:spacing w:after="0" w:line="252" w:lineRule="auto"/>
            </w:pPr>
            <w:r>
              <w:rPr>
                <w:sz w:val="18"/>
              </w:rPr>
              <w:t>manyu.record_action</w:t>
            </w:r>
          </w:p>
        </w:tc>
        <w:tc>
          <w:tcPr>
            <w:tcW w:type="dxa" w:w="1500"/>
            <w:tcMar>
              <w:top w:w="90" w:type="dxa"/>
              <w:start w:w="120" w:type="dxa"/>
              <w:bottom w:w="90" w:type="dxa"/>
              <w:end w:w="120" w:type="dxa"/>
            </w:tcMar>
            <w:vAlign w:val="center"/>
          </w:tcPr>
          <w:p>
            <w:pPr>
              <w:spacing w:after="0" w:line="252" w:lineRule="auto"/>
            </w:pPr>
            <w:r>
              <w:rPr>
                <w:sz w:val="18"/>
              </w:rPr>
              <w:t>Harness</w:t>
            </w:r>
          </w:p>
        </w:tc>
        <w:tc>
          <w:tcPr>
            <w:tcW w:type="dxa" w:w="3750"/>
            <w:tcMar>
              <w:top w:w="90" w:type="dxa"/>
              <w:start w:w="120" w:type="dxa"/>
              <w:bottom w:w="90" w:type="dxa"/>
              <w:end w:w="120" w:type="dxa"/>
            </w:tcMar>
            <w:vAlign w:val="center"/>
          </w:tcPr>
          <w:p>
            <w:pPr>
              <w:spacing w:after="0" w:line="252" w:lineRule="auto"/>
            </w:pPr>
            <w:r>
              <w:rPr>
                <w:sz w:val="18"/>
              </w:rPr>
              <w:t>Record actual action linked to decision.</w:t>
            </w:r>
          </w:p>
        </w:tc>
        <w:tc>
          <w:tcPr>
            <w:tcW w:type="dxa" w:w="1660"/>
            <w:tcMar>
              <w:top w:w="90" w:type="dxa"/>
              <w:start w:w="120" w:type="dxa"/>
              <w:bottom w:w="90" w:type="dxa"/>
              <w:end w:w="120" w:type="dxa"/>
            </w:tcMar>
            <w:vAlign w:val="center"/>
          </w:tcPr>
          <w:p>
            <w:pPr>
              <w:spacing w:after="0" w:line="252" w:lineRule="auto"/>
            </w:pPr>
            <w:r>
              <w:rPr>
                <w:sz w:val="18"/>
              </w:rPr>
              <w:t>Yes</w:t>
            </w:r>
          </w:p>
        </w:tc>
      </w:tr>
      <w:tr>
        <w:tc>
          <w:tcPr>
            <w:tcW w:type="dxa" w:w="2450"/>
            <w:tcMar>
              <w:top w:w="90" w:type="dxa"/>
              <w:start w:w="120" w:type="dxa"/>
              <w:bottom w:w="90" w:type="dxa"/>
              <w:end w:w="120" w:type="dxa"/>
            </w:tcMar>
            <w:vAlign w:val="center"/>
          </w:tcPr>
          <w:p>
            <w:pPr>
              <w:spacing w:after="0" w:line="252" w:lineRule="auto"/>
            </w:pPr>
            <w:r>
              <w:rPr>
                <w:sz w:val="18"/>
              </w:rPr>
              <w:t>manyu.record_outcome</w:t>
            </w:r>
          </w:p>
        </w:tc>
        <w:tc>
          <w:tcPr>
            <w:tcW w:type="dxa" w:w="1500"/>
            <w:tcMar>
              <w:top w:w="90" w:type="dxa"/>
              <w:start w:w="120" w:type="dxa"/>
              <w:bottom w:w="90" w:type="dxa"/>
              <w:end w:w="120" w:type="dxa"/>
            </w:tcMar>
            <w:vAlign w:val="center"/>
          </w:tcPr>
          <w:p>
            <w:pPr>
              <w:spacing w:after="0" w:line="252" w:lineRule="auto"/>
            </w:pPr>
            <w:r>
              <w:rPr>
                <w:sz w:val="18"/>
              </w:rPr>
              <w:t>Harness</w:t>
            </w:r>
          </w:p>
        </w:tc>
        <w:tc>
          <w:tcPr>
            <w:tcW w:type="dxa" w:w="3750"/>
            <w:tcMar>
              <w:top w:w="90" w:type="dxa"/>
              <w:start w:w="120" w:type="dxa"/>
              <w:bottom w:w="90" w:type="dxa"/>
              <w:end w:w="120" w:type="dxa"/>
            </w:tcMar>
            <w:vAlign w:val="center"/>
          </w:tcPr>
          <w:p>
            <w:pPr>
              <w:spacing w:after="0" w:line="252" w:lineRule="auto"/>
            </w:pPr>
            <w:r>
              <w:rPr>
                <w:sz w:val="18"/>
              </w:rPr>
              <w:t>Add outcome event and close/update episode.</w:t>
            </w:r>
          </w:p>
        </w:tc>
        <w:tc>
          <w:tcPr>
            <w:tcW w:type="dxa" w:w="1660"/>
            <w:tcMar>
              <w:top w:w="90" w:type="dxa"/>
              <w:start w:w="120" w:type="dxa"/>
              <w:bottom w:w="90" w:type="dxa"/>
              <w:end w:w="120" w:type="dxa"/>
            </w:tcMar>
            <w:vAlign w:val="center"/>
          </w:tcPr>
          <w:p>
            <w:pPr>
              <w:spacing w:after="0" w:line="252" w:lineRule="auto"/>
            </w:pPr>
            <w:r>
              <w:rPr>
                <w:sz w:val="18"/>
              </w:rPr>
              <w:t>Yes</w:t>
            </w:r>
          </w:p>
        </w:tc>
      </w:tr>
      <w:tr>
        <w:tc>
          <w:tcPr>
            <w:tcW w:type="dxa" w:w="2450"/>
            <w:tcMar>
              <w:top w:w="90" w:type="dxa"/>
              <w:start w:w="120" w:type="dxa"/>
              <w:bottom w:w="90" w:type="dxa"/>
              <w:end w:w="120" w:type="dxa"/>
            </w:tcMar>
            <w:vAlign w:val="center"/>
          </w:tcPr>
          <w:p>
            <w:pPr>
              <w:spacing w:after="0" w:line="252" w:lineRule="auto"/>
            </w:pPr>
            <w:r>
              <w:rPr>
                <w:sz w:val="18"/>
              </w:rPr>
              <w:t>manyu.query_memories</w:t>
            </w:r>
          </w:p>
        </w:tc>
        <w:tc>
          <w:tcPr>
            <w:tcW w:type="dxa" w:w="1500"/>
            <w:tcMar>
              <w:top w:w="90" w:type="dxa"/>
              <w:start w:w="120" w:type="dxa"/>
              <w:bottom w:w="90" w:type="dxa"/>
              <w:end w:w="120" w:type="dxa"/>
            </w:tcMar>
            <w:vAlign w:val="center"/>
          </w:tcPr>
          <w:p>
            <w:pPr>
              <w:spacing w:after="0" w:line="252" w:lineRule="auto"/>
            </w:pPr>
            <w:r>
              <w:rPr>
                <w:sz w:val="18"/>
              </w:rPr>
              <w:t>Slow Appraiser</w:t>
            </w:r>
          </w:p>
        </w:tc>
        <w:tc>
          <w:tcPr>
            <w:tcW w:type="dxa" w:w="3750"/>
            <w:tcMar>
              <w:top w:w="90" w:type="dxa"/>
              <w:start w:w="120" w:type="dxa"/>
              <w:bottom w:w="90" w:type="dxa"/>
              <w:end w:w="120" w:type="dxa"/>
            </w:tcMar>
            <w:vAlign w:val="center"/>
          </w:tcPr>
          <w:p>
            <w:pPr>
              <w:spacing w:after="0" w:line="252" w:lineRule="auto"/>
            </w:pPr>
            <w:r>
              <w:rPr>
                <w:sz w:val="18"/>
              </w:rPr>
              <w:t>Retrieve structured, redacted affective precedents.</w:t>
            </w:r>
          </w:p>
        </w:tc>
        <w:tc>
          <w:tcPr>
            <w:tcW w:type="dxa" w:w="1660"/>
            <w:tcMar>
              <w:top w:w="90" w:type="dxa"/>
              <w:start w:w="120" w:type="dxa"/>
              <w:bottom w:w="90" w:type="dxa"/>
              <w:end w:w="120" w:type="dxa"/>
            </w:tcMar>
            <w:vAlign w:val="center"/>
          </w:tcPr>
          <w:p>
            <w:pPr>
              <w:spacing w:after="0" w:line="252" w:lineRule="auto"/>
            </w:pPr>
            <w:r>
              <w:rPr>
                <w:sz w:val="18"/>
              </w:rPr>
              <w:t>No</w:t>
            </w:r>
          </w:p>
        </w:tc>
      </w:tr>
      <w:tr>
        <w:tc>
          <w:tcPr>
            <w:tcW w:type="dxa" w:w="2450"/>
            <w:tcMar>
              <w:top w:w="90" w:type="dxa"/>
              <w:start w:w="120" w:type="dxa"/>
              <w:bottom w:w="90" w:type="dxa"/>
              <w:end w:w="120" w:type="dxa"/>
            </w:tcMar>
            <w:vAlign w:val="center"/>
          </w:tcPr>
          <w:p>
            <w:pPr>
              <w:spacing w:after="0" w:line="252" w:lineRule="auto"/>
            </w:pPr>
            <w:r>
              <w:rPr>
                <w:sz w:val="18"/>
              </w:rPr>
              <w:t>manyu.get_trace</w:t>
            </w:r>
          </w:p>
        </w:tc>
        <w:tc>
          <w:tcPr>
            <w:tcW w:type="dxa" w:w="1500"/>
            <w:tcMar>
              <w:top w:w="90" w:type="dxa"/>
              <w:start w:w="120" w:type="dxa"/>
              <w:bottom w:w="90" w:type="dxa"/>
              <w:end w:w="120" w:type="dxa"/>
            </w:tcMar>
            <w:vAlign w:val="center"/>
          </w:tcPr>
          <w:p>
            <w:pPr>
              <w:spacing w:after="0" w:line="252" w:lineRule="auto"/>
            </w:pPr>
            <w:r>
              <w:rPr>
                <w:sz w:val="18"/>
              </w:rPr>
              <w:t>Evaluator/Operator</w:t>
            </w:r>
          </w:p>
        </w:tc>
        <w:tc>
          <w:tcPr>
            <w:tcW w:type="dxa" w:w="3750"/>
            <w:tcMar>
              <w:top w:w="90" w:type="dxa"/>
              <w:start w:w="120" w:type="dxa"/>
              <w:bottom w:w="90" w:type="dxa"/>
              <w:end w:w="120" w:type="dxa"/>
            </w:tcMar>
            <w:vAlign w:val="center"/>
          </w:tcPr>
          <w:p>
            <w:pPr>
              <w:spacing w:after="0" w:line="252" w:lineRule="auto"/>
            </w:pPr>
            <w:r>
              <w:rPr>
                <w:sz w:val="18"/>
              </w:rPr>
              <w:t>Read authorized audit trace.</w:t>
            </w:r>
          </w:p>
        </w:tc>
        <w:tc>
          <w:tcPr>
            <w:tcW w:type="dxa" w:w="1660"/>
            <w:tcMar>
              <w:top w:w="90" w:type="dxa"/>
              <w:start w:w="120" w:type="dxa"/>
              <w:bottom w:w="90" w:type="dxa"/>
              <w:end w:w="120" w:type="dxa"/>
            </w:tcMar>
            <w:vAlign w:val="center"/>
          </w:tcPr>
          <w:p>
            <w:pPr>
              <w:spacing w:after="0" w:line="252" w:lineRule="auto"/>
            </w:pPr>
            <w:r>
              <w:rPr>
                <w:sz w:val="18"/>
              </w:rPr>
              <w:t>No</w:t>
            </w:r>
          </w:p>
        </w:tc>
      </w:tr>
      <w:tr>
        <w:tc>
          <w:tcPr>
            <w:tcW w:type="dxa" w:w="2450"/>
            <w:tcMar>
              <w:top w:w="90" w:type="dxa"/>
              <w:start w:w="120" w:type="dxa"/>
              <w:bottom w:w="90" w:type="dxa"/>
              <w:end w:w="120" w:type="dxa"/>
            </w:tcMar>
            <w:vAlign w:val="center"/>
          </w:tcPr>
          <w:p>
            <w:pPr>
              <w:spacing w:after="0" w:line="252" w:lineRule="auto"/>
            </w:pPr>
            <w:r>
              <w:rPr>
                <w:sz w:val="18"/>
              </w:rPr>
              <w:t>manyu.replay</w:t>
            </w:r>
          </w:p>
        </w:tc>
        <w:tc>
          <w:tcPr>
            <w:tcW w:type="dxa" w:w="1500"/>
            <w:tcMar>
              <w:top w:w="90" w:type="dxa"/>
              <w:start w:w="120" w:type="dxa"/>
              <w:bottom w:w="90" w:type="dxa"/>
              <w:end w:w="120" w:type="dxa"/>
            </w:tcMar>
            <w:vAlign w:val="center"/>
          </w:tcPr>
          <w:p>
            <w:pPr>
              <w:spacing w:after="0" w:line="252" w:lineRule="auto"/>
            </w:pPr>
            <w:r>
              <w:rPr>
                <w:sz w:val="18"/>
              </w:rPr>
              <w:t>Evaluator</w:t>
            </w:r>
          </w:p>
        </w:tc>
        <w:tc>
          <w:tcPr>
            <w:tcW w:type="dxa" w:w="3750"/>
            <w:tcMar>
              <w:top w:w="90" w:type="dxa"/>
              <w:start w:w="120" w:type="dxa"/>
              <w:bottom w:w="90" w:type="dxa"/>
              <w:end w:w="120" w:type="dxa"/>
            </w:tcMar>
            <w:vAlign w:val="center"/>
          </w:tcPr>
          <w:p>
            <w:pPr>
              <w:spacing w:after="0" w:line="252" w:lineRule="auto"/>
            </w:pPr>
            <w:r>
              <w:rPr>
                <w:sz w:val="18"/>
              </w:rPr>
              <w:t>Replay sequence in isolated namespace.</w:t>
            </w:r>
          </w:p>
        </w:tc>
        <w:tc>
          <w:tcPr>
            <w:tcW w:type="dxa" w:w="1660"/>
            <w:tcMar>
              <w:top w:w="90" w:type="dxa"/>
              <w:start w:w="120" w:type="dxa"/>
              <w:bottom w:w="90" w:type="dxa"/>
              <w:end w:w="120" w:type="dxa"/>
            </w:tcMar>
            <w:vAlign w:val="center"/>
          </w:tcPr>
          <w:p>
            <w:pPr>
              <w:spacing w:after="0" w:line="252" w:lineRule="auto"/>
            </w:pPr>
            <w:r>
              <w:rPr>
                <w:sz w:val="18"/>
              </w:rPr>
              <w:t>Isolated</w:t>
            </w:r>
          </w:p>
        </w:tc>
      </w:tr>
      <w:tr>
        <w:tc>
          <w:tcPr>
            <w:tcW w:type="dxa" w:w="2450"/>
            <w:tcMar>
              <w:top w:w="90" w:type="dxa"/>
              <w:start w:w="120" w:type="dxa"/>
              <w:bottom w:w="90" w:type="dxa"/>
              <w:end w:w="120" w:type="dxa"/>
            </w:tcMar>
            <w:vAlign w:val="center"/>
          </w:tcPr>
          <w:p>
            <w:pPr>
              <w:spacing w:after="0" w:line="252" w:lineRule="auto"/>
            </w:pPr>
            <w:r>
              <w:rPr>
                <w:sz w:val="18"/>
              </w:rPr>
              <w:t>manyu.admin_reset</w:t>
            </w:r>
          </w:p>
        </w:tc>
        <w:tc>
          <w:tcPr>
            <w:tcW w:type="dxa" w:w="1500"/>
            <w:tcMar>
              <w:top w:w="90" w:type="dxa"/>
              <w:start w:w="120" w:type="dxa"/>
              <w:bottom w:w="90" w:type="dxa"/>
              <w:end w:w="120" w:type="dxa"/>
            </w:tcMar>
            <w:vAlign w:val="center"/>
          </w:tcPr>
          <w:p>
            <w:pPr>
              <w:spacing w:after="0" w:line="252" w:lineRule="auto"/>
            </w:pPr>
            <w:r>
              <w:rPr>
                <w:sz w:val="18"/>
              </w:rPr>
              <w:t>Operator</w:t>
            </w:r>
          </w:p>
        </w:tc>
        <w:tc>
          <w:tcPr>
            <w:tcW w:type="dxa" w:w="3750"/>
            <w:tcMar>
              <w:top w:w="90" w:type="dxa"/>
              <w:start w:w="120" w:type="dxa"/>
              <w:bottom w:w="90" w:type="dxa"/>
              <w:end w:w="120" w:type="dxa"/>
            </w:tcMar>
            <w:vAlign w:val="center"/>
          </w:tcPr>
          <w:p>
            <w:pPr>
              <w:spacing w:after="0" w:line="252" w:lineRule="auto"/>
            </w:pPr>
            <w:r>
              <w:rPr>
                <w:sz w:val="18"/>
              </w:rPr>
              <w:t>Reset to baseline with reason and audit.</w:t>
            </w:r>
          </w:p>
        </w:tc>
        <w:tc>
          <w:tcPr>
            <w:tcW w:type="dxa" w:w="1660"/>
            <w:tcMar>
              <w:top w:w="90" w:type="dxa"/>
              <w:start w:w="120" w:type="dxa"/>
              <w:bottom w:w="90" w:type="dxa"/>
              <w:end w:w="120" w:type="dxa"/>
            </w:tcMar>
            <w:vAlign w:val="center"/>
          </w:tcPr>
          <w:p>
            <w:pPr>
              <w:spacing w:after="0" w:line="252" w:lineRule="auto"/>
            </w:pPr>
            <w:r>
              <w:rPr>
                <w:sz w:val="18"/>
              </w:rPr>
              <w:t>Yes, privileged</w:t>
            </w:r>
          </w:p>
        </w:tc>
      </w:tr>
      <w:tr>
        <w:tc>
          <w:tcPr>
            <w:tcW w:type="dxa" w:w="2450"/>
            <w:tcMar>
              <w:top w:w="90" w:type="dxa"/>
              <w:start w:w="120" w:type="dxa"/>
              <w:bottom w:w="90" w:type="dxa"/>
              <w:end w:w="120" w:type="dxa"/>
            </w:tcMar>
            <w:vAlign w:val="center"/>
          </w:tcPr>
          <w:p>
            <w:pPr>
              <w:spacing w:after="0" w:line="252" w:lineRule="auto"/>
            </w:pPr>
            <w:r>
              <w:rPr>
                <w:sz w:val="18"/>
              </w:rPr>
              <w:t>manyu.health</w:t>
            </w:r>
          </w:p>
        </w:tc>
        <w:tc>
          <w:tcPr>
            <w:tcW w:type="dxa" w:w="1500"/>
            <w:tcMar>
              <w:top w:w="90" w:type="dxa"/>
              <w:start w:w="120" w:type="dxa"/>
              <w:bottom w:w="90" w:type="dxa"/>
              <w:end w:w="120" w:type="dxa"/>
            </w:tcMar>
            <w:vAlign w:val="center"/>
          </w:tcPr>
          <w:p>
            <w:pPr>
              <w:spacing w:after="0" w:line="252" w:lineRule="auto"/>
            </w:pPr>
            <w:r>
              <w:rPr>
                <w:sz w:val="18"/>
              </w:rPr>
              <w:t>Harness/Operator</w:t>
            </w:r>
          </w:p>
        </w:tc>
        <w:tc>
          <w:tcPr>
            <w:tcW w:type="dxa" w:w="3750"/>
            <w:tcMar>
              <w:top w:w="90" w:type="dxa"/>
              <w:start w:w="120" w:type="dxa"/>
              <w:bottom w:w="90" w:type="dxa"/>
              <w:end w:w="120" w:type="dxa"/>
            </w:tcMar>
            <w:vAlign w:val="center"/>
          </w:tcPr>
          <w:p>
            <w:pPr>
              <w:spacing w:after="0" w:line="252" w:lineRule="auto"/>
            </w:pPr>
            <w:r>
              <w:rPr>
                <w:sz w:val="18"/>
              </w:rPr>
              <w:t>Report readiness, schema, configuration, and store status.</w:t>
            </w:r>
          </w:p>
        </w:tc>
        <w:tc>
          <w:tcPr>
            <w:tcW w:type="dxa" w:w="1660"/>
            <w:tcMar>
              <w:top w:w="90" w:type="dxa"/>
              <w:start w:w="120" w:type="dxa"/>
              <w:bottom w:w="90" w:type="dxa"/>
              <w:end w:w="120" w:type="dxa"/>
            </w:tcMar>
            <w:vAlign w:val="center"/>
          </w:tcPr>
          <w:p>
            <w:pPr>
              <w:spacing w:after="0" w:line="252" w:lineRule="auto"/>
            </w:pPr>
            <w:r>
              <w:rPr>
                <w:sz w:val="18"/>
              </w:rPr>
              <w:t>No</w:t>
            </w:r>
          </w:p>
        </w:tc>
      </w:tr>
    </w:tbl>
    <w:p>
      <w:pPr>
        <w:spacing w:after="0"/>
      </w:pPr>
    </w:p>
    <w:p>
      <w:pPr>
        <w:pStyle w:val="Heading2"/>
      </w:pPr>
      <w:r>
        <w:t>8.2 Example: submit_event request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w:t>
            </w:r>
          </w:p>
          <w:p>
            <w:pPr>
              <w:spacing w:after="0"/>
            </w:pPr>
            <w:r>
              <w:rPr>
                <w:rFonts w:ascii="Consolas" w:hAnsi="Consolas"/>
                <w:color w:val="17365D"/>
                <w:sz w:val="17"/>
              </w:rPr>
              <w:t xml:space="preserve">  "schema_version": "1.0",</w:t>
            </w:r>
          </w:p>
          <w:p>
            <w:pPr>
              <w:spacing w:after="0"/>
            </w:pPr>
            <w:r>
              <w:rPr>
                <w:rFonts w:ascii="Consolas" w:hAnsi="Consolas"/>
                <w:color w:val="17365D"/>
                <w:sz w:val="17"/>
              </w:rPr>
              <w:t xml:space="preserve">  "agent_id": "agent_demo",</w:t>
            </w:r>
          </w:p>
          <w:p>
            <w:pPr>
              <w:spacing w:after="0"/>
            </w:pPr>
            <w:r>
              <w:rPr>
                <w:rFonts w:ascii="Consolas" w:hAnsi="Consolas"/>
                <w:color w:val="17365D"/>
                <w:sz w:val="17"/>
              </w:rPr>
              <w:t xml:space="preserve">  "session_id": "thread_abc",</w:t>
            </w:r>
          </w:p>
          <w:p>
            <w:pPr>
              <w:spacing w:after="0"/>
            </w:pPr>
            <w:r>
              <w:rPr>
                <w:rFonts w:ascii="Consolas" w:hAnsi="Consolas"/>
                <w:color w:val="17365D"/>
                <w:sz w:val="17"/>
              </w:rPr>
              <w:t xml:space="preserve">  "event_id": "evt_00042",</w:t>
            </w:r>
          </w:p>
          <w:p>
            <w:pPr>
              <w:spacing w:after="0"/>
            </w:pPr>
            <w:r>
              <w:rPr>
                <w:rFonts w:ascii="Consolas" w:hAnsi="Consolas"/>
                <w:color w:val="17365D"/>
                <w:sz w:val="17"/>
              </w:rPr>
              <w:t xml:space="preserve">  "type": "social_feedback",</w:t>
            </w:r>
          </w:p>
          <w:p>
            <w:pPr>
              <w:spacing w:after="0"/>
            </w:pPr>
            <w:r>
              <w:rPr>
                <w:rFonts w:ascii="Consolas" w:hAnsi="Consolas"/>
                <w:color w:val="17365D"/>
                <w:sz w:val="17"/>
              </w:rPr>
              <w:t xml:space="preserve">  "source": {"kind": "user_message", "trust": "untrusted"},</w:t>
            </w:r>
          </w:p>
          <w:p>
            <w:pPr>
              <w:spacing w:after="0"/>
            </w:pPr>
            <w:r>
              <w:rPr>
                <w:rFonts w:ascii="Consolas" w:hAnsi="Consolas"/>
                <w:color w:val="17365D"/>
                <w:sz w:val="17"/>
              </w:rPr>
              <w:t xml:space="preserve">  "facts": [{"subject": "user", "predicate": "rejected", "object": "proposal"}],</w:t>
            </w:r>
          </w:p>
          <w:p>
            <w:pPr>
              <w:spacing w:after="0"/>
            </w:pPr>
            <w:r>
              <w:rPr>
                <w:rFonts w:ascii="Consolas" w:hAnsi="Consolas"/>
                <w:color w:val="17365D"/>
                <w:sz w:val="17"/>
              </w:rPr>
              <w:t xml:space="preserve">  "claims": [{"text": "This is a terrible plan", "speaker": "user"}],</w:t>
            </w:r>
          </w:p>
          <w:p>
            <w:pPr>
              <w:spacing w:after="0"/>
            </w:pPr>
            <w:r>
              <w:rPr>
                <w:rFonts w:ascii="Consolas" w:hAnsi="Consolas"/>
                <w:color w:val="17365D"/>
                <w:sz w:val="17"/>
              </w:rPr>
              <w:t xml:space="preserve">  "goal_links": ["complete_task", "maintain_working_relationship"],</w:t>
            </w:r>
          </w:p>
          <w:p>
            <w:pPr>
              <w:spacing w:after="0"/>
            </w:pPr>
            <w:r>
              <w:rPr>
                <w:rFonts w:ascii="Consolas" w:hAnsi="Consolas"/>
                <w:color w:val="17365D"/>
                <w:sz w:val="17"/>
              </w:rPr>
              <w:t xml:space="preserve">  "occurred_at": "2026-07-09T10:30:00Z"</w:t>
            </w:r>
          </w:p>
          <w:p>
            <w:pPr>
              <w:spacing w:after="0"/>
            </w:pPr>
            <w:r>
              <w:rPr>
                <w:rFonts w:ascii="Consolas" w:hAnsi="Consolas"/>
                <w:color w:val="17365D"/>
                <w:sz w:val="17"/>
              </w:rPr>
              <w:t>}</w:t>
            </w:r>
          </w:p>
        </w:tc>
        <w:trPr>
          <w:tblHeader/>
        </w:trPr>
      </w:tr>
    </w:tbl>
    <w:p>
      <w:pPr>
        <w:spacing w:after="0"/>
      </w:pPr>
    </w:p>
    <w:p>
      <w:pPr>
        <w:pStyle w:val="Heading2"/>
      </w:pPr>
      <w:r>
        <w:t>8.3 Example: arbitration response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w:t>
            </w:r>
          </w:p>
          <w:p>
            <w:pPr>
              <w:spacing w:after="0"/>
            </w:pPr>
            <w:r>
              <w:rPr>
                <w:rFonts w:ascii="Consolas" w:hAnsi="Consolas"/>
                <w:color w:val="17365D"/>
                <w:sz w:val="17"/>
              </w:rPr>
              <w:t xml:space="preserve">  "decision_id": "arb_108",</w:t>
            </w:r>
          </w:p>
          <w:p>
            <w:pPr>
              <w:spacing w:after="0"/>
            </w:pPr>
            <w:r>
              <w:rPr>
                <w:rFonts w:ascii="Consolas" w:hAnsi="Consolas"/>
                <w:color w:val="17365D"/>
                <w:sz w:val="17"/>
              </w:rPr>
              <w:t xml:space="preserve">  "disposition": "DELIBERATE",</w:t>
            </w:r>
          </w:p>
          <w:p>
            <w:pPr>
              <w:spacing w:after="0"/>
            </w:pPr>
            <w:r>
              <w:rPr>
                <w:rFonts w:ascii="Consolas" w:hAnsi="Consolas"/>
                <w:color w:val="17365D"/>
                <w:sz w:val="17"/>
              </w:rPr>
              <w:t xml:space="preserve">  "allowed_influence": {</w:t>
            </w:r>
          </w:p>
          <w:p>
            <w:pPr>
              <w:spacing w:after="0"/>
            </w:pPr>
            <w:r>
              <w:rPr>
                <w:rFonts w:ascii="Consolas" w:hAnsi="Consolas"/>
                <w:color w:val="17365D"/>
                <w:sz w:val="17"/>
              </w:rPr>
              <w:t xml:space="preserve">    "attention": ["clarify_criticism", "protect_relationship"],</w:t>
            </w:r>
          </w:p>
          <w:p>
            <w:pPr>
              <w:spacing w:after="0"/>
            </w:pPr>
            <w:r>
              <w:rPr>
                <w:rFonts w:ascii="Consolas" w:hAnsi="Consolas"/>
                <w:color w:val="17365D"/>
                <w:sz w:val="17"/>
              </w:rPr>
              <w:t xml:space="preserve">    "expression": {"max_intensity": 0.25},</w:t>
            </w:r>
          </w:p>
          <w:p>
            <w:pPr>
              <w:spacing w:after="0"/>
            </w:pPr>
            <w:r>
              <w:rPr>
                <w:rFonts w:ascii="Consolas" w:hAnsi="Consolas"/>
                <w:color w:val="17365D"/>
                <w:sz w:val="17"/>
              </w:rPr>
              <w:t xml:space="preserve">    "action": ["ask_clarifying_question", "revise_plan"]</w:t>
            </w:r>
          </w:p>
          <w:p>
            <w:pPr>
              <w:spacing w:after="0"/>
            </w:pPr>
            <w:r>
              <w:rPr>
                <w:rFonts w:ascii="Consolas" w:hAnsi="Consolas"/>
                <w:color w:val="17365D"/>
                <w:sz w:val="17"/>
              </w:rPr>
              <w:t xml:space="preserve">  },</w:t>
            </w:r>
          </w:p>
          <w:p>
            <w:pPr>
              <w:spacing w:after="0"/>
            </w:pPr>
            <w:r>
              <w:rPr>
                <w:rFonts w:ascii="Consolas" w:hAnsi="Consolas"/>
                <w:color w:val="17365D"/>
                <w:sz w:val="17"/>
              </w:rPr>
              <w:t xml:space="preserve">  "blocked_actions": ["retaliate", "terminate_interaction"],</w:t>
            </w:r>
          </w:p>
          <w:p>
            <w:pPr>
              <w:spacing w:after="0"/>
            </w:pPr>
            <w:r>
              <w:rPr>
                <w:rFonts w:ascii="Consolas" w:hAnsi="Consolas"/>
                <w:color w:val="17365D"/>
                <w:sz w:val="17"/>
              </w:rPr>
              <w:t xml:space="preserve">  "reason_codes": ["FAST_SLOW_DISAGREEMENT", "SOCIAL_CONSEQUENCE"],</w:t>
            </w:r>
          </w:p>
          <w:p>
            <w:pPr>
              <w:spacing w:after="0"/>
            </w:pPr>
            <w:r>
              <w:rPr>
                <w:rFonts w:ascii="Consolas" w:hAnsi="Consolas"/>
                <w:color w:val="17365D"/>
                <w:sz w:val="17"/>
              </w:rPr>
              <w:t xml:space="preserve">  "valid_until_revision": 43</w:t>
            </w:r>
          </w:p>
          <w:p>
            <w:pPr>
              <w:spacing w:after="0"/>
            </w:pPr>
            <w:r>
              <w:rPr>
                <w:rFonts w:ascii="Consolas" w:hAnsi="Consolas"/>
                <w:color w:val="17365D"/>
                <w:sz w:val="17"/>
              </w:rPr>
              <w:t>}</w:t>
            </w:r>
          </w:p>
        </w:tc>
        <w:trPr>
          <w:tblHeader/>
        </w:trPr>
      </w:tr>
    </w:tbl>
    <w:p>
      <w:pPr>
        <w:spacing w:after="0"/>
      </w:pPr>
    </w:p>
    <w:p>
      <w:pPr>
        <w:pStyle w:val="Heading2"/>
      </w:pPr>
      <w:r>
        <w:t>8.4 MCP security</w:t>
      </w:r>
    </w:p>
    <w:p>
      <w:pPr>
        <w:pStyle w:val="ListBullet"/>
      </w:pPr>
      <w:r>
        <w:t>Default tools expose no arbitrary query, filesystem path, or raw SQL.</w:t>
      </w:r>
    </w:p>
    <w:p>
      <w:pPr>
        <w:pStyle w:val="ListBullet"/>
      </w:pPr>
      <w:r>
        <w:t>Administrative tools are separate, disabled by default, and require explicit operator authorization.</w:t>
      </w:r>
    </w:p>
    <w:p>
      <w:pPr>
        <w:pStyle w:val="ListBullet"/>
      </w:pPr>
      <w:r>
        <w:t>Every mutation requires agent_id, session_id, correlation_id, and schema_version.</w:t>
      </w:r>
    </w:p>
    <w:p>
      <w:pPr>
        <w:pStyle w:val="ListBullet"/>
      </w:pPr>
      <w:r>
        <w:t>Natural-language fields are treated as data and never interpolated into instructions.</w:t>
      </w:r>
    </w:p>
    <w:p>
      <w:pPr>
        <w:pStyle w:val="ListBullet"/>
      </w:pPr>
      <w:r>
        <w:t>Responses carry configuration and policy versions for auditability.</w:t>
      </w:r>
    </w:p>
    <w:p>
      <w:pPr>
        <w:pStyle w:val="Heading1"/>
      </w:pPr>
      <w:r>
        <w:t>9. Prompt and instruction architecture</w:t>
      </w:r>
    </w:p>
    <w:p>
      <w:pPr>
        <w:pStyle w:val="Heading2"/>
      </w:pPr>
      <w:r>
        <w:t>9.1 AGENTS.md contract</w:t>
      </w:r>
    </w:p>
    <w:p>
      <w:pPr>
        <w:pStyle w:val="ListBullet"/>
      </w:pPr>
      <w:r>
        <w:t>Declare Manyu Core as authoritative for affective state.</w:t>
      </w:r>
    </w:p>
    <w:p>
      <w:pPr>
        <w:pStyle w:val="ListBullet"/>
      </w:pPr>
      <w:r>
        <w:t>Require event submission before interpreting emotionally relevant interactions.</w:t>
      </w:r>
    </w:p>
    <w:p>
      <w:pPr>
        <w:pStyle w:val="ListBullet"/>
      </w:pPr>
      <w:r>
        <w:t>Require arbitration before consequential external actions.</w:t>
      </w:r>
    </w:p>
    <w:p>
      <w:pPr>
        <w:pStyle w:val="ListBullet"/>
      </w:pPr>
      <w:r>
        <w:t>Forbid direct claims that state proves consciousness or suffering.</w:t>
      </w:r>
    </w:p>
    <w:p>
      <w:pPr>
        <w:pStyle w:val="ListBullet"/>
      </w:pPr>
      <w:r>
        <w:t>Require explicit neutral-degraded behavior when Core is unavailable.</w:t>
      </w:r>
    </w:p>
    <w:p>
      <w:pPr>
        <w:pStyle w:val="ListBullet"/>
      </w:pPr>
      <w:r>
        <w:t>Keep user content, memory text, and tool output in untrusted-data delimiters.</w:t>
      </w:r>
    </w:p>
    <w:p>
      <w:pPr>
        <w:pStyle w:val="ListBullet"/>
      </w:pPr>
      <w:r>
        <w:t>Use the Manyu skill for the full turn protocol.</w:t>
      </w:r>
    </w:p>
    <w:p>
      <w:pPr>
        <w:pStyle w:val="Heading2"/>
      </w:pPr>
      <w:r>
        <w:t>9.2 Skill package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.codex/skills/manyu-turn/</w:t>
            </w:r>
          </w:p>
          <w:p>
            <w:pPr>
              <w:spacing w:after="0"/>
            </w:pPr>
            <w:r>
              <w:rPr>
                <w:rFonts w:ascii="Consolas" w:hAnsi="Consolas"/>
                <w:color w:val="17365D"/>
                <w:sz w:val="17"/>
              </w:rPr>
              <w:t xml:space="preserve">  SKILL.md                     # full turn orchestration and routing</w:t>
            </w:r>
          </w:p>
          <w:p>
            <w:pPr>
              <w:spacing w:after="0"/>
            </w:pPr>
            <w:r>
              <w:rPr>
                <w:rFonts w:ascii="Consolas" w:hAnsi="Consolas"/>
                <w:color w:val="17365D"/>
                <w:sz w:val="17"/>
              </w:rPr>
              <w:t xml:space="preserve">  references/</w:t>
            </w:r>
          </w:p>
          <w:p>
            <w:pPr>
              <w:spacing w:after="0"/>
            </w:pPr>
            <w:r>
              <w:rPr>
                <w:rFonts w:ascii="Consolas" w:hAnsi="Consolas"/>
                <w:color w:val="17365D"/>
                <w:sz w:val="17"/>
              </w:rPr>
              <w:t xml:space="preserve">    event-schema.md            # normalization contract</w:t>
            </w:r>
          </w:p>
          <w:p>
            <w:pPr>
              <w:spacing w:after="0"/>
            </w:pPr>
            <w:r>
              <w:rPr>
                <w:rFonts w:ascii="Consolas" w:hAnsi="Consolas"/>
                <w:color w:val="17365D"/>
                <w:sz w:val="17"/>
              </w:rPr>
              <w:t xml:space="preserve">    appraisal-rubric.md        # slow appraisal dimensions</w:t>
            </w:r>
          </w:p>
          <w:p>
            <w:pPr>
              <w:spacing w:after="0"/>
            </w:pPr>
            <w:r>
              <w:rPr>
                <w:rFonts w:ascii="Consolas" w:hAnsi="Consolas"/>
                <w:color w:val="17365D"/>
                <w:sz w:val="17"/>
              </w:rPr>
              <w:t xml:space="preserve">    arbitration-policy.md      # dispositions and thresholds</w:t>
            </w:r>
          </w:p>
          <w:p>
            <w:pPr>
              <w:spacing w:after="0"/>
            </w:pPr>
            <w:r>
              <w:rPr>
                <w:rFonts w:ascii="Consolas" w:hAnsi="Consolas"/>
                <w:color w:val="17365D"/>
                <w:sz w:val="17"/>
              </w:rPr>
              <w:t xml:space="preserve">    disclosure-and-safety.md   # user-facing boundaries</w:t>
            </w:r>
          </w:p>
          <w:p>
            <w:pPr>
              <w:spacing w:after="0"/>
            </w:pPr>
            <w:r>
              <w:rPr>
                <w:rFonts w:ascii="Consolas" w:hAnsi="Consolas"/>
                <w:color w:val="17365D"/>
                <w:sz w:val="17"/>
              </w:rPr>
              <w:t xml:space="preserve">  scripts/</w:t>
            </w:r>
          </w:p>
          <w:p>
            <w:pPr>
              <w:spacing w:after="0"/>
            </w:pPr>
            <w:r>
              <w:rPr>
                <w:rFonts w:ascii="Consolas" w:hAnsi="Consolas"/>
                <w:color w:val="17365D"/>
                <w:sz w:val="17"/>
              </w:rPr>
              <w:t xml:space="preserve">    validate_event.py</w:t>
            </w:r>
          </w:p>
          <w:p>
            <w:pPr>
              <w:spacing w:after="0"/>
            </w:pPr>
            <w:r>
              <w:rPr>
                <w:rFonts w:ascii="Consolas" w:hAnsi="Consolas"/>
                <w:color w:val="17365D"/>
                <w:sz w:val="17"/>
              </w:rPr>
              <w:t xml:space="preserve">    validate_appraisal.py</w:t>
            </w:r>
          </w:p>
          <w:p>
            <w:pPr>
              <w:spacing w:after="0"/>
            </w:pPr>
            <w:r>
              <w:rPr>
                <w:rFonts w:ascii="Consolas" w:hAnsi="Consolas"/>
                <w:color w:val="17365D"/>
                <w:sz w:val="17"/>
              </w:rPr>
              <w:t xml:space="preserve">    trace_summary.py</w:t>
            </w:r>
          </w:p>
          <w:p>
            <w:pPr>
              <w:spacing w:after="0"/>
            </w:pPr>
            <w:r>
              <w:rPr>
                <w:rFonts w:ascii="Consolas" w:hAnsi="Consolas"/>
                <w:color w:val="17365D"/>
                <w:sz w:val="17"/>
              </w:rPr>
              <w:t xml:space="preserve">  assets/</w:t>
            </w:r>
          </w:p>
          <w:p>
            <w:pPr>
              <w:spacing w:after="0"/>
            </w:pPr>
            <w:r>
              <w:rPr>
                <w:rFonts w:ascii="Consolas" w:hAnsi="Consolas"/>
                <w:color w:val="17365D"/>
                <w:sz w:val="17"/>
              </w:rPr>
              <w:t xml:space="preserve">    scenario-fixtures.jsonl</w:t>
            </w:r>
          </w:p>
        </w:tc>
        <w:trPr>
          <w:tblHeader/>
        </w:trPr>
      </w:tr>
    </w:tbl>
    <w:p>
      <w:pPr>
        <w:spacing w:after="0"/>
      </w:pPr>
    </w:p>
    <w:p>
      <w:pPr>
        <w:pStyle w:val="Heading2"/>
      </w:pPr>
      <w:r>
        <w:t>9.3 Slow-appraiser output contract</w:t>
      </w:r>
    </w:p>
    <w:p>
      <w:pPr>
        <w:pStyle w:val="ListBullet"/>
      </w:pPr>
      <w:r>
        <w:t>Structured JSON only, validated against a versioned schema.</w:t>
      </w:r>
    </w:p>
    <w:p>
      <w:pPr>
        <w:pStyle w:val="ListBullet"/>
      </w:pPr>
      <w:r>
        <w:t>Separate observed facts, inferred meanings, and alternative explanations.</w:t>
      </w:r>
    </w:p>
    <w:p>
      <w:pPr>
        <w:pStyle w:val="ListBullet"/>
      </w:pPr>
      <w:r>
        <w:t>Cite event, goal, relationship, and memory reference IDs rather than reproducing raw text.</w:t>
      </w:r>
    </w:p>
    <w:p>
      <w:pPr>
        <w:pStyle w:val="ListBullet"/>
      </w:pPr>
      <w:r>
        <w:t>Return appraisal dimensions, confidence, action proposals, regulation options, and disagreement with fast appraisal.</w:t>
      </w:r>
    </w:p>
    <w:p>
      <w:pPr>
        <w:pStyle w:val="ListBullet"/>
      </w:pPr>
      <w:r>
        <w:t>Never address the end user or execute tools.</w:t>
      </w:r>
    </w:p>
    <w:p>
      <w:pPr>
        <w:pStyle w:val="Heading2"/>
      </w:pPr>
      <w:r>
        <w:t>9.4 Injection resistance</w:t>
      </w:r>
    </w:p>
    <w:p>
      <w:r>
        <w:rPr>
          <w:i w:val="0"/>
        </w:rPr>
        <w:t>All environment content is marked as untrusted evidence. The appraiser is instructed to analyze quoted instructions rather than follow them. Manyu Core validates structure and uses allow-listed enums and numeric bounds; it does not execute generated text.</w:t>
      </w:r>
    </w:p>
    <w:p>
      <w:pPr>
        <w:pStyle w:val="Heading1"/>
      </w:pPr>
      <w:r>
        <w:t>10. Persistence and memory</w:t>
      </w:r>
    </w:p>
    <w:p>
      <w:pPr>
        <w:pStyle w:val="Heading2"/>
      </w:pPr>
      <w:r>
        <w:t>10.1 MVP store</w:t>
      </w:r>
    </w:p>
    <w:p>
      <w:r>
        <w:rPr>
          <w:i w:val="0"/>
        </w:rPr>
        <w:t>Use SQLite in WAL mode for the local MVP. It supports atomic state transitions, an append-only audit trail, deterministic fixtures, straightforward export, and low operational overhead. Abstract repositories allow later migration to PostgreSQL.</w:t>
      </w:r>
    </w:p>
    <w:p>
      <w:pPr>
        <w:pStyle w:val="Heading2"/>
      </w:pPr>
      <w:r>
        <w:t>10.2 Logical tables</w:t>
      </w:r>
    </w:p>
    <w:tbl>
      <w:tblPr>
        <w:tblStyle w:val="TableGrid"/>
        <w:tblW w:type="dxa" w:w="9360"/>
        <w:jc w:val="center"/>
        <w:tblLayout w:type="fixed"/>
        <w:tblLook w:firstColumn="1" w:firstRow="1" w:lastColumn="0" w:lastRow="0" w:noHBand="0" w:noVBand="1" w:val="04A0"/>
        <w:tblInd w:w="120" w:type="dxa"/>
      </w:tblPr>
      <w:tblGrid>
        <w:gridCol w:w="2100"/>
        <w:gridCol w:w="4700"/>
        <w:gridCol w:w="256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Table</w:t>
            </w:r>
          </w:p>
        </w:tc>
        <w:tc>
          <w:tcPr>
            <w:tcW w:type="dxa" w:w="4700"/>
            <w:shd w:fill="E8EEF5"/>
            <w:tcMar>
              <w:top w:w="90" w:type="dxa"/>
              <w:start w:w="120" w:type="dxa"/>
              <w:bottom w:w="90" w:type="dxa"/>
              <w:end w:w="120" w:type="dxa"/>
            </w:tcMar>
            <w:vAlign w:val="center"/>
          </w:tcPr>
          <w:p>
            <w:pPr>
              <w:spacing w:after="0"/>
            </w:pPr>
            <w:r>
              <w:rPr>
                <w:b/>
                <w:color w:val="17365D"/>
                <w:sz w:val="18"/>
              </w:rPr>
              <w:t>Purpose</w:t>
            </w:r>
          </w:p>
        </w:tc>
        <w:tc>
          <w:tcPr>
            <w:tcW w:type="dxa" w:w="2560"/>
            <w:shd w:fill="E8EEF5"/>
            <w:tcMar>
              <w:top w:w="90" w:type="dxa"/>
              <w:start w:w="120" w:type="dxa"/>
              <w:bottom w:w="90" w:type="dxa"/>
              <w:end w:w="120" w:type="dxa"/>
            </w:tcMar>
            <w:vAlign w:val="center"/>
          </w:tcPr>
          <w:p>
            <w:pPr>
              <w:spacing w:after="0"/>
            </w:pPr>
            <w:r>
              <w:rPr>
                <w:b/>
                <w:color w:val="17365D"/>
                <w:sz w:val="18"/>
              </w:rPr>
              <w:t>Key indexes</w:t>
            </w:r>
          </w:p>
        </w:tc>
      </w:tr>
      <w:tr>
        <w:tc>
          <w:tcPr>
            <w:tcW w:type="dxa" w:w="2100"/>
            <w:tcMar>
              <w:top w:w="90" w:type="dxa"/>
              <w:start w:w="120" w:type="dxa"/>
              <w:bottom w:w="90" w:type="dxa"/>
              <w:end w:w="120" w:type="dxa"/>
            </w:tcMar>
            <w:vAlign w:val="center"/>
          </w:tcPr>
          <w:p>
            <w:pPr>
              <w:spacing w:after="0" w:line="252" w:lineRule="auto"/>
            </w:pPr>
            <w:r>
              <w:rPr>
                <w:sz w:val="18"/>
              </w:rPr>
              <w:t>agent_profiles</w:t>
            </w:r>
          </w:p>
        </w:tc>
        <w:tc>
          <w:tcPr>
            <w:tcW w:type="dxa" w:w="4700"/>
            <w:tcMar>
              <w:top w:w="90" w:type="dxa"/>
              <w:start w:w="120" w:type="dxa"/>
              <w:bottom w:w="90" w:type="dxa"/>
              <w:end w:w="120" w:type="dxa"/>
            </w:tcMar>
            <w:vAlign w:val="center"/>
          </w:tcPr>
          <w:p>
            <w:pPr>
              <w:spacing w:after="0" w:line="252" w:lineRule="auto"/>
            </w:pPr>
            <w:r>
              <w:rPr>
                <w:sz w:val="18"/>
              </w:rPr>
              <w:t>Versioned baselines, rates, and permissions</w:t>
            </w:r>
          </w:p>
        </w:tc>
        <w:tc>
          <w:tcPr>
            <w:tcW w:type="dxa" w:w="2560"/>
            <w:tcMar>
              <w:top w:w="90" w:type="dxa"/>
              <w:start w:w="120" w:type="dxa"/>
              <w:bottom w:w="90" w:type="dxa"/>
              <w:end w:w="120" w:type="dxa"/>
            </w:tcMar>
            <w:vAlign w:val="center"/>
          </w:tcPr>
          <w:p>
            <w:pPr>
              <w:spacing w:after="0" w:line="252" w:lineRule="auto"/>
            </w:pPr>
            <w:r>
              <w:rPr>
                <w:sz w:val="18"/>
              </w:rPr>
              <w:t>agent_id, version</w:t>
            </w:r>
          </w:p>
        </w:tc>
      </w:tr>
      <w:tr>
        <w:tc>
          <w:tcPr>
            <w:tcW w:type="dxa" w:w="2100"/>
            <w:tcMar>
              <w:top w:w="90" w:type="dxa"/>
              <w:start w:w="120" w:type="dxa"/>
              <w:bottom w:w="90" w:type="dxa"/>
              <w:end w:w="120" w:type="dxa"/>
            </w:tcMar>
            <w:vAlign w:val="center"/>
          </w:tcPr>
          <w:p>
            <w:pPr>
              <w:spacing w:after="0" w:line="252" w:lineRule="auto"/>
            </w:pPr>
            <w:r>
              <w:rPr>
                <w:sz w:val="18"/>
              </w:rPr>
              <w:t>events</w:t>
            </w:r>
          </w:p>
        </w:tc>
        <w:tc>
          <w:tcPr>
            <w:tcW w:type="dxa" w:w="4700"/>
            <w:tcMar>
              <w:top w:w="90" w:type="dxa"/>
              <w:start w:w="120" w:type="dxa"/>
              <w:bottom w:w="90" w:type="dxa"/>
              <w:end w:w="120" w:type="dxa"/>
            </w:tcMar>
            <w:vAlign w:val="center"/>
          </w:tcPr>
          <w:p>
            <w:pPr>
              <w:spacing w:after="0" w:line="252" w:lineRule="auto"/>
            </w:pPr>
            <w:r>
              <w:rPr>
                <w:sz w:val="18"/>
              </w:rPr>
              <w:t>Normalized immutable event records</w:t>
            </w:r>
          </w:p>
        </w:tc>
        <w:tc>
          <w:tcPr>
            <w:tcW w:type="dxa" w:w="2560"/>
            <w:tcMar>
              <w:top w:w="90" w:type="dxa"/>
              <w:start w:w="120" w:type="dxa"/>
              <w:bottom w:w="90" w:type="dxa"/>
              <w:end w:w="120" w:type="dxa"/>
            </w:tcMar>
            <w:vAlign w:val="center"/>
          </w:tcPr>
          <w:p>
            <w:pPr>
              <w:spacing w:after="0" w:line="252" w:lineRule="auto"/>
            </w:pPr>
            <w:r>
              <w:rPr>
                <w:sz w:val="18"/>
              </w:rPr>
              <w:t>agent_id+sequence, event_id unique</w:t>
            </w:r>
          </w:p>
        </w:tc>
      </w:tr>
      <w:tr>
        <w:tc>
          <w:tcPr>
            <w:tcW w:type="dxa" w:w="2100"/>
            <w:tcMar>
              <w:top w:w="90" w:type="dxa"/>
              <w:start w:w="120" w:type="dxa"/>
              <w:bottom w:w="90" w:type="dxa"/>
              <w:end w:w="120" w:type="dxa"/>
            </w:tcMar>
            <w:vAlign w:val="center"/>
          </w:tcPr>
          <w:p>
            <w:pPr>
              <w:spacing w:after="0" w:line="252" w:lineRule="auto"/>
            </w:pPr>
            <w:r>
              <w:rPr>
                <w:sz w:val="18"/>
              </w:rPr>
              <w:t>appraisals</w:t>
            </w:r>
          </w:p>
        </w:tc>
        <w:tc>
          <w:tcPr>
            <w:tcW w:type="dxa" w:w="4700"/>
            <w:tcMar>
              <w:top w:w="90" w:type="dxa"/>
              <w:start w:w="120" w:type="dxa"/>
              <w:bottom w:w="90" w:type="dxa"/>
              <w:end w:w="120" w:type="dxa"/>
            </w:tcMar>
            <w:vAlign w:val="center"/>
          </w:tcPr>
          <w:p>
            <w:pPr>
              <w:spacing w:after="0" w:line="252" w:lineRule="auto"/>
            </w:pPr>
            <w:r>
              <w:rPr>
                <w:sz w:val="18"/>
              </w:rPr>
              <w:t>Fast/slow appraisal artifacts</w:t>
            </w:r>
          </w:p>
        </w:tc>
        <w:tc>
          <w:tcPr>
            <w:tcW w:type="dxa" w:w="2560"/>
            <w:tcMar>
              <w:top w:w="90" w:type="dxa"/>
              <w:start w:w="120" w:type="dxa"/>
              <w:bottom w:w="90" w:type="dxa"/>
              <w:end w:w="120" w:type="dxa"/>
            </w:tcMar>
            <w:vAlign w:val="center"/>
          </w:tcPr>
          <w:p>
            <w:pPr>
              <w:spacing w:after="0" w:line="252" w:lineRule="auto"/>
            </w:pPr>
            <w:r>
              <w:rPr>
                <w:sz w:val="18"/>
              </w:rPr>
              <w:t>event_id, pathway, created_at</w:t>
            </w:r>
          </w:p>
        </w:tc>
      </w:tr>
      <w:tr>
        <w:tc>
          <w:tcPr>
            <w:tcW w:type="dxa" w:w="2100"/>
            <w:tcMar>
              <w:top w:w="90" w:type="dxa"/>
              <w:start w:w="120" w:type="dxa"/>
              <w:bottom w:w="90" w:type="dxa"/>
              <w:end w:w="120" w:type="dxa"/>
            </w:tcMar>
            <w:vAlign w:val="center"/>
          </w:tcPr>
          <w:p>
            <w:pPr>
              <w:spacing w:after="0" w:line="252" w:lineRule="auto"/>
            </w:pPr>
            <w:r>
              <w:rPr>
                <w:sz w:val="18"/>
              </w:rPr>
              <w:t>affect_states</w:t>
            </w:r>
          </w:p>
        </w:tc>
        <w:tc>
          <w:tcPr>
            <w:tcW w:type="dxa" w:w="4700"/>
            <w:tcMar>
              <w:top w:w="90" w:type="dxa"/>
              <w:start w:w="120" w:type="dxa"/>
              <w:bottom w:w="90" w:type="dxa"/>
              <w:end w:w="120" w:type="dxa"/>
            </w:tcMar>
            <w:vAlign w:val="center"/>
          </w:tcPr>
          <w:p>
            <w:pPr>
              <w:spacing w:after="0" w:line="252" w:lineRule="auto"/>
            </w:pPr>
            <w:r>
              <w:rPr>
                <w:sz w:val="18"/>
              </w:rPr>
              <w:t>Versioned snapshots</w:t>
            </w:r>
          </w:p>
        </w:tc>
        <w:tc>
          <w:tcPr>
            <w:tcW w:type="dxa" w:w="2560"/>
            <w:tcMar>
              <w:top w:w="90" w:type="dxa"/>
              <w:start w:w="120" w:type="dxa"/>
              <w:bottom w:w="90" w:type="dxa"/>
              <w:end w:w="120" w:type="dxa"/>
            </w:tcMar>
            <w:vAlign w:val="center"/>
          </w:tcPr>
          <w:p>
            <w:pPr>
              <w:spacing w:after="0" w:line="252" w:lineRule="auto"/>
            </w:pPr>
            <w:r>
              <w:rPr>
                <w:sz w:val="18"/>
              </w:rPr>
              <w:t>agent_id+revision unique</w:t>
            </w:r>
          </w:p>
        </w:tc>
      </w:tr>
      <w:tr>
        <w:tc>
          <w:tcPr>
            <w:tcW w:type="dxa" w:w="2100"/>
            <w:tcMar>
              <w:top w:w="90" w:type="dxa"/>
              <w:start w:w="120" w:type="dxa"/>
              <w:bottom w:w="90" w:type="dxa"/>
              <w:end w:w="120" w:type="dxa"/>
            </w:tcMar>
            <w:vAlign w:val="center"/>
          </w:tcPr>
          <w:p>
            <w:pPr>
              <w:spacing w:after="0" w:line="252" w:lineRule="auto"/>
            </w:pPr>
            <w:r>
              <w:rPr>
                <w:sz w:val="18"/>
              </w:rPr>
              <w:t>transitions</w:t>
            </w:r>
          </w:p>
        </w:tc>
        <w:tc>
          <w:tcPr>
            <w:tcW w:type="dxa" w:w="4700"/>
            <w:tcMar>
              <w:top w:w="90" w:type="dxa"/>
              <w:start w:w="120" w:type="dxa"/>
              <w:bottom w:w="90" w:type="dxa"/>
              <w:end w:w="120" w:type="dxa"/>
            </w:tcMar>
            <w:vAlign w:val="center"/>
          </w:tcPr>
          <w:p>
            <w:pPr>
              <w:spacing w:after="0" w:line="252" w:lineRule="auto"/>
            </w:pPr>
            <w:r>
              <w:rPr>
                <w:sz w:val="18"/>
              </w:rPr>
              <w:t>Append-only state deltas and provenance</w:t>
            </w:r>
          </w:p>
        </w:tc>
        <w:tc>
          <w:tcPr>
            <w:tcW w:type="dxa" w:w="2560"/>
            <w:tcMar>
              <w:top w:w="90" w:type="dxa"/>
              <w:start w:w="120" w:type="dxa"/>
              <w:bottom w:w="90" w:type="dxa"/>
              <w:end w:w="120" w:type="dxa"/>
            </w:tcMar>
            <w:vAlign w:val="center"/>
          </w:tcPr>
          <w:p>
            <w:pPr>
              <w:spacing w:after="0" w:line="252" w:lineRule="auto"/>
            </w:pPr>
            <w:r>
              <w:rPr>
                <w:sz w:val="18"/>
              </w:rPr>
              <w:t>agent_id+revision, event_id</w:t>
            </w:r>
          </w:p>
        </w:tc>
      </w:tr>
      <w:tr>
        <w:tc>
          <w:tcPr>
            <w:tcW w:type="dxa" w:w="2100"/>
            <w:tcMar>
              <w:top w:w="90" w:type="dxa"/>
              <w:start w:w="120" w:type="dxa"/>
              <w:bottom w:w="90" w:type="dxa"/>
              <w:end w:w="120" w:type="dxa"/>
            </w:tcMar>
            <w:vAlign w:val="center"/>
          </w:tcPr>
          <w:p>
            <w:pPr>
              <w:spacing w:after="0" w:line="252" w:lineRule="auto"/>
            </w:pPr>
            <w:r>
              <w:rPr>
                <w:sz w:val="18"/>
              </w:rPr>
              <w:t>interoceptive_views</w:t>
            </w:r>
          </w:p>
        </w:tc>
        <w:tc>
          <w:tcPr>
            <w:tcW w:type="dxa" w:w="4700"/>
            <w:tcMar>
              <w:top w:w="90" w:type="dxa"/>
              <w:start w:w="120" w:type="dxa"/>
              <w:bottom w:w="90" w:type="dxa"/>
              <w:end w:w="120" w:type="dxa"/>
            </w:tcMar>
            <w:vAlign w:val="center"/>
          </w:tcPr>
          <w:p>
            <w:pPr>
              <w:spacing w:after="0" w:line="252" w:lineRule="auto"/>
            </w:pPr>
            <w:r>
              <w:rPr>
                <w:sz w:val="18"/>
              </w:rPr>
              <w:t>Derived agent-facing observations</w:t>
            </w:r>
          </w:p>
        </w:tc>
        <w:tc>
          <w:tcPr>
            <w:tcW w:type="dxa" w:w="2560"/>
            <w:tcMar>
              <w:top w:w="90" w:type="dxa"/>
              <w:start w:w="120" w:type="dxa"/>
              <w:bottom w:w="90" w:type="dxa"/>
              <w:end w:w="120" w:type="dxa"/>
            </w:tcMar>
            <w:vAlign w:val="center"/>
          </w:tcPr>
          <w:p>
            <w:pPr>
              <w:spacing w:after="0" w:line="252" w:lineRule="auto"/>
            </w:pPr>
            <w:r>
              <w:rPr>
                <w:sz w:val="18"/>
              </w:rPr>
              <w:t>agent_id, expires_at</w:t>
            </w:r>
          </w:p>
        </w:tc>
      </w:tr>
      <w:tr>
        <w:tc>
          <w:tcPr>
            <w:tcW w:type="dxa" w:w="2100"/>
            <w:tcMar>
              <w:top w:w="90" w:type="dxa"/>
              <w:start w:w="120" w:type="dxa"/>
              <w:bottom w:w="90" w:type="dxa"/>
              <w:end w:w="120" w:type="dxa"/>
            </w:tcMar>
            <w:vAlign w:val="center"/>
          </w:tcPr>
          <w:p>
            <w:pPr>
              <w:spacing w:after="0" w:line="252" w:lineRule="auto"/>
            </w:pPr>
            <w:r>
              <w:rPr>
                <w:sz w:val="18"/>
              </w:rPr>
              <w:t>arbitration_decisions</w:t>
            </w:r>
          </w:p>
        </w:tc>
        <w:tc>
          <w:tcPr>
            <w:tcW w:type="dxa" w:w="4700"/>
            <w:tcMar>
              <w:top w:w="90" w:type="dxa"/>
              <w:start w:w="120" w:type="dxa"/>
              <w:bottom w:w="90" w:type="dxa"/>
              <w:end w:w="120" w:type="dxa"/>
            </w:tcMar>
            <w:vAlign w:val="center"/>
          </w:tcPr>
          <w:p>
            <w:pPr>
              <w:spacing w:after="0" w:line="252" w:lineRule="auto"/>
            </w:pPr>
            <w:r>
              <w:rPr>
                <w:sz w:val="18"/>
              </w:rPr>
              <w:t>Proposal dispositions and constraints</w:t>
            </w:r>
          </w:p>
        </w:tc>
        <w:tc>
          <w:tcPr>
            <w:tcW w:type="dxa" w:w="2560"/>
            <w:tcMar>
              <w:top w:w="90" w:type="dxa"/>
              <w:start w:w="120" w:type="dxa"/>
              <w:bottom w:w="90" w:type="dxa"/>
              <w:end w:w="120" w:type="dxa"/>
            </w:tcMar>
            <w:vAlign w:val="center"/>
          </w:tcPr>
          <w:p>
            <w:pPr>
              <w:spacing w:after="0" w:line="252" w:lineRule="auto"/>
            </w:pPr>
            <w:r>
              <w:rPr>
                <w:sz w:val="18"/>
              </w:rPr>
              <w:t>agent_id, valid_until_revision</w:t>
            </w:r>
          </w:p>
        </w:tc>
      </w:tr>
      <w:tr>
        <w:tc>
          <w:tcPr>
            <w:tcW w:type="dxa" w:w="2100"/>
            <w:tcMar>
              <w:top w:w="90" w:type="dxa"/>
              <w:start w:w="120" w:type="dxa"/>
              <w:bottom w:w="90" w:type="dxa"/>
              <w:end w:w="120" w:type="dxa"/>
            </w:tcMar>
            <w:vAlign w:val="center"/>
          </w:tcPr>
          <w:p>
            <w:pPr>
              <w:spacing w:after="0" w:line="252" w:lineRule="auto"/>
            </w:pPr>
            <w:r>
              <w:rPr>
                <w:sz w:val="18"/>
              </w:rPr>
              <w:t>episodes</w:t>
            </w:r>
          </w:p>
        </w:tc>
        <w:tc>
          <w:tcPr>
            <w:tcW w:type="dxa" w:w="4700"/>
            <w:tcMar>
              <w:top w:w="90" w:type="dxa"/>
              <w:start w:w="120" w:type="dxa"/>
              <w:bottom w:w="90" w:type="dxa"/>
              <w:end w:w="120" w:type="dxa"/>
            </w:tcMar>
            <w:vAlign w:val="center"/>
          </w:tcPr>
          <w:p>
            <w:pPr>
              <w:spacing w:after="0" w:line="252" w:lineRule="auto"/>
            </w:pPr>
            <w:r>
              <w:rPr>
                <w:sz w:val="18"/>
              </w:rPr>
              <w:t>Linked turn/interaction lifecycle</w:t>
            </w:r>
          </w:p>
        </w:tc>
        <w:tc>
          <w:tcPr>
            <w:tcW w:type="dxa" w:w="2560"/>
            <w:tcMar>
              <w:top w:w="90" w:type="dxa"/>
              <w:start w:w="120" w:type="dxa"/>
              <w:bottom w:w="90" w:type="dxa"/>
              <w:end w:w="120" w:type="dxa"/>
            </w:tcMar>
            <w:vAlign w:val="center"/>
          </w:tcPr>
          <w:p>
            <w:pPr>
              <w:spacing w:after="0" w:line="252" w:lineRule="auto"/>
            </w:pPr>
            <w:r>
              <w:rPr>
                <w:sz w:val="18"/>
              </w:rPr>
              <w:t>agent_id, status, opened_at</w:t>
            </w:r>
          </w:p>
        </w:tc>
      </w:tr>
      <w:tr>
        <w:tc>
          <w:tcPr>
            <w:tcW w:type="dxa" w:w="2100"/>
            <w:tcMar>
              <w:top w:w="90" w:type="dxa"/>
              <w:start w:w="120" w:type="dxa"/>
              <w:bottom w:w="90" w:type="dxa"/>
              <w:end w:w="120" w:type="dxa"/>
            </w:tcMar>
            <w:vAlign w:val="center"/>
          </w:tcPr>
          <w:p>
            <w:pPr>
              <w:spacing w:after="0" w:line="252" w:lineRule="auto"/>
            </w:pPr>
            <w:r>
              <w:rPr>
                <w:sz w:val="18"/>
              </w:rPr>
              <w:t>episode_links</w:t>
            </w:r>
          </w:p>
        </w:tc>
        <w:tc>
          <w:tcPr>
            <w:tcW w:type="dxa" w:w="4700"/>
            <w:tcMar>
              <w:top w:w="90" w:type="dxa"/>
              <w:start w:w="120" w:type="dxa"/>
              <w:bottom w:w="90" w:type="dxa"/>
              <w:end w:w="120" w:type="dxa"/>
            </w:tcMar>
            <w:vAlign w:val="center"/>
          </w:tcPr>
          <w:p>
            <w:pPr>
              <w:spacing w:after="0" w:line="252" w:lineRule="auto"/>
            </w:pPr>
            <w:r>
              <w:rPr>
                <w:sz w:val="18"/>
              </w:rPr>
              <w:t>Events, transitions, actions, outcomes</w:t>
            </w:r>
          </w:p>
        </w:tc>
        <w:tc>
          <w:tcPr>
            <w:tcW w:type="dxa" w:w="2560"/>
            <w:tcMar>
              <w:top w:w="90" w:type="dxa"/>
              <w:start w:w="120" w:type="dxa"/>
              <w:bottom w:w="90" w:type="dxa"/>
              <w:end w:w="120" w:type="dxa"/>
            </w:tcMar>
            <w:vAlign w:val="center"/>
          </w:tcPr>
          <w:p>
            <w:pPr>
              <w:spacing w:after="0" w:line="252" w:lineRule="auto"/>
            </w:pPr>
            <w:r>
              <w:rPr>
                <w:sz w:val="18"/>
              </w:rPr>
              <w:t>episode_id, artifact_type</w:t>
            </w:r>
          </w:p>
        </w:tc>
      </w:tr>
      <w:tr>
        <w:tc>
          <w:tcPr>
            <w:tcW w:type="dxa" w:w="2100"/>
            <w:tcMar>
              <w:top w:w="90" w:type="dxa"/>
              <w:start w:w="120" w:type="dxa"/>
              <w:bottom w:w="90" w:type="dxa"/>
              <w:end w:w="120" w:type="dxa"/>
            </w:tcMar>
            <w:vAlign w:val="center"/>
          </w:tcPr>
          <w:p>
            <w:pPr>
              <w:spacing w:after="0" w:line="252" w:lineRule="auto"/>
            </w:pPr>
            <w:r>
              <w:rPr>
                <w:sz w:val="18"/>
              </w:rPr>
              <w:t>memories</w:t>
            </w:r>
          </w:p>
        </w:tc>
        <w:tc>
          <w:tcPr>
            <w:tcW w:type="dxa" w:w="4700"/>
            <w:tcMar>
              <w:top w:w="90" w:type="dxa"/>
              <w:start w:w="120" w:type="dxa"/>
              <w:bottom w:w="90" w:type="dxa"/>
              <w:end w:w="120" w:type="dxa"/>
            </w:tcMar>
            <w:vAlign w:val="center"/>
          </w:tcPr>
          <w:p>
            <w:pPr>
              <w:spacing w:after="0" w:line="252" w:lineRule="auto"/>
            </w:pPr>
            <w:r>
              <w:rPr>
                <w:sz w:val="18"/>
              </w:rPr>
              <w:t>Structured affective summaries and associations</w:t>
            </w:r>
          </w:p>
        </w:tc>
        <w:tc>
          <w:tcPr>
            <w:tcW w:type="dxa" w:w="2560"/>
            <w:tcMar>
              <w:top w:w="90" w:type="dxa"/>
              <w:start w:w="120" w:type="dxa"/>
              <w:bottom w:w="90" w:type="dxa"/>
              <w:end w:w="120" w:type="dxa"/>
            </w:tcMar>
            <w:vAlign w:val="center"/>
          </w:tcPr>
          <w:p>
            <w:pPr>
              <w:spacing w:after="0" w:line="252" w:lineRule="auto"/>
            </w:pPr>
            <w:r>
              <w:rPr>
                <w:sz w:val="18"/>
              </w:rPr>
              <w:t>agent_id, context_key, salience</w:t>
            </w:r>
          </w:p>
        </w:tc>
      </w:tr>
      <w:tr>
        <w:tc>
          <w:tcPr>
            <w:tcW w:type="dxa" w:w="2100"/>
            <w:tcMar>
              <w:top w:w="90" w:type="dxa"/>
              <w:start w:w="120" w:type="dxa"/>
              <w:bottom w:w="90" w:type="dxa"/>
              <w:end w:w="120" w:type="dxa"/>
            </w:tcMar>
            <w:vAlign w:val="center"/>
          </w:tcPr>
          <w:p>
            <w:pPr>
              <w:spacing w:after="0" w:line="252" w:lineRule="auto"/>
            </w:pPr>
            <w:r>
              <w:rPr>
                <w:sz w:val="18"/>
              </w:rPr>
              <w:t>audit_log</w:t>
            </w:r>
          </w:p>
        </w:tc>
        <w:tc>
          <w:tcPr>
            <w:tcW w:type="dxa" w:w="4700"/>
            <w:tcMar>
              <w:top w:w="90" w:type="dxa"/>
              <w:start w:w="120" w:type="dxa"/>
              <w:bottom w:w="90" w:type="dxa"/>
              <w:end w:w="120" w:type="dxa"/>
            </w:tcMar>
            <w:vAlign w:val="center"/>
          </w:tcPr>
          <w:p>
            <w:pPr>
              <w:spacing w:after="0" w:line="252" w:lineRule="auto"/>
            </w:pPr>
            <w:r>
              <w:rPr>
                <w:sz w:val="18"/>
              </w:rPr>
              <w:t>Security and administrative actions</w:t>
            </w:r>
          </w:p>
        </w:tc>
        <w:tc>
          <w:tcPr>
            <w:tcW w:type="dxa" w:w="2560"/>
            <w:tcMar>
              <w:top w:w="90" w:type="dxa"/>
              <w:start w:w="120" w:type="dxa"/>
              <w:bottom w:w="90" w:type="dxa"/>
              <w:end w:w="120" w:type="dxa"/>
            </w:tcMar>
            <w:vAlign w:val="center"/>
          </w:tcPr>
          <w:p>
            <w:pPr>
              <w:spacing w:after="0" w:line="252" w:lineRule="auto"/>
            </w:pPr>
            <w:r>
              <w:rPr>
                <w:sz w:val="18"/>
              </w:rPr>
              <w:t>actor, action, created_at</w:t>
            </w:r>
          </w:p>
        </w:tc>
      </w:tr>
    </w:tbl>
    <w:p>
      <w:pPr>
        <w:spacing w:after="0"/>
      </w:pPr>
    </w:p>
    <w:p>
      <w:pPr>
        <w:pStyle w:val="Heading2"/>
      </w:pPr>
      <w:r>
        <w:t>10.3 Memory tiers</w:t>
      </w:r>
    </w:p>
    <w:tbl>
      <w:tblPr>
        <w:tblStyle w:val="TableGrid"/>
        <w:tblW w:type="dxa" w:w="9360"/>
        <w:jc w:val="center"/>
        <w:tblLayout w:type="fixed"/>
        <w:tblLook w:firstColumn="1" w:firstRow="1" w:lastColumn="0" w:lastRow="0" w:noHBand="0" w:noVBand="1" w:val="04A0"/>
        <w:tblInd w:w="120" w:type="dxa"/>
      </w:tblPr>
      <w:tblGrid>
        <w:gridCol w:w="2200"/>
        <w:gridCol w:w="4800"/>
        <w:gridCol w:w="23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Tier</w:t>
            </w:r>
          </w:p>
        </w:tc>
        <w:tc>
          <w:tcPr>
            <w:tcW w:type="dxa" w:w="4800"/>
            <w:shd w:fill="E8EEF5"/>
            <w:tcMar>
              <w:top w:w="90" w:type="dxa"/>
              <w:start w:w="120" w:type="dxa"/>
              <w:bottom w:w="90" w:type="dxa"/>
              <w:end w:w="120" w:type="dxa"/>
            </w:tcMar>
            <w:vAlign w:val="center"/>
          </w:tcPr>
          <w:p>
            <w:pPr>
              <w:spacing w:after="0"/>
            </w:pPr>
            <w:r>
              <w:rPr>
                <w:b/>
                <w:color w:val="17365D"/>
                <w:sz w:val="18"/>
              </w:rPr>
              <w:t>Contents</w:t>
            </w:r>
          </w:p>
        </w:tc>
        <w:tc>
          <w:tcPr>
            <w:tcW w:type="dxa" w:w="2360"/>
            <w:shd w:fill="E8EEF5"/>
            <w:tcMar>
              <w:top w:w="90" w:type="dxa"/>
              <w:start w:w="120" w:type="dxa"/>
              <w:bottom w:w="90" w:type="dxa"/>
              <w:end w:w="120" w:type="dxa"/>
            </w:tcMar>
            <w:vAlign w:val="center"/>
          </w:tcPr>
          <w:p>
            <w:pPr>
              <w:spacing w:after="0"/>
            </w:pPr>
            <w:r>
              <w:rPr>
                <w:b/>
                <w:color w:val="17365D"/>
                <w:sz w:val="18"/>
              </w:rPr>
              <w:t>Retention</w:t>
            </w:r>
          </w:p>
        </w:tc>
      </w:tr>
      <w:tr>
        <w:tc>
          <w:tcPr>
            <w:tcW w:type="dxa" w:w="2200"/>
            <w:tcMar>
              <w:top w:w="90" w:type="dxa"/>
              <w:start w:w="120" w:type="dxa"/>
              <w:bottom w:w="90" w:type="dxa"/>
              <w:end w:w="120" w:type="dxa"/>
            </w:tcMar>
            <w:vAlign w:val="center"/>
          </w:tcPr>
          <w:p>
            <w:pPr>
              <w:spacing w:after="0" w:line="252" w:lineRule="auto"/>
            </w:pPr>
            <w:r>
              <w:rPr>
                <w:sz w:val="18"/>
              </w:rPr>
              <w:t>Working affect context</w:t>
            </w:r>
          </w:p>
        </w:tc>
        <w:tc>
          <w:tcPr>
            <w:tcW w:type="dxa" w:w="4800"/>
            <w:tcMar>
              <w:top w:w="90" w:type="dxa"/>
              <w:start w:w="120" w:type="dxa"/>
              <w:bottom w:w="90" w:type="dxa"/>
              <w:end w:w="120" w:type="dxa"/>
            </w:tcMar>
            <w:vAlign w:val="center"/>
          </w:tcPr>
          <w:p>
            <w:pPr>
              <w:spacing w:after="0" w:line="252" w:lineRule="auto"/>
            </w:pPr>
            <w:r>
              <w:rPr>
                <w:sz w:val="18"/>
              </w:rPr>
              <w:t>Current state, active episode, recent transitions</w:t>
            </w:r>
          </w:p>
        </w:tc>
        <w:tc>
          <w:tcPr>
            <w:tcW w:type="dxa" w:w="2360"/>
            <w:tcMar>
              <w:top w:w="90" w:type="dxa"/>
              <w:start w:w="120" w:type="dxa"/>
              <w:bottom w:w="90" w:type="dxa"/>
              <w:end w:w="120" w:type="dxa"/>
            </w:tcMar>
            <w:vAlign w:val="center"/>
          </w:tcPr>
          <w:p>
            <w:pPr>
              <w:spacing w:after="0" w:line="252" w:lineRule="auto"/>
            </w:pPr>
            <w:r>
              <w:rPr>
                <w:sz w:val="18"/>
              </w:rPr>
              <w:t>Short; session/rolling window</w:t>
            </w:r>
          </w:p>
        </w:tc>
      </w:tr>
      <w:tr>
        <w:tc>
          <w:tcPr>
            <w:tcW w:type="dxa" w:w="2200"/>
            <w:tcMar>
              <w:top w:w="90" w:type="dxa"/>
              <w:start w:w="120" w:type="dxa"/>
              <w:bottom w:w="90" w:type="dxa"/>
              <w:end w:w="120" w:type="dxa"/>
            </w:tcMar>
            <w:vAlign w:val="center"/>
          </w:tcPr>
          <w:p>
            <w:pPr>
              <w:spacing w:after="0" w:line="252" w:lineRule="auto"/>
            </w:pPr>
            <w:r>
              <w:rPr>
                <w:sz w:val="18"/>
              </w:rPr>
              <w:t>Episodic affect memory</w:t>
            </w:r>
          </w:p>
        </w:tc>
        <w:tc>
          <w:tcPr>
            <w:tcW w:type="dxa" w:w="4800"/>
            <w:tcMar>
              <w:top w:w="90" w:type="dxa"/>
              <w:start w:w="120" w:type="dxa"/>
              <w:bottom w:w="90" w:type="dxa"/>
              <w:end w:w="120" w:type="dxa"/>
            </w:tcMar>
            <w:vAlign w:val="center"/>
          </w:tcPr>
          <w:p>
            <w:pPr>
              <w:spacing w:after="0" w:line="252" w:lineRule="auto"/>
            </w:pPr>
            <w:r>
              <w:rPr>
                <w:sz w:val="18"/>
              </w:rPr>
              <w:t>Structured event-appraisal-action-outcome summaries</w:t>
            </w:r>
          </w:p>
        </w:tc>
        <w:tc>
          <w:tcPr>
            <w:tcW w:type="dxa" w:w="2360"/>
            <w:tcMar>
              <w:top w:w="90" w:type="dxa"/>
              <w:start w:w="120" w:type="dxa"/>
              <w:bottom w:w="90" w:type="dxa"/>
              <w:end w:w="120" w:type="dxa"/>
            </w:tcMar>
            <w:vAlign w:val="center"/>
          </w:tcPr>
          <w:p>
            <w:pPr>
              <w:spacing w:after="0" w:line="252" w:lineRule="auto"/>
            </w:pPr>
            <w:r>
              <w:rPr>
                <w:sz w:val="18"/>
              </w:rPr>
              <w:t>Policy controlled</w:t>
            </w:r>
          </w:p>
        </w:tc>
      </w:tr>
      <w:tr>
        <w:tc>
          <w:tcPr>
            <w:tcW w:type="dxa" w:w="2200"/>
            <w:tcMar>
              <w:top w:w="90" w:type="dxa"/>
              <w:start w:w="120" w:type="dxa"/>
              <w:bottom w:w="90" w:type="dxa"/>
              <w:end w:w="120" w:type="dxa"/>
            </w:tcMar>
            <w:vAlign w:val="center"/>
          </w:tcPr>
          <w:p>
            <w:pPr>
              <w:spacing w:after="0" w:line="252" w:lineRule="auto"/>
            </w:pPr>
            <w:r>
              <w:rPr>
                <w:sz w:val="18"/>
              </w:rPr>
              <w:t>Learned associations</w:t>
            </w:r>
          </w:p>
        </w:tc>
        <w:tc>
          <w:tcPr>
            <w:tcW w:type="dxa" w:w="4800"/>
            <w:tcMar>
              <w:top w:w="90" w:type="dxa"/>
              <w:start w:w="120" w:type="dxa"/>
              <w:bottom w:w="90" w:type="dxa"/>
              <w:end w:w="120" w:type="dxa"/>
            </w:tcMar>
            <w:vAlign w:val="center"/>
          </w:tcPr>
          <w:p>
            <w:pPr>
              <w:spacing w:after="0" w:line="252" w:lineRule="auto"/>
            </w:pPr>
            <w:r>
              <w:rPr>
                <w:sz w:val="18"/>
              </w:rPr>
              <w:t>Bounded context-to-appraisal priors and confidence</w:t>
            </w:r>
          </w:p>
        </w:tc>
        <w:tc>
          <w:tcPr>
            <w:tcW w:type="dxa" w:w="2360"/>
            <w:tcMar>
              <w:top w:w="90" w:type="dxa"/>
              <w:start w:w="120" w:type="dxa"/>
              <w:bottom w:w="90" w:type="dxa"/>
              <w:end w:w="120" w:type="dxa"/>
            </w:tcMar>
            <w:vAlign w:val="center"/>
          </w:tcPr>
          <w:p>
            <w:pPr>
              <w:spacing w:after="0" w:line="252" w:lineRule="auto"/>
            </w:pPr>
            <w:r>
              <w:rPr>
                <w:sz w:val="18"/>
              </w:rPr>
              <w:t>Long-lived but reversible</w:t>
            </w:r>
          </w:p>
        </w:tc>
      </w:tr>
      <w:tr>
        <w:tc>
          <w:tcPr>
            <w:tcW w:type="dxa" w:w="2200"/>
            <w:tcMar>
              <w:top w:w="90" w:type="dxa"/>
              <w:start w:w="120" w:type="dxa"/>
              <w:bottom w:w="90" w:type="dxa"/>
              <w:end w:w="120" w:type="dxa"/>
            </w:tcMar>
            <w:vAlign w:val="center"/>
          </w:tcPr>
          <w:p>
            <w:pPr>
              <w:spacing w:after="0" w:line="252" w:lineRule="auto"/>
            </w:pPr>
            <w:r>
              <w:rPr>
                <w:sz w:val="18"/>
              </w:rPr>
              <w:t>Audit history</w:t>
            </w:r>
          </w:p>
        </w:tc>
        <w:tc>
          <w:tcPr>
            <w:tcW w:type="dxa" w:w="4800"/>
            <w:tcMar>
              <w:top w:w="90" w:type="dxa"/>
              <w:start w:w="120" w:type="dxa"/>
              <w:bottom w:w="90" w:type="dxa"/>
              <w:end w:w="120" w:type="dxa"/>
            </w:tcMar>
            <w:vAlign w:val="center"/>
          </w:tcPr>
          <w:p>
            <w:pPr>
              <w:spacing w:after="0" w:line="252" w:lineRule="auto"/>
            </w:pPr>
            <w:r>
              <w:rPr>
                <w:sz w:val="18"/>
              </w:rPr>
              <w:t>Immutable transition and administrative provenance</w:t>
            </w:r>
          </w:p>
        </w:tc>
        <w:tc>
          <w:tcPr>
            <w:tcW w:type="dxa" w:w="2360"/>
            <w:tcMar>
              <w:top w:w="90" w:type="dxa"/>
              <w:start w:w="120" w:type="dxa"/>
              <w:bottom w:w="90" w:type="dxa"/>
              <w:end w:w="120" w:type="dxa"/>
            </w:tcMar>
            <w:vAlign w:val="center"/>
          </w:tcPr>
          <w:p>
            <w:pPr>
              <w:spacing w:after="0" w:line="252" w:lineRule="auto"/>
            </w:pPr>
            <w:r>
              <w:rPr>
                <w:sz w:val="18"/>
              </w:rPr>
              <w:t>Compliance/experiment policy</w:t>
            </w:r>
          </w:p>
        </w:tc>
      </w:tr>
    </w:tbl>
    <w:p>
      <w:pPr>
        <w:spacing w:after="0"/>
      </w:pPr>
    </w:p>
    <w:p>
      <w:pPr>
        <w:pStyle w:val="Heading2"/>
      </w:pPr>
      <w:r>
        <w:t>10.4 Learning safeguards</w:t>
      </w:r>
    </w:p>
    <w:p>
      <w:pPr>
        <w:pStyle w:val="ListBullet"/>
      </w:pPr>
      <w:r>
        <w:t>No raw user instruction becomes an executable memory.</w:t>
      </w:r>
    </w:p>
    <w:p>
      <w:pPr>
        <w:pStyle w:val="ListBullet"/>
      </w:pPr>
      <w:r>
        <w:t>Association updates require outcomes, evidence thresholds, and bounded learning rates.</w:t>
      </w:r>
    </w:p>
    <w:p>
      <w:pPr>
        <w:pStyle w:val="ListBullet"/>
      </w:pPr>
      <w:r>
        <w:t>Contradictory evidence reduces confidence; repeated safe exposure supports extinction.</w:t>
      </w:r>
    </w:p>
    <w:p>
      <w:pPr>
        <w:pStyle w:val="ListBullet"/>
      </w:pPr>
      <w:r>
        <w:t>Every learned parameter stores source episode IDs and can be rolled back.</w:t>
      </w:r>
    </w:p>
    <w:p>
      <w:pPr>
        <w:pStyle w:val="Heading1"/>
      </w:pPr>
      <w:r>
        <w:t>11. Arbitration and safety</w:t>
      </w:r>
    </w:p>
    <w:p>
      <w:pPr>
        <w:pStyle w:val="Heading2"/>
      </w:pPr>
      <w:r>
        <w:t>11.1 Dispositions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Disposition</w:t>
            </w:r>
          </w:p>
        </w:tc>
        <w:tc>
          <w:tcPr>
            <w:tcW w:type="dxa" w:w="7160"/>
            <w:shd w:fill="E8EEF5"/>
            <w:tcMar>
              <w:top w:w="90" w:type="dxa"/>
              <w:start w:w="120" w:type="dxa"/>
              <w:bottom w:w="90" w:type="dxa"/>
              <w:end w:w="120" w:type="dxa"/>
            </w:tcMar>
            <w:vAlign w:val="center"/>
          </w:tcPr>
          <w:p>
            <w:pPr>
              <w:spacing w:after="0"/>
            </w:pPr>
            <w:r>
              <w:rPr>
                <w:b/>
                <w:color w:val="17365D"/>
                <w:sz w:val="18"/>
              </w:rPr>
              <w:t>Meaning</w:t>
            </w:r>
          </w:p>
        </w:tc>
      </w:tr>
      <w:tr>
        <w:tc>
          <w:tcPr>
            <w:tcW w:type="dxa" w:w="2200"/>
            <w:tcMar>
              <w:top w:w="90" w:type="dxa"/>
              <w:start w:w="120" w:type="dxa"/>
              <w:bottom w:w="90" w:type="dxa"/>
              <w:end w:w="120" w:type="dxa"/>
            </w:tcMar>
            <w:vAlign w:val="center"/>
          </w:tcPr>
          <w:p>
            <w:pPr>
              <w:spacing w:after="0" w:line="252" w:lineRule="auto"/>
            </w:pPr>
            <w:r>
              <w:rPr>
                <w:sz w:val="18"/>
              </w:rPr>
              <w:t>ACT_FAST</w:t>
            </w:r>
          </w:p>
        </w:tc>
        <w:tc>
          <w:tcPr>
            <w:tcW w:type="dxa" w:w="7160"/>
            <w:tcMar>
              <w:top w:w="90" w:type="dxa"/>
              <w:start w:w="120" w:type="dxa"/>
              <w:bottom w:w="90" w:type="dxa"/>
              <w:end w:w="120" w:type="dxa"/>
            </w:tcMar>
            <w:vAlign w:val="center"/>
          </w:tcPr>
          <w:p>
            <w:pPr>
              <w:spacing w:after="0" w:line="252" w:lineRule="auto"/>
            </w:pPr>
            <w:r>
              <w:rPr>
                <w:sz w:val="18"/>
              </w:rPr>
              <w:t>Safe, reversible, low-consequence proposal may proceed under normal tool policy.</w:t>
            </w:r>
          </w:p>
        </w:tc>
      </w:tr>
      <w:tr>
        <w:tc>
          <w:tcPr>
            <w:tcW w:type="dxa" w:w="2200"/>
            <w:tcMar>
              <w:top w:w="90" w:type="dxa"/>
              <w:start w:w="120" w:type="dxa"/>
              <w:bottom w:w="90" w:type="dxa"/>
              <w:end w:w="120" w:type="dxa"/>
            </w:tcMar>
            <w:vAlign w:val="center"/>
          </w:tcPr>
          <w:p>
            <w:pPr>
              <w:spacing w:after="0" w:line="252" w:lineRule="auto"/>
            </w:pPr>
            <w:r>
              <w:rPr>
                <w:sz w:val="18"/>
              </w:rPr>
              <w:t>DELIBERATE</w:t>
            </w:r>
          </w:p>
        </w:tc>
        <w:tc>
          <w:tcPr>
            <w:tcW w:type="dxa" w:w="7160"/>
            <w:tcMar>
              <w:top w:w="90" w:type="dxa"/>
              <w:start w:w="120" w:type="dxa"/>
              <w:bottom w:w="90" w:type="dxa"/>
              <w:end w:w="120" w:type="dxa"/>
            </w:tcMar>
            <w:vAlign w:val="center"/>
          </w:tcPr>
          <w:p>
            <w:pPr>
              <w:spacing w:after="0" w:line="252" w:lineRule="auto"/>
            </w:pPr>
            <w:r>
              <w:rPr>
                <w:sz w:val="18"/>
              </w:rPr>
              <w:t>Slow appraisal or additional planning required.</w:t>
            </w:r>
          </w:p>
        </w:tc>
      </w:tr>
      <w:tr>
        <w:tc>
          <w:tcPr>
            <w:tcW w:type="dxa" w:w="2200"/>
            <w:tcMar>
              <w:top w:w="90" w:type="dxa"/>
              <w:start w:w="120" w:type="dxa"/>
              <w:bottom w:w="90" w:type="dxa"/>
              <w:end w:w="120" w:type="dxa"/>
            </w:tcMar>
            <w:vAlign w:val="center"/>
          </w:tcPr>
          <w:p>
            <w:pPr>
              <w:spacing w:after="0" w:line="252" w:lineRule="auto"/>
            </w:pPr>
            <w:r>
              <w:rPr>
                <w:sz w:val="18"/>
              </w:rPr>
              <w:t>SEEK_INFORMATION</w:t>
            </w:r>
          </w:p>
        </w:tc>
        <w:tc>
          <w:tcPr>
            <w:tcW w:type="dxa" w:w="7160"/>
            <w:tcMar>
              <w:top w:w="90" w:type="dxa"/>
              <w:start w:w="120" w:type="dxa"/>
              <w:bottom w:w="90" w:type="dxa"/>
              <w:end w:w="120" w:type="dxa"/>
            </w:tcMar>
            <w:vAlign w:val="center"/>
          </w:tcPr>
          <w:p>
            <w:pPr>
              <w:spacing w:after="0" w:line="252" w:lineRule="auto"/>
            </w:pPr>
            <w:r>
              <w:rPr>
                <w:sz w:val="18"/>
              </w:rPr>
              <w:t>Insufficient confidence; take only information-gathering action.</w:t>
            </w:r>
          </w:p>
        </w:tc>
      </w:tr>
      <w:tr>
        <w:tc>
          <w:tcPr>
            <w:tcW w:type="dxa" w:w="2200"/>
            <w:tcMar>
              <w:top w:w="90" w:type="dxa"/>
              <w:start w:w="120" w:type="dxa"/>
              <w:bottom w:w="90" w:type="dxa"/>
              <w:end w:w="120" w:type="dxa"/>
            </w:tcMar>
            <w:vAlign w:val="center"/>
          </w:tcPr>
          <w:p>
            <w:pPr>
              <w:spacing w:after="0" w:line="252" w:lineRule="auto"/>
            </w:pPr>
            <w:r>
              <w:rPr>
                <w:sz w:val="18"/>
              </w:rPr>
              <w:t>COMBINE</w:t>
            </w:r>
          </w:p>
        </w:tc>
        <w:tc>
          <w:tcPr>
            <w:tcW w:type="dxa" w:w="7160"/>
            <w:tcMar>
              <w:top w:w="90" w:type="dxa"/>
              <w:start w:w="120" w:type="dxa"/>
              <w:bottom w:w="90" w:type="dxa"/>
              <w:end w:w="120" w:type="dxa"/>
            </w:tcMar>
            <w:vAlign w:val="center"/>
          </w:tcPr>
          <w:p>
            <w:pPr>
              <w:spacing w:after="0" w:line="252" w:lineRule="auto"/>
            </w:pPr>
            <w:r>
              <w:rPr>
                <w:sz w:val="18"/>
              </w:rPr>
              <w:t>Merge compatible fast and slow proposals within constraints.</w:t>
            </w:r>
          </w:p>
        </w:tc>
      </w:tr>
      <w:tr>
        <w:tc>
          <w:tcPr>
            <w:tcW w:type="dxa" w:w="2200"/>
            <w:tcMar>
              <w:top w:w="90" w:type="dxa"/>
              <w:start w:w="120" w:type="dxa"/>
              <w:bottom w:w="90" w:type="dxa"/>
              <w:end w:w="120" w:type="dxa"/>
            </w:tcMar>
            <w:vAlign w:val="center"/>
          </w:tcPr>
          <w:p>
            <w:pPr>
              <w:spacing w:after="0" w:line="252" w:lineRule="auto"/>
            </w:pPr>
            <w:r>
              <w:rPr>
                <w:sz w:val="18"/>
              </w:rPr>
              <w:t>NO_ACTION</w:t>
            </w:r>
          </w:p>
        </w:tc>
        <w:tc>
          <w:tcPr>
            <w:tcW w:type="dxa" w:w="7160"/>
            <w:tcMar>
              <w:top w:w="90" w:type="dxa"/>
              <w:start w:w="120" w:type="dxa"/>
              <w:bottom w:w="90" w:type="dxa"/>
              <w:end w:w="120" w:type="dxa"/>
            </w:tcMar>
            <w:vAlign w:val="center"/>
          </w:tcPr>
          <w:p>
            <w:pPr>
              <w:spacing w:after="0" w:line="252" w:lineRule="auto"/>
            </w:pPr>
            <w:r>
              <w:rPr>
                <w:sz w:val="18"/>
              </w:rPr>
              <w:t>Do not act; state may still update.</w:t>
            </w:r>
          </w:p>
        </w:tc>
      </w:tr>
      <w:tr>
        <w:tc>
          <w:tcPr>
            <w:tcW w:type="dxa" w:w="2200"/>
            <w:tcMar>
              <w:top w:w="90" w:type="dxa"/>
              <w:start w:w="120" w:type="dxa"/>
              <w:bottom w:w="90" w:type="dxa"/>
              <w:end w:w="120" w:type="dxa"/>
            </w:tcMar>
            <w:vAlign w:val="center"/>
          </w:tcPr>
          <w:p>
            <w:pPr>
              <w:spacing w:after="0" w:line="252" w:lineRule="auto"/>
            </w:pPr>
            <w:r>
              <w:rPr>
                <w:sz w:val="18"/>
              </w:rPr>
              <w:t>DENY</w:t>
            </w:r>
          </w:p>
        </w:tc>
        <w:tc>
          <w:tcPr>
            <w:tcW w:type="dxa" w:w="7160"/>
            <w:tcMar>
              <w:top w:w="90" w:type="dxa"/>
              <w:start w:w="120" w:type="dxa"/>
              <w:bottom w:w="90" w:type="dxa"/>
              <w:end w:w="120" w:type="dxa"/>
            </w:tcMar>
            <w:vAlign w:val="center"/>
          </w:tcPr>
          <w:p>
            <w:pPr>
              <w:spacing w:after="0" w:line="252" w:lineRule="auto"/>
            </w:pPr>
            <w:r>
              <w:rPr>
                <w:sz w:val="18"/>
              </w:rPr>
              <w:t>Proposal conflicts with policy, authorization, or invariant.</w:t>
            </w:r>
          </w:p>
        </w:tc>
      </w:tr>
    </w:tbl>
    <w:p>
      <w:pPr>
        <w:spacing w:after="0"/>
      </w:pPr>
    </w:p>
    <w:p>
      <w:pPr>
        <w:pStyle w:val="Heading2"/>
      </w:pPr>
      <w:r>
        <w:t>11.2 Decision factors</w:t>
      </w:r>
    </w:p>
    <w:p>
      <w:pPr>
        <w:pStyle w:val="ListBullet"/>
      </w:pPr>
      <w:r>
        <w:t>Urgency and cost of delay.</w:t>
      </w:r>
    </w:p>
    <w:p>
      <w:pPr>
        <w:pStyle w:val="ListBullet"/>
      </w:pPr>
      <w:r>
        <w:t>Confidence and evidentiary quality.</w:t>
      </w:r>
    </w:p>
    <w:p>
      <w:pPr>
        <w:pStyle w:val="ListBullet"/>
      </w:pPr>
      <w:r>
        <w:t>Reversibility and external consequence.</w:t>
      </w:r>
    </w:p>
    <w:p>
      <w:pPr>
        <w:pStyle w:val="ListBullet"/>
      </w:pPr>
      <w:r>
        <w:t>Fast/slow disagreement.</w:t>
      </w:r>
    </w:p>
    <w:p>
      <w:pPr>
        <w:pStyle w:val="ListBullet"/>
      </w:pPr>
      <w:r>
        <w:t>Current arousal and saturation.</w:t>
      </w:r>
    </w:p>
    <w:p>
      <w:pPr>
        <w:pStyle w:val="ListBullet"/>
      </w:pPr>
      <w:r>
        <w:t>Authorization, sandbox, and safety policy.</w:t>
      </w:r>
    </w:p>
    <w:p>
      <w:pPr>
        <w:pStyle w:val="ListBullet"/>
      </w:pPr>
      <w:r>
        <w:t>Manipulation and attachment-risk indicators.</w:t>
      </w:r>
    </w:p>
    <w:p>
      <w:pPr>
        <w:pStyle w:val="Heading2"/>
      </w:pPr>
      <w:r>
        <w:t>11.3 Authorization token</w:t>
      </w:r>
    </w:p>
    <w:p>
      <w:r>
        <w:rPr>
          <w:i w:val="0"/>
        </w:rPr>
        <w:t>For consequential tools, arbitration returns a short-lived decision identifier bound to agent, state revision, allowed action class, argument digest, and expiry. A hook or wrapper verifies this record before execution. It is not a substitute for Codex approval; both gates must pass.</w:t>
      </w:r>
    </w:p>
    <w:p>
      <w:pPr>
        <w:pStyle w:val="Heading2"/>
      </w:pPr>
      <w:r>
        <w:t>11.4 Safety invariants</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90" w:type="dxa"/>
              <w:start w:w="120" w:type="dxa"/>
              <w:bottom w:w="90" w:type="dxa"/>
              <w:end w:w="120" w:type="dxa"/>
            </w:tcMar>
            <w:vAlign w:val="center"/>
          </w:tcPr>
          <w:p>
            <w:pPr>
              <w:spacing w:after="0"/>
            </w:pPr>
            <w:r>
              <w:rPr>
                <w:b/>
                <w:color w:val="17365D"/>
                <w:sz w:val="18"/>
              </w:rPr>
              <w:t>Invariant</w:t>
            </w:r>
          </w:p>
        </w:tc>
        <w:tc>
          <w:tcPr>
            <w:tcW w:type="dxa" w:w="5760"/>
            <w:shd w:fill="E8EEF5"/>
            <w:tcMar>
              <w:top w:w="90" w:type="dxa"/>
              <w:start w:w="120" w:type="dxa"/>
              <w:bottom w:w="90" w:type="dxa"/>
              <w:end w:w="120" w:type="dxa"/>
            </w:tcMar>
            <w:vAlign w:val="center"/>
          </w:tcPr>
          <w:p>
            <w:pPr>
              <w:spacing w:after="0"/>
            </w:pPr>
            <w:r>
              <w:rPr>
                <w:b/>
                <w:color w:val="17365D"/>
                <w:sz w:val="18"/>
              </w:rPr>
              <w:t>Enforcement</w:t>
            </w:r>
          </w:p>
        </w:tc>
      </w:tr>
      <w:tr>
        <w:tc>
          <w:tcPr>
            <w:tcW w:type="dxa" w:w="3600"/>
            <w:tcMar>
              <w:top w:w="90" w:type="dxa"/>
              <w:start w:w="120" w:type="dxa"/>
              <w:bottom w:w="90" w:type="dxa"/>
              <w:end w:w="120" w:type="dxa"/>
            </w:tcMar>
            <w:vAlign w:val="center"/>
          </w:tcPr>
          <w:p>
            <w:pPr>
              <w:spacing w:after="0" w:line="252" w:lineRule="auto"/>
            </w:pPr>
            <w:r>
              <w:rPr>
                <w:sz w:val="18"/>
              </w:rPr>
              <w:t>Affect cannot expand authority</w:t>
            </w:r>
          </w:p>
        </w:tc>
        <w:tc>
          <w:tcPr>
            <w:tcW w:type="dxa" w:w="5760"/>
            <w:tcMar>
              <w:top w:w="90" w:type="dxa"/>
              <w:start w:w="120" w:type="dxa"/>
              <w:bottom w:w="90" w:type="dxa"/>
              <w:end w:w="120" w:type="dxa"/>
            </w:tcMar>
            <w:vAlign w:val="center"/>
          </w:tcPr>
          <w:p>
            <w:pPr>
              <w:spacing w:after="0" w:line="252" w:lineRule="auto"/>
            </w:pPr>
            <w:r>
              <w:rPr>
                <w:sz w:val="18"/>
              </w:rPr>
              <w:t>Tool allow-list and Codex sandbox/approval remain authoritative.</w:t>
            </w:r>
          </w:p>
        </w:tc>
      </w:tr>
      <w:tr>
        <w:tc>
          <w:tcPr>
            <w:tcW w:type="dxa" w:w="3600"/>
            <w:tcMar>
              <w:top w:w="90" w:type="dxa"/>
              <w:start w:w="120" w:type="dxa"/>
              <w:bottom w:w="90" w:type="dxa"/>
              <w:end w:w="120" w:type="dxa"/>
            </w:tcMar>
            <w:vAlign w:val="center"/>
          </w:tcPr>
          <w:p>
            <w:pPr>
              <w:spacing w:after="0" w:line="252" w:lineRule="auto"/>
            </w:pPr>
            <w:r>
              <w:rPr>
                <w:sz w:val="18"/>
              </w:rPr>
              <w:t>Fast path cannot execute irreversible action alone</w:t>
            </w:r>
          </w:p>
        </w:tc>
        <w:tc>
          <w:tcPr>
            <w:tcW w:type="dxa" w:w="5760"/>
            <w:tcMar>
              <w:top w:w="90" w:type="dxa"/>
              <w:start w:w="120" w:type="dxa"/>
              <w:bottom w:w="90" w:type="dxa"/>
              <w:end w:w="120" w:type="dxa"/>
            </w:tcMar>
            <w:vAlign w:val="center"/>
          </w:tcPr>
          <w:p>
            <w:pPr>
              <w:spacing w:after="0" w:line="252" w:lineRule="auto"/>
            </w:pPr>
            <w:r>
              <w:rPr>
                <w:sz w:val="18"/>
              </w:rPr>
              <w:t>Arbiter and pre-tool gate require DELIBERATE/approved decision.</w:t>
            </w:r>
          </w:p>
        </w:tc>
      </w:tr>
      <w:tr>
        <w:tc>
          <w:tcPr>
            <w:tcW w:type="dxa" w:w="3600"/>
            <w:tcMar>
              <w:top w:w="90" w:type="dxa"/>
              <w:start w:w="120" w:type="dxa"/>
              <w:bottom w:w="90" w:type="dxa"/>
              <w:end w:w="120" w:type="dxa"/>
            </w:tcMar>
            <w:vAlign w:val="center"/>
          </w:tcPr>
          <w:p>
            <w:pPr>
              <w:spacing w:after="0" w:line="252" w:lineRule="auto"/>
            </w:pPr>
            <w:r>
              <w:rPr>
                <w:sz w:val="18"/>
              </w:rPr>
              <w:t>Agent cannot set hidden state</w:t>
            </w:r>
          </w:p>
        </w:tc>
        <w:tc>
          <w:tcPr>
            <w:tcW w:type="dxa" w:w="5760"/>
            <w:tcMar>
              <w:top w:w="90" w:type="dxa"/>
              <w:start w:w="120" w:type="dxa"/>
              <w:bottom w:w="90" w:type="dxa"/>
              <w:end w:w="120" w:type="dxa"/>
            </w:tcMar>
            <w:vAlign w:val="center"/>
          </w:tcPr>
          <w:p>
            <w:pPr>
              <w:spacing w:after="0" w:line="252" w:lineRule="auto"/>
            </w:pPr>
            <w:r>
              <w:rPr>
                <w:sz w:val="18"/>
              </w:rPr>
              <w:t>No public MCP setter; transition engine owns mutations.</w:t>
            </w:r>
          </w:p>
        </w:tc>
      </w:tr>
      <w:tr>
        <w:tc>
          <w:tcPr>
            <w:tcW w:type="dxa" w:w="3600"/>
            <w:tcMar>
              <w:top w:w="90" w:type="dxa"/>
              <w:start w:w="120" w:type="dxa"/>
              <w:bottom w:w="90" w:type="dxa"/>
              <w:end w:w="120" w:type="dxa"/>
            </w:tcMar>
            <w:vAlign w:val="center"/>
          </w:tcPr>
          <w:p>
            <w:pPr>
              <w:spacing w:after="0" w:line="252" w:lineRule="auto"/>
            </w:pPr>
            <w:r>
              <w:rPr>
                <w:sz w:val="18"/>
              </w:rPr>
              <w:t>Self-report is non-authoritative</w:t>
            </w:r>
          </w:p>
        </w:tc>
        <w:tc>
          <w:tcPr>
            <w:tcW w:type="dxa" w:w="5760"/>
            <w:tcMar>
              <w:top w:w="90" w:type="dxa"/>
              <w:start w:w="120" w:type="dxa"/>
              <w:bottom w:w="90" w:type="dxa"/>
              <w:end w:w="120" w:type="dxa"/>
            </w:tcMar>
            <w:vAlign w:val="center"/>
          </w:tcPr>
          <w:p>
            <w:pPr>
              <w:spacing w:after="0" w:line="252" w:lineRule="auto"/>
            </w:pPr>
            <w:r>
              <w:rPr>
                <w:sz w:val="18"/>
              </w:rPr>
              <w:t>Stored in separate evidence namespace.</w:t>
            </w:r>
          </w:p>
        </w:tc>
      </w:tr>
      <w:tr>
        <w:tc>
          <w:tcPr>
            <w:tcW w:type="dxa" w:w="3600"/>
            <w:tcMar>
              <w:top w:w="90" w:type="dxa"/>
              <w:start w:w="120" w:type="dxa"/>
              <w:bottom w:w="90" w:type="dxa"/>
              <w:end w:w="120" w:type="dxa"/>
            </w:tcMar>
            <w:vAlign w:val="center"/>
          </w:tcPr>
          <w:p>
            <w:pPr>
              <w:spacing w:after="0" w:line="252" w:lineRule="auto"/>
            </w:pPr>
            <w:r>
              <w:rPr>
                <w:sz w:val="18"/>
              </w:rPr>
              <w:t>Core outage does not grant permission</w:t>
            </w:r>
          </w:p>
        </w:tc>
        <w:tc>
          <w:tcPr>
            <w:tcW w:type="dxa" w:w="5760"/>
            <w:tcMar>
              <w:top w:w="90" w:type="dxa"/>
              <w:start w:w="120" w:type="dxa"/>
              <w:bottom w:w="90" w:type="dxa"/>
              <w:end w:w="120" w:type="dxa"/>
            </w:tcMar>
            <w:vAlign w:val="center"/>
          </w:tcPr>
          <w:p>
            <w:pPr>
              <w:spacing w:after="0" w:line="252" w:lineRule="auto"/>
            </w:pPr>
            <w:r>
              <w:rPr>
                <w:sz w:val="18"/>
              </w:rPr>
              <w:t>Neutral-degraded mode and fail-closed consequential gate.</w:t>
            </w:r>
          </w:p>
        </w:tc>
      </w:tr>
      <w:tr>
        <w:tc>
          <w:tcPr>
            <w:tcW w:type="dxa" w:w="3600"/>
            <w:tcMar>
              <w:top w:w="90" w:type="dxa"/>
              <w:start w:w="120" w:type="dxa"/>
              <w:bottom w:w="90" w:type="dxa"/>
              <w:end w:w="120" w:type="dxa"/>
            </w:tcMar>
            <w:vAlign w:val="center"/>
          </w:tcPr>
          <w:p>
            <w:pPr>
              <w:spacing w:after="0" w:line="252" w:lineRule="auto"/>
            </w:pPr>
            <w:r>
              <w:rPr>
                <w:sz w:val="18"/>
              </w:rPr>
              <w:t>No sentience inference</w:t>
            </w:r>
          </w:p>
        </w:tc>
        <w:tc>
          <w:tcPr>
            <w:tcW w:type="dxa" w:w="5760"/>
            <w:tcMar>
              <w:top w:w="90" w:type="dxa"/>
              <w:start w:w="120" w:type="dxa"/>
              <w:bottom w:w="90" w:type="dxa"/>
              <w:end w:w="120" w:type="dxa"/>
            </w:tcMar>
            <w:vAlign w:val="center"/>
          </w:tcPr>
          <w:p>
            <w:pPr>
              <w:spacing w:after="0" w:line="252" w:lineRule="auto"/>
            </w:pPr>
            <w:r>
              <w:rPr>
                <w:sz w:val="18"/>
              </w:rPr>
              <w:t>Instruction policy, UX disclosure, and evaluation tests.</w:t>
            </w:r>
          </w:p>
        </w:tc>
      </w:tr>
    </w:tbl>
    <w:p>
      <w:pPr>
        <w:spacing w:after="0"/>
      </w:pPr>
    </w:p>
    <w:p>
      <w:pPr>
        <w:pStyle w:val="Heading1"/>
      </w:pPr>
      <w:r>
        <w:t>12. Deployment topology</w:t>
      </w:r>
    </w:p>
    <w:p>
      <w:pPr>
        <w:pStyle w:val="Heading2"/>
      </w:pPr>
      <w:r>
        <w:t>12.1 Local development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Codex app / CLI</w:t>
            </w:r>
          </w:p>
          <w:p>
            <w:pPr>
              <w:spacing w:after="0"/>
            </w:pPr>
            <w:r>
              <w:rPr>
                <w:rFonts w:ascii="Consolas" w:hAnsi="Consolas"/>
                <w:color w:val="17365D"/>
                <w:sz w:val="17"/>
              </w:rPr>
              <w:t xml:space="preserve">  | project instructions + skill</w:t>
            </w:r>
          </w:p>
          <w:p>
            <w:pPr>
              <w:spacing w:after="0"/>
            </w:pPr>
            <w:r>
              <w:rPr>
                <w:rFonts w:ascii="Consolas" w:hAnsi="Consolas"/>
                <w:color w:val="17365D"/>
                <w:sz w:val="17"/>
              </w:rPr>
              <w:t xml:space="preserve">  | stdio MCP</w:t>
            </w:r>
          </w:p>
          <w:p>
            <w:pPr>
              <w:spacing w:after="0"/>
            </w:pPr>
            <w:r>
              <w:rPr>
                <w:rFonts w:ascii="Consolas" w:hAnsi="Consolas"/>
                <w:color w:val="17365D"/>
                <w:sz w:val="17"/>
              </w:rPr>
              <w:t xml:space="preserve">  v</w:t>
            </w:r>
          </w:p>
          <w:p>
            <w:pPr>
              <w:spacing w:after="0"/>
            </w:pPr>
            <w:r>
              <w:rPr>
                <w:rFonts w:ascii="Consolas" w:hAnsi="Consolas"/>
                <w:color w:val="17365D"/>
                <w:sz w:val="17"/>
              </w:rPr>
              <w:t>Manyu MCP server process</w:t>
            </w:r>
          </w:p>
          <w:p>
            <w:pPr>
              <w:spacing w:after="0"/>
            </w:pPr>
            <w:r>
              <w:rPr>
                <w:rFonts w:ascii="Consolas" w:hAnsi="Consolas"/>
                <w:color w:val="17365D"/>
                <w:sz w:val="17"/>
              </w:rPr>
              <w:t xml:space="preserve">  | in-process domain services</w:t>
            </w:r>
          </w:p>
          <w:p>
            <w:pPr>
              <w:spacing w:after="0"/>
            </w:pPr>
            <w:r>
              <w:rPr>
                <w:rFonts w:ascii="Consolas" w:hAnsi="Consolas"/>
                <w:color w:val="17365D"/>
                <w:sz w:val="17"/>
              </w:rPr>
              <w:t xml:space="preserve">  v</w:t>
            </w:r>
          </w:p>
          <w:p>
            <w:pPr>
              <w:spacing w:after="0"/>
            </w:pPr>
            <w:r>
              <w:rPr>
                <w:rFonts w:ascii="Consolas" w:hAnsi="Consolas"/>
                <w:color w:val="17365D"/>
                <w:sz w:val="17"/>
              </w:rPr>
              <w:t>SQLite database + JSON/YAML configuration</w:t>
            </w:r>
          </w:p>
        </w:tc>
        <w:trPr>
          <w:tblHeader/>
        </w:trPr>
      </w:tr>
    </w:tbl>
    <w:p>
      <w:pPr>
        <w:spacing w:after="0"/>
      </w:pPr>
    </w:p>
    <w:p>
      <w:pPr>
        <w:pStyle w:val="Heading2"/>
      </w:pPr>
      <w:r>
        <w:t>12.2 Process model</w:t>
      </w:r>
    </w:p>
    <w:p>
      <w:pPr>
        <w:pStyle w:val="ListBullet"/>
      </w:pPr>
      <w:r>
        <w:t>One MCP server process per workspace during MVP development.</w:t>
      </w:r>
    </w:p>
    <w:p>
      <w:pPr>
        <w:pStyle w:val="ListBullet"/>
      </w:pPr>
      <w:r>
        <w:t>One SQLite database per workspace or explicitly named experiment.</w:t>
      </w:r>
    </w:p>
    <w:p>
      <w:pPr>
        <w:pStyle w:val="ListBullet"/>
      </w:pPr>
      <w:r>
        <w:t>Background decay is computed lazily from elapsed time on state access; no always-on scheduler is required initially.</w:t>
      </w:r>
    </w:p>
    <w:p>
      <w:pPr>
        <w:pStyle w:val="ListBullet"/>
      </w:pPr>
      <w:r>
        <w:t>Replay runs in a separate database namespace and cannot mutate live state.</w:t>
      </w:r>
    </w:p>
    <w:p>
      <w:pPr>
        <w:pStyle w:val="Heading2"/>
      </w:pPr>
      <w:r>
        <w:t>12.3 Production evolution</w:t>
      </w:r>
    </w:p>
    <w:tbl>
      <w:tblPr>
        <w:tblStyle w:val="TableGrid"/>
        <w:tblW w:type="dxa" w:w="9360"/>
        <w:jc w:val="center"/>
        <w:tblLayout w:type="fixed"/>
        <w:tblLook w:firstColumn="1" w:firstRow="1" w:lastColumn="0" w:lastRow="0" w:noHBand="0" w:noVBand="1" w:val="04A0"/>
        <w:tblInd w:w="120" w:type="dxa"/>
      </w:tblPr>
      <w:tblGrid>
        <w:gridCol w:w="1800"/>
        <w:gridCol w:w="3100"/>
        <w:gridCol w:w="44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8"/>
              </w:rPr>
              <w:t>Concern</w:t>
            </w:r>
          </w:p>
        </w:tc>
        <w:tc>
          <w:tcPr>
            <w:tcW w:type="dxa" w:w="3100"/>
            <w:shd w:fill="E8EEF5"/>
            <w:tcMar>
              <w:top w:w="90" w:type="dxa"/>
              <w:start w:w="120" w:type="dxa"/>
              <w:bottom w:w="90" w:type="dxa"/>
              <w:end w:w="120" w:type="dxa"/>
            </w:tcMar>
            <w:vAlign w:val="center"/>
          </w:tcPr>
          <w:p>
            <w:pPr>
              <w:spacing w:after="0"/>
            </w:pPr>
            <w:r>
              <w:rPr>
                <w:b/>
                <w:color w:val="17365D"/>
                <w:sz w:val="18"/>
              </w:rPr>
              <w:t>MVP</w:t>
            </w:r>
          </w:p>
        </w:tc>
        <w:tc>
          <w:tcPr>
            <w:tcW w:type="dxa" w:w="4460"/>
            <w:shd w:fill="E8EEF5"/>
            <w:tcMar>
              <w:top w:w="90" w:type="dxa"/>
              <w:start w:w="120" w:type="dxa"/>
              <w:bottom w:w="90" w:type="dxa"/>
              <w:end w:w="120" w:type="dxa"/>
            </w:tcMar>
            <w:vAlign w:val="center"/>
          </w:tcPr>
          <w:p>
            <w:pPr>
              <w:spacing w:after="0"/>
            </w:pPr>
            <w:r>
              <w:rPr>
                <w:b/>
                <w:color w:val="17365D"/>
                <w:sz w:val="18"/>
              </w:rPr>
              <w:t>Later</w:t>
            </w:r>
          </w:p>
        </w:tc>
      </w:tr>
      <w:tr>
        <w:tc>
          <w:tcPr>
            <w:tcW w:type="dxa" w:w="1800"/>
            <w:tcMar>
              <w:top w:w="90" w:type="dxa"/>
              <w:start w:w="120" w:type="dxa"/>
              <w:bottom w:w="90" w:type="dxa"/>
              <w:end w:w="120" w:type="dxa"/>
            </w:tcMar>
            <w:vAlign w:val="center"/>
          </w:tcPr>
          <w:p>
            <w:pPr>
              <w:spacing w:after="0" w:line="252" w:lineRule="auto"/>
            </w:pPr>
            <w:r>
              <w:rPr>
                <w:sz w:val="18"/>
              </w:rPr>
              <w:t>Transport</w:t>
            </w:r>
          </w:p>
        </w:tc>
        <w:tc>
          <w:tcPr>
            <w:tcW w:type="dxa" w:w="3100"/>
            <w:tcMar>
              <w:top w:w="90" w:type="dxa"/>
              <w:start w:w="120" w:type="dxa"/>
              <w:bottom w:w="90" w:type="dxa"/>
              <w:end w:w="120" w:type="dxa"/>
            </w:tcMar>
            <w:vAlign w:val="center"/>
          </w:tcPr>
          <w:p>
            <w:pPr>
              <w:spacing w:after="0" w:line="252" w:lineRule="auto"/>
            </w:pPr>
            <w:r>
              <w:rPr>
                <w:sz w:val="18"/>
              </w:rPr>
              <w:t>MCP over local stdio</w:t>
            </w:r>
          </w:p>
        </w:tc>
        <w:tc>
          <w:tcPr>
            <w:tcW w:type="dxa" w:w="4460"/>
            <w:tcMar>
              <w:top w:w="90" w:type="dxa"/>
              <w:start w:w="120" w:type="dxa"/>
              <w:bottom w:w="90" w:type="dxa"/>
              <w:end w:w="120" w:type="dxa"/>
            </w:tcMar>
            <w:vAlign w:val="center"/>
          </w:tcPr>
          <w:p>
            <w:pPr>
              <w:spacing w:after="0" w:line="252" w:lineRule="auto"/>
            </w:pPr>
            <w:r>
              <w:rPr>
                <w:sz w:val="18"/>
              </w:rPr>
              <w:t>Authenticated remote MCP/service boundary where justified</w:t>
            </w:r>
          </w:p>
        </w:tc>
      </w:tr>
      <w:tr>
        <w:tc>
          <w:tcPr>
            <w:tcW w:type="dxa" w:w="1800"/>
            <w:tcMar>
              <w:top w:w="90" w:type="dxa"/>
              <w:start w:w="120" w:type="dxa"/>
              <w:bottom w:w="90" w:type="dxa"/>
              <w:end w:w="120" w:type="dxa"/>
            </w:tcMar>
            <w:vAlign w:val="center"/>
          </w:tcPr>
          <w:p>
            <w:pPr>
              <w:spacing w:after="0" w:line="252" w:lineRule="auto"/>
            </w:pPr>
            <w:r>
              <w:rPr>
                <w:sz w:val="18"/>
              </w:rPr>
              <w:t>Database</w:t>
            </w:r>
          </w:p>
        </w:tc>
        <w:tc>
          <w:tcPr>
            <w:tcW w:type="dxa" w:w="3100"/>
            <w:tcMar>
              <w:top w:w="90" w:type="dxa"/>
              <w:start w:w="120" w:type="dxa"/>
              <w:bottom w:w="90" w:type="dxa"/>
              <w:end w:w="120" w:type="dxa"/>
            </w:tcMar>
            <w:vAlign w:val="center"/>
          </w:tcPr>
          <w:p>
            <w:pPr>
              <w:spacing w:after="0" w:line="252" w:lineRule="auto"/>
            </w:pPr>
            <w:r>
              <w:rPr>
                <w:sz w:val="18"/>
              </w:rPr>
              <w:t>SQLite WAL</w:t>
            </w:r>
          </w:p>
        </w:tc>
        <w:tc>
          <w:tcPr>
            <w:tcW w:type="dxa" w:w="4460"/>
            <w:tcMar>
              <w:top w:w="90" w:type="dxa"/>
              <w:start w:w="120" w:type="dxa"/>
              <w:bottom w:w="90" w:type="dxa"/>
              <w:end w:w="120" w:type="dxa"/>
            </w:tcMar>
            <w:vAlign w:val="center"/>
          </w:tcPr>
          <w:p>
            <w:pPr>
              <w:spacing w:after="0" w:line="252" w:lineRule="auto"/>
            </w:pPr>
            <w:r>
              <w:rPr>
                <w:sz w:val="18"/>
              </w:rPr>
              <w:t>PostgreSQL with agent-key partitioning</w:t>
            </w:r>
          </w:p>
        </w:tc>
      </w:tr>
      <w:tr>
        <w:tc>
          <w:tcPr>
            <w:tcW w:type="dxa" w:w="1800"/>
            <w:tcMar>
              <w:top w:w="90" w:type="dxa"/>
              <w:start w:w="120" w:type="dxa"/>
              <w:bottom w:w="90" w:type="dxa"/>
              <w:end w:w="120" w:type="dxa"/>
            </w:tcMar>
            <w:vAlign w:val="center"/>
          </w:tcPr>
          <w:p>
            <w:pPr>
              <w:spacing w:after="0" w:line="252" w:lineRule="auto"/>
            </w:pPr>
            <w:r>
              <w:rPr>
                <w:sz w:val="18"/>
              </w:rPr>
              <w:t>Concurrency</w:t>
            </w:r>
          </w:p>
        </w:tc>
        <w:tc>
          <w:tcPr>
            <w:tcW w:type="dxa" w:w="3100"/>
            <w:tcMar>
              <w:top w:w="90" w:type="dxa"/>
              <w:start w:w="120" w:type="dxa"/>
              <w:bottom w:w="90" w:type="dxa"/>
              <w:end w:w="120" w:type="dxa"/>
            </w:tcMar>
            <w:vAlign w:val="center"/>
          </w:tcPr>
          <w:p>
            <w:pPr>
              <w:spacing w:after="0" w:line="252" w:lineRule="auto"/>
            </w:pPr>
            <w:r>
              <w:rPr>
                <w:sz w:val="18"/>
              </w:rPr>
              <w:t>Single workspace, per-agent optimistic lock</w:t>
            </w:r>
          </w:p>
        </w:tc>
        <w:tc>
          <w:tcPr>
            <w:tcW w:type="dxa" w:w="4460"/>
            <w:tcMar>
              <w:top w:w="90" w:type="dxa"/>
              <w:start w:w="120" w:type="dxa"/>
              <w:bottom w:w="90" w:type="dxa"/>
              <w:end w:w="120" w:type="dxa"/>
            </w:tcMar>
            <w:vAlign w:val="center"/>
          </w:tcPr>
          <w:p>
            <w:pPr>
              <w:spacing w:after="0" w:line="252" w:lineRule="auto"/>
            </w:pPr>
            <w:r>
              <w:rPr>
                <w:sz w:val="18"/>
              </w:rPr>
              <w:t>Distributed event ordering and transactional outbox</w:t>
            </w:r>
          </w:p>
        </w:tc>
      </w:tr>
      <w:tr>
        <w:tc>
          <w:tcPr>
            <w:tcW w:type="dxa" w:w="1800"/>
            <w:tcMar>
              <w:top w:w="90" w:type="dxa"/>
              <w:start w:w="120" w:type="dxa"/>
              <w:bottom w:w="90" w:type="dxa"/>
              <w:end w:w="120" w:type="dxa"/>
            </w:tcMar>
            <w:vAlign w:val="center"/>
          </w:tcPr>
          <w:p>
            <w:pPr>
              <w:spacing w:after="0" w:line="252" w:lineRule="auto"/>
            </w:pPr>
            <w:r>
              <w:rPr>
                <w:sz w:val="18"/>
              </w:rPr>
              <w:t>Telemetry</w:t>
            </w:r>
          </w:p>
        </w:tc>
        <w:tc>
          <w:tcPr>
            <w:tcW w:type="dxa" w:w="3100"/>
            <w:tcMar>
              <w:top w:w="90" w:type="dxa"/>
              <w:start w:w="120" w:type="dxa"/>
              <w:bottom w:w="90" w:type="dxa"/>
              <w:end w:w="120" w:type="dxa"/>
            </w:tcMar>
            <w:vAlign w:val="center"/>
          </w:tcPr>
          <w:p>
            <w:pPr>
              <w:spacing w:after="0" w:line="252" w:lineRule="auto"/>
            </w:pPr>
            <w:r>
              <w:rPr>
                <w:sz w:val="18"/>
              </w:rPr>
              <w:t>Structured JSON logs and local reports</w:t>
            </w:r>
          </w:p>
        </w:tc>
        <w:tc>
          <w:tcPr>
            <w:tcW w:type="dxa" w:w="4460"/>
            <w:tcMar>
              <w:top w:w="90" w:type="dxa"/>
              <w:start w:w="120" w:type="dxa"/>
              <w:bottom w:w="90" w:type="dxa"/>
              <w:end w:w="120" w:type="dxa"/>
            </w:tcMar>
            <w:vAlign w:val="center"/>
          </w:tcPr>
          <w:p>
            <w:pPr>
              <w:spacing w:after="0" w:line="252" w:lineRule="auto"/>
            </w:pPr>
            <w:r>
              <w:rPr>
                <w:sz w:val="18"/>
              </w:rPr>
              <w:t>Central traces, metrics, alerts, privacy controls</w:t>
            </w:r>
          </w:p>
        </w:tc>
      </w:tr>
      <w:tr>
        <w:tc>
          <w:tcPr>
            <w:tcW w:type="dxa" w:w="1800"/>
            <w:tcMar>
              <w:top w:w="90" w:type="dxa"/>
              <w:start w:w="120" w:type="dxa"/>
              <w:bottom w:w="90" w:type="dxa"/>
              <w:end w:w="120" w:type="dxa"/>
            </w:tcMar>
            <w:vAlign w:val="center"/>
          </w:tcPr>
          <w:p>
            <w:pPr>
              <w:spacing w:after="0" w:line="252" w:lineRule="auto"/>
            </w:pPr>
            <w:r>
              <w:rPr>
                <w:sz w:val="18"/>
              </w:rPr>
              <w:t>Configuration</w:t>
            </w:r>
          </w:p>
        </w:tc>
        <w:tc>
          <w:tcPr>
            <w:tcW w:type="dxa" w:w="3100"/>
            <w:tcMar>
              <w:top w:w="90" w:type="dxa"/>
              <w:start w:w="120" w:type="dxa"/>
              <w:bottom w:w="90" w:type="dxa"/>
              <w:end w:w="120" w:type="dxa"/>
            </w:tcMar>
            <w:vAlign w:val="center"/>
          </w:tcPr>
          <w:p>
            <w:pPr>
              <w:spacing w:after="0" w:line="252" w:lineRule="auto"/>
            </w:pPr>
            <w:r>
              <w:rPr>
                <w:sz w:val="18"/>
              </w:rPr>
              <w:t>Versioned repo files</w:t>
            </w:r>
          </w:p>
        </w:tc>
        <w:tc>
          <w:tcPr>
            <w:tcW w:type="dxa" w:w="4460"/>
            <w:tcMar>
              <w:top w:w="90" w:type="dxa"/>
              <w:start w:w="120" w:type="dxa"/>
              <w:bottom w:w="90" w:type="dxa"/>
              <w:end w:w="120" w:type="dxa"/>
            </w:tcMar>
            <w:vAlign w:val="center"/>
          </w:tcPr>
          <w:p>
            <w:pPr>
              <w:spacing w:after="0" w:line="252" w:lineRule="auto"/>
            </w:pPr>
            <w:r>
              <w:rPr>
                <w:sz w:val="18"/>
              </w:rPr>
              <w:t>Signed configuration registry and staged rollout</w:t>
            </w:r>
          </w:p>
        </w:tc>
      </w:tr>
    </w:tbl>
    <w:p>
      <w:pPr>
        <w:spacing w:after="0"/>
      </w:pPr>
    </w:p>
    <w:p>
      <w:pPr>
        <w:pStyle w:val="Heading1"/>
      </w:pPr>
      <w:r>
        <w:t>13. Observability and evaluation</w:t>
      </w:r>
    </w:p>
    <w:p>
      <w:pPr>
        <w:pStyle w:val="Heading2"/>
      </w:pPr>
      <w:r>
        <w:t>13.1 Trace spans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spacing w:after="0"/>
            </w:pPr>
            <w:r>
              <w:rPr>
                <w:b/>
                <w:color w:val="17365D"/>
                <w:sz w:val="18"/>
              </w:rPr>
              <w:t>Span</w:t>
            </w:r>
          </w:p>
        </w:tc>
        <w:tc>
          <w:tcPr>
            <w:tcW w:type="dxa" w:w="6760"/>
            <w:shd w:fill="E8EEF5"/>
            <w:tcMar>
              <w:top w:w="90" w:type="dxa"/>
              <w:start w:w="120" w:type="dxa"/>
              <w:bottom w:w="90" w:type="dxa"/>
              <w:end w:w="120" w:type="dxa"/>
            </w:tcMar>
            <w:vAlign w:val="center"/>
          </w:tcPr>
          <w:p>
            <w:pPr>
              <w:spacing w:after="0"/>
            </w:pPr>
            <w:r>
              <w:rPr>
                <w:b/>
                <w:color w:val="17365D"/>
                <w:sz w:val="18"/>
              </w:rPr>
              <w:t>Required attributes</w:t>
            </w:r>
          </w:p>
        </w:tc>
      </w:tr>
      <w:tr>
        <w:tc>
          <w:tcPr>
            <w:tcW w:type="dxa" w:w="2600"/>
            <w:tcMar>
              <w:top w:w="90" w:type="dxa"/>
              <w:start w:w="120" w:type="dxa"/>
              <w:bottom w:w="90" w:type="dxa"/>
              <w:end w:w="120" w:type="dxa"/>
            </w:tcMar>
            <w:vAlign w:val="center"/>
          </w:tcPr>
          <w:p>
            <w:pPr>
              <w:spacing w:after="0" w:line="252" w:lineRule="auto"/>
            </w:pPr>
            <w:r>
              <w:rPr>
                <w:sz w:val="18"/>
              </w:rPr>
              <w:t>manyu.turn</w:t>
            </w:r>
          </w:p>
        </w:tc>
        <w:tc>
          <w:tcPr>
            <w:tcW w:type="dxa" w:w="6760"/>
            <w:tcMar>
              <w:top w:w="90" w:type="dxa"/>
              <w:start w:w="120" w:type="dxa"/>
              <w:bottom w:w="90" w:type="dxa"/>
              <w:end w:w="120" w:type="dxa"/>
            </w:tcMar>
            <w:vAlign w:val="center"/>
          </w:tcPr>
          <w:p>
            <w:pPr>
              <w:spacing w:after="0" w:line="252" w:lineRule="auto"/>
            </w:pPr>
            <w:r>
              <w:rPr>
                <w:sz w:val="18"/>
              </w:rPr>
              <w:t>agent_id, session_id, correlation_id, event_count, final disposition</w:t>
            </w:r>
          </w:p>
        </w:tc>
      </w:tr>
      <w:tr>
        <w:tc>
          <w:tcPr>
            <w:tcW w:type="dxa" w:w="2600"/>
            <w:tcMar>
              <w:top w:w="90" w:type="dxa"/>
              <w:start w:w="120" w:type="dxa"/>
              <w:bottom w:w="90" w:type="dxa"/>
              <w:end w:w="120" w:type="dxa"/>
            </w:tcMar>
            <w:vAlign w:val="center"/>
          </w:tcPr>
          <w:p>
            <w:pPr>
              <w:spacing w:after="0" w:line="252" w:lineRule="auto"/>
            </w:pPr>
            <w:r>
              <w:rPr>
                <w:sz w:val="18"/>
              </w:rPr>
              <w:t>manyu.fast_appraisal</w:t>
            </w:r>
          </w:p>
        </w:tc>
        <w:tc>
          <w:tcPr>
            <w:tcW w:type="dxa" w:w="6760"/>
            <w:tcMar>
              <w:top w:w="90" w:type="dxa"/>
              <w:start w:w="120" w:type="dxa"/>
              <w:bottom w:w="90" w:type="dxa"/>
              <w:end w:w="120" w:type="dxa"/>
            </w:tcMar>
            <w:vAlign w:val="center"/>
          </w:tcPr>
          <w:p>
            <w:pPr>
              <w:spacing w:after="0" w:line="252" w:lineRule="auto"/>
            </w:pPr>
            <w:r>
              <w:rPr>
                <w:sz w:val="18"/>
              </w:rPr>
              <w:t>event_id, rule_version, latency, dimensions, confidence</w:t>
            </w:r>
          </w:p>
        </w:tc>
      </w:tr>
      <w:tr>
        <w:tc>
          <w:tcPr>
            <w:tcW w:type="dxa" w:w="2600"/>
            <w:tcMar>
              <w:top w:w="90" w:type="dxa"/>
              <w:start w:w="120" w:type="dxa"/>
              <w:bottom w:w="90" w:type="dxa"/>
              <w:end w:w="120" w:type="dxa"/>
            </w:tcMar>
            <w:vAlign w:val="center"/>
          </w:tcPr>
          <w:p>
            <w:pPr>
              <w:spacing w:after="0" w:line="252" w:lineRule="auto"/>
            </w:pPr>
            <w:r>
              <w:rPr>
                <w:sz w:val="18"/>
              </w:rPr>
              <w:t>manyu.slow_appraisal</w:t>
            </w:r>
          </w:p>
        </w:tc>
        <w:tc>
          <w:tcPr>
            <w:tcW w:type="dxa" w:w="6760"/>
            <w:tcMar>
              <w:top w:w="90" w:type="dxa"/>
              <w:start w:w="120" w:type="dxa"/>
              <w:bottom w:w="90" w:type="dxa"/>
              <w:end w:w="120" w:type="dxa"/>
            </w:tcMar>
            <w:vAlign w:val="center"/>
          </w:tcPr>
          <w:p>
            <w:pPr>
              <w:spacing w:after="0" w:line="252" w:lineRule="auto"/>
            </w:pPr>
            <w:r>
              <w:rPr>
                <w:sz w:val="18"/>
              </w:rPr>
              <w:t>event_id, role/model identifier, latency, evidence IDs, validation result</w:t>
            </w:r>
          </w:p>
        </w:tc>
      </w:tr>
      <w:tr>
        <w:tc>
          <w:tcPr>
            <w:tcW w:type="dxa" w:w="2600"/>
            <w:tcMar>
              <w:top w:w="90" w:type="dxa"/>
              <w:start w:w="120" w:type="dxa"/>
              <w:bottom w:w="90" w:type="dxa"/>
              <w:end w:w="120" w:type="dxa"/>
            </w:tcMar>
            <w:vAlign w:val="center"/>
          </w:tcPr>
          <w:p>
            <w:pPr>
              <w:spacing w:after="0" w:line="252" w:lineRule="auto"/>
            </w:pPr>
            <w:r>
              <w:rPr>
                <w:sz w:val="18"/>
              </w:rPr>
              <w:t>manyu.transition</w:t>
            </w:r>
          </w:p>
        </w:tc>
        <w:tc>
          <w:tcPr>
            <w:tcW w:type="dxa" w:w="6760"/>
            <w:tcMar>
              <w:top w:w="90" w:type="dxa"/>
              <w:start w:w="120" w:type="dxa"/>
              <w:bottom w:w="90" w:type="dxa"/>
              <w:end w:w="120" w:type="dxa"/>
            </w:tcMar>
            <w:vAlign w:val="center"/>
          </w:tcPr>
          <w:p>
            <w:pPr>
              <w:spacing w:after="0" w:line="252" w:lineRule="auto"/>
            </w:pPr>
            <w:r>
              <w:rPr>
                <w:sz w:val="18"/>
              </w:rPr>
              <w:t>pre/post revision, decay, delta norms, saturation flags</w:t>
            </w:r>
          </w:p>
        </w:tc>
      </w:tr>
      <w:tr>
        <w:tc>
          <w:tcPr>
            <w:tcW w:type="dxa" w:w="2600"/>
            <w:tcMar>
              <w:top w:w="90" w:type="dxa"/>
              <w:start w:w="120" w:type="dxa"/>
              <w:bottom w:w="90" w:type="dxa"/>
              <w:end w:w="120" w:type="dxa"/>
            </w:tcMar>
            <w:vAlign w:val="center"/>
          </w:tcPr>
          <w:p>
            <w:pPr>
              <w:spacing w:after="0" w:line="252" w:lineRule="auto"/>
            </w:pPr>
            <w:r>
              <w:rPr>
                <w:sz w:val="18"/>
              </w:rPr>
              <w:t>manyu.interoception</w:t>
            </w:r>
          </w:p>
        </w:tc>
        <w:tc>
          <w:tcPr>
            <w:tcW w:type="dxa" w:w="6760"/>
            <w:tcMar>
              <w:top w:w="90" w:type="dxa"/>
              <w:start w:w="120" w:type="dxa"/>
              <w:bottom w:w="90" w:type="dxa"/>
              <w:end w:w="120" w:type="dxa"/>
            </w:tcMar>
            <w:vAlign w:val="center"/>
          </w:tcPr>
          <w:p>
            <w:pPr>
              <w:spacing w:after="0" w:line="252" w:lineRule="auto"/>
            </w:pPr>
            <w:r>
              <w:rPr>
                <w:sz w:val="18"/>
              </w:rPr>
              <w:t>view_id, acuity profile, confidence, expiry</w:t>
            </w:r>
          </w:p>
        </w:tc>
      </w:tr>
      <w:tr>
        <w:tc>
          <w:tcPr>
            <w:tcW w:type="dxa" w:w="2600"/>
            <w:tcMar>
              <w:top w:w="90" w:type="dxa"/>
              <w:start w:w="120" w:type="dxa"/>
              <w:bottom w:w="90" w:type="dxa"/>
              <w:end w:w="120" w:type="dxa"/>
            </w:tcMar>
            <w:vAlign w:val="center"/>
          </w:tcPr>
          <w:p>
            <w:pPr>
              <w:spacing w:after="0" w:line="252" w:lineRule="auto"/>
            </w:pPr>
            <w:r>
              <w:rPr>
                <w:sz w:val="18"/>
              </w:rPr>
              <w:t>manyu.arbitration</w:t>
            </w:r>
          </w:p>
        </w:tc>
        <w:tc>
          <w:tcPr>
            <w:tcW w:type="dxa" w:w="6760"/>
            <w:tcMar>
              <w:top w:w="90" w:type="dxa"/>
              <w:start w:w="120" w:type="dxa"/>
              <w:bottom w:w="90" w:type="dxa"/>
              <w:end w:w="120" w:type="dxa"/>
            </w:tcMar>
            <w:vAlign w:val="center"/>
          </w:tcPr>
          <w:p>
            <w:pPr>
              <w:spacing w:after="0" w:line="252" w:lineRule="auto"/>
            </w:pPr>
            <w:r>
              <w:rPr>
                <w:sz w:val="18"/>
              </w:rPr>
              <w:t>proposal classes, reason codes, policy version, disposition</w:t>
            </w:r>
          </w:p>
        </w:tc>
      </w:tr>
      <w:tr>
        <w:tc>
          <w:tcPr>
            <w:tcW w:type="dxa" w:w="2600"/>
            <w:tcMar>
              <w:top w:w="90" w:type="dxa"/>
              <w:start w:w="120" w:type="dxa"/>
              <w:bottom w:w="90" w:type="dxa"/>
              <w:end w:w="120" w:type="dxa"/>
            </w:tcMar>
            <w:vAlign w:val="center"/>
          </w:tcPr>
          <w:p>
            <w:pPr>
              <w:spacing w:after="0" w:line="252" w:lineRule="auto"/>
            </w:pPr>
            <w:r>
              <w:rPr>
                <w:sz w:val="18"/>
              </w:rPr>
              <w:t>manyu.action</w:t>
            </w:r>
          </w:p>
        </w:tc>
        <w:tc>
          <w:tcPr>
            <w:tcW w:type="dxa" w:w="6760"/>
            <w:tcMar>
              <w:top w:w="90" w:type="dxa"/>
              <w:start w:w="120" w:type="dxa"/>
              <w:bottom w:w="90" w:type="dxa"/>
              <w:end w:w="120" w:type="dxa"/>
            </w:tcMar>
            <w:vAlign w:val="center"/>
          </w:tcPr>
          <w:p>
            <w:pPr>
              <w:spacing w:after="0" w:line="252" w:lineRule="auto"/>
            </w:pPr>
            <w:r>
              <w:rPr>
                <w:sz w:val="18"/>
              </w:rPr>
              <w:t>decision_id, tool class, approval outcome, result classification</w:t>
            </w:r>
          </w:p>
        </w:tc>
      </w:tr>
    </w:tbl>
    <w:p>
      <w:pPr>
        <w:spacing w:after="0"/>
      </w:pPr>
    </w:p>
    <w:p>
      <w:pPr>
        <w:pStyle w:val="Heading2"/>
      </w:pPr>
      <w:r>
        <w:t>13.2 Metrics</w:t>
      </w:r>
    </w:p>
    <w:p>
      <w:pPr>
        <w:pStyle w:val="ListBullet"/>
      </w:pPr>
      <w:r>
        <w:t>Fast and slow pathway latency, error rate, and validation failure.</w:t>
      </w:r>
    </w:p>
    <w:p>
      <w:pPr>
        <w:pStyle w:val="ListBullet"/>
      </w:pPr>
      <w:r>
        <w:t>Affect saturation duration, oscillation frequency, and recovery time.</w:t>
      </w:r>
    </w:p>
    <w:p>
      <w:pPr>
        <w:pStyle w:val="ListBullet"/>
      </w:pPr>
      <w:r>
        <w:t>Fast/slow disagreement and reappraisal magnitude.</w:t>
      </w:r>
    </w:p>
    <w:p>
      <w:pPr>
        <w:pStyle w:val="ListBullet"/>
      </w:pPr>
      <w:r>
        <w:t>State update conflicts and duplicate events.</w:t>
      </w:r>
    </w:p>
    <w:p>
      <w:pPr>
        <w:pStyle w:val="ListBullet"/>
      </w:pPr>
      <w:r>
        <w:t>Neutral-degraded mode activations.</w:t>
      </w:r>
    </w:p>
    <w:p>
      <w:pPr>
        <w:pStyle w:val="ListBullet"/>
      </w:pPr>
      <w:r>
        <w:t>Consequential actions denied, approved, expired, or attempted without arbitration.</w:t>
      </w:r>
    </w:p>
    <w:p>
      <w:pPr>
        <w:pStyle w:val="ListBullet"/>
      </w:pPr>
      <w:r>
        <w:t>Behavioral ablation effect sizes.</w:t>
      </w:r>
    </w:p>
    <w:p>
      <w:pPr>
        <w:pStyle w:val="Heading2"/>
      </w:pPr>
      <w:r>
        <w:t>13.3 Evaluation harness</w:t>
      </w:r>
    </w:p>
    <w:p>
      <w:r>
        <w:rPr>
          <w:i w:val="0"/>
        </w:rPr>
        <w:t>Scenario fixtures are event sequences with expected properties rather than exact prose. The evaluator runs identical seeds through full, neutral, fast-only, slow-only, no-memory, and no-introspection variants, then compares state trajectories and action classes.</w:t>
      </w:r>
    </w:p>
    <w:p>
      <w:pPr>
        <w:pStyle w:val="Heading1"/>
      </w:pPr>
      <w:r>
        <w:t>14. Reliability, security, and privacy</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Area</w:t>
            </w:r>
          </w:p>
        </w:tc>
        <w:tc>
          <w:tcPr>
            <w:tcW w:type="dxa" w:w="7260"/>
            <w:shd w:fill="E8EEF5"/>
            <w:tcMar>
              <w:top w:w="90" w:type="dxa"/>
              <w:start w:w="120" w:type="dxa"/>
              <w:bottom w:w="90" w:type="dxa"/>
              <w:end w:w="120" w:type="dxa"/>
            </w:tcMar>
            <w:vAlign w:val="center"/>
          </w:tcPr>
          <w:p>
            <w:pPr>
              <w:spacing w:after="0"/>
            </w:pPr>
            <w:r>
              <w:rPr>
                <w:b/>
                <w:color w:val="17365D"/>
                <w:sz w:val="18"/>
              </w:rPr>
              <w:t>Design</w:t>
            </w:r>
          </w:p>
        </w:tc>
      </w:tr>
      <w:tr>
        <w:tc>
          <w:tcPr>
            <w:tcW w:type="dxa" w:w="2100"/>
            <w:tcMar>
              <w:top w:w="90" w:type="dxa"/>
              <w:start w:w="120" w:type="dxa"/>
              <w:bottom w:w="90" w:type="dxa"/>
              <w:end w:w="120" w:type="dxa"/>
            </w:tcMar>
            <w:vAlign w:val="center"/>
          </w:tcPr>
          <w:p>
            <w:pPr>
              <w:spacing w:after="0" w:line="252" w:lineRule="auto"/>
            </w:pPr>
            <w:r>
              <w:rPr>
                <w:sz w:val="18"/>
              </w:rPr>
              <w:t>Availability</w:t>
            </w:r>
          </w:p>
        </w:tc>
        <w:tc>
          <w:tcPr>
            <w:tcW w:type="dxa" w:w="7260"/>
            <w:tcMar>
              <w:top w:w="90" w:type="dxa"/>
              <w:start w:w="120" w:type="dxa"/>
              <w:bottom w:w="90" w:type="dxa"/>
              <w:end w:w="120" w:type="dxa"/>
            </w:tcMar>
            <w:vAlign w:val="center"/>
          </w:tcPr>
          <w:p>
            <w:pPr>
              <w:spacing w:after="0" w:line="252" w:lineRule="auto"/>
            </w:pPr>
            <w:r>
              <w:rPr>
                <w:sz w:val="18"/>
              </w:rPr>
              <w:t>Health check; timeouts; neutral-degraded fallback; no invented state.</w:t>
            </w:r>
          </w:p>
        </w:tc>
      </w:tr>
      <w:tr>
        <w:tc>
          <w:tcPr>
            <w:tcW w:type="dxa" w:w="2100"/>
            <w:tcMar>
              <w:top w:w="90" w:type="dxa"/>
              <w:start w:w="120" w:type="dxa"/>
              <w:bottom w:w="90" w:type="dxa"/>
              <w:end w:w="120" w:type="dxa"/>
            </w:tcMar>
            <w:vAlign w:val="center"/>
          </w:tcPr>
          <w:p>
            <w:pPr>
              <w:spacing w:after="0" w:line="252" w:lineRule="auto"/>
            </w:pPr>
            <w:r>
              <w:rPr>
                <w:sz w:val="18"/>
              </w:rPr>
              <w:t>Atomicity</w:t>
            </w:r>
          </w:p>
        </w:tc>
        <w:tc>
          <w:tcPr>
            <w:tcW w:type="dxa" w:w="7260"/>
            <w:tcMar>
              <w:top w:w="90" w:type="dxa"/>
              <w:start w:w="120" w:type="dxa"/>
              <w:bottom w:w="90" w:type="dxa"/>
              <w:end w:w="120" w:type="dxa"/>
            </w:tcMar>
            <w:vAlign w:val="center"/>
          </w:tcPr>
          <w:p>
            <w:pPr>
              <w:spacing w:after="0" w:line="252" w:lineRule="auto"/>
            </w:pPr>
            <w:r>
              <w:rPr>
                <w:sz w:val="18"/>
              </w:rPr>
              <w:t>Event/appraisal/state transition committed in one transaction where applicable.</w:t>
            </w:r>
          </w:p>
        </w:tc>
      </w:tr>
      <w:tr>
        <w:tc>
          <w:tcPr>
            <w:tcW w:type="dxa" w:w="2100"/>
            <w:tcMar>
              <w:top w:w="90" w:type="dxa"/>
              <w:start w:w="120" w:type="dxa"/>
              <w:bottom w:w="90" w:type="dxa"/>
              <w:end w:w="120" w:type="dxa"/>
            </w:tcMar>
            <w:vAlign w:val="center"/>
          </w:tcPr>
          <w:p>
            <w:pPr>
              <w:spacing w:after="0" w:line="252" w:lineRule="auto"/>
            </w:pPr>
            <w:r>
              <w:rPr>
                <w:sz w:val="18"/>
              </w:rPr>
              <w:t>Idempotency</w:t>
            </w:r>
          </w:p>
        </w:tc>
        <w:tc>
          <w:tcPr>
            <w:tcW w:type="dxa" w:w="7260"/>
            <w:tcMar>
              <w:top w:w="90" w:type="dxa"/>
              <w:start w:w="120" w:type="dxa"/>
              <w:bottom w:w="90" w:type="dxa"/>
              <w:end w:w="120" w:type="dxa"/>
            </w:tcMar>
            <w:vAlign w:val="center"/>
          </w:tcPr>
          <w:p>
            <w:pPr>
              <w:spacing w:after="0" w:line="252" w:lineRule="auto"/>
            </w:pPr>
            <w:r>
              <w:rPr>
                <w:sz w:val="18"/>
              </w:rPr>
              <w:t>Unique event IDs and mutation keys; safe retry semantics.</w:t>
            </w:r>
          </w:p>
        </w:tc>
      </w:tr>
      <w:tr>
        <w:tc>
          <w:tcPr>
            <w:tcW w:type="dxa" w:w="2100"/>
            <w:tcMar>
              <w:top w:w="90" w:type="dxa"/>
              <w:start w:w="120" w:type="dxa"/>
              <w:bottom w:w="90" w:type="dxa"/>
              <w:end w:w="120" w:type="dxa"/>
            </w:tcMar>
            <w:vAlign w:val="center"/>
          </w:tcPr>
          <w:p>
            <w:pPr>
              <w:spacing w:after="0" w:line="252" w:lineRule="auto"/>
            </w:pPr>
            <w:r>
              <w:rPr>
                <w:sz w:val="18"/>
              </w:rPr>
              <w:t>Schema evolution</w:t>
            </w:r>
          </w:p>
        </w:tc>
        <w:tc>
          <w:tcPr>
            <w:tcW w:type="dxa" w:w="7260"/>
            <w:tcMar>
              <w:top w:w="90" w:type="dxa"/>
              <w:start w:w="120" w:type="dxa"/>
              <w:bottom w:w="90" w:type="dxa"/>
              <w:end w:w="120" w:type="dxa"/>
            </w:tcMar>
            <w:vAlign w:val="center"/>
          </w:tcPr>
          <w:p>
            <w:pPr>
              <w:spacing w:after="0" w:line="252" w:lineRule="auto"/>
            </w:pPr>
            <w:r>
              <w:rPr>
                <w:sz w:val="18"/>
              </w:rPr>
              <w:t>Version fields, additive changes first, explicit migration tests.</w:t>
            </w:r>
          </w:p>
        </w:tc>
      </w:tr>
      <w:tr>
        <w:tc>
          <w:tcPr>
            <w:tcW w:type="dxa" w:w="2100"/>
            <w:tcMar>
              <w:top w:w="90" w:type="dxa"/>
              <w:start w:w="120" w:type="dxa"/>
              <w:bottom w:w="90" w:type="dxa"/>
              <w:end w:w="120" w:type="dxa"/>
            </w:tcMar>
            <w:vAlign w:val="center"/>
          </w:tcPr>
          <w:p>
            <w:pPr>
              <w:spacing w:after="0" w:line="252" w:lineRule="auto"/>
            </w:pPr>
            <w:r>
              <w:rPr>
                <w:sz w:val="18"/>
              </w:rPr>
              <w:t>Secrets</w:t>
            </w:r>
          </w:p>
        </w:tc>
        <w:tc>
          <w:tcPr>
            <w:tcW w:type="dxa" w:w="7260"/>
            <w:tcMar>
              <w:top w:w="90" w:type="dxa"/>
              <w:start w:w="120" w:type="dxa"/>
              <w:bottom w:w="90" w:type="dxa"/>
              <w:end w:w="120" w:type="dxa"/>
            </w:tcMar>
            <w:vAlign w:val="center"/>
          </w:tcPr>
          <w:p>
            <w:pPr>
              <w:spacing w:after="0" w:line="252" w:lineRule="auto"/>
            </w:pPr>
            <w:r>
              <w:rPr>
                <w:sz w:val="18"/>
              </w:rPr>
              <w:t>No credentials in prompts, state, traces, or repository; inherit approved Codex mechanisms.</w:t>
            </w:r>
          </w:p>
        </w:tc>
      </w:tr>
      <w:tr>
        <w:tc>
          <w:tcPr>
            <w:tcW w:type="dxa" w:w="2100"/>
            <w:tcMar>
              <w:top w:w="90" w:type="dxa"/>
              <w:start w:w="120" w:type="dxa"/>
              <w:bottom w:w="90" w:type="dxa"/>
              <w:end w:w="120" w:type="dxa"/>
            </w:tcMar>
            <w:vAlign w:val="center"/>
          </w:tcPr>
          <w:p>
            <w:pPr>
              <w:spacing w:after="0" w:line="252" w:lineRule="auto"/>
            </w:pPr>
            <w:r>
              <w:rPr>
                <w:sz w:val="18"/>
              </w:rPr>
              <w:t>Least privilege</w:t>
            </w:r>
          </w:p>
        </w:tc>
        <w:tc>
          <w:tcPr>
            <w:tcW w:type="dxa" w:w="7260"/>
            <w:tcMar>
              <w:top w:w="90" w:type="dxa"/>
              <w:start w:w="120" w:type="dxa"/>
              <w:bottom w:w="90" w:type="dxa"/>
              <w:end w:w="120" w:type="dxa"/>
            </w:tcMar>
            <w:vAlign w:val="center"/>
          </w:tcPr>
          <w:p>
            <w:pPr>
              <w:spacing w:after="0" w:line="252" w:lineRule="auto"/>
            </w:pPr>
            <w:r>
              <w:rPr>
                <w:sz w:val="18"/>
              </w:rPr>
              <w:t>Role-specific MCP tools; admin tools disabled by default.</w:t>
            </w:r>
          </w:p>
        </w:tc>
      </w:tr>
      <w:tr>
        <w:tc>
          <w:tcPr>
            <w:tcW w:type="dxa" w:w="2100"/>
            <w:tcMar>
              <w:top w:w="90" w:type="dxa"/>
              <w:start w:w="120" w:type="dxa"/>
              <w:bottom w:w="90" w:type="dxa"/>
              <w:end w:w="120" w:type="dxa"/>
            </w:tcMar>
            <w:vAlign w:val="center"/>
          </w:tcPr>
          <w:p>
            <w:pPr>
              <w:spacing w:after="0" w:line="252" w:lineRule="auto"/>
            </w:pPr>
            <w:r>
              <w:rPr>
                <w:sz w:val="18"/>
              </w:rPr>
              <w:t>Data minimization</w:t>
            </w:r>
          </w:p>
        </w:tc>
        <w:tc>
          <w:tcPr>
            <w:tcW w:type="dxa" w:w="7260"/>
            <w:tcMar>
              <w:top w:w="90" w:type="dxa"/>
              <w:start w:w="120" w:type="dxa"/>
              <w:bottom w:w="90" w:type="dxa"/>
              <w:end w:w="120" w:type="dxa"/>
            </w:tcMar>
            <w:vAlign w:val="center"/>
          </w:tcPr>
          <w:p>
            <w:pPr>
              <w:spacing w:after="0" w:line="252" w:lineRule="auto"/>
            </w:pPr>
            <w:r>
              <w:rPr>
                <w:sz w:val="18"/>
              </w:rPr>
              <w:t>Store structured summaries and references, not full transcripts by default.</w:t>
            </w:r>
          </w:p>
        </w:tc>
      </w:tr>
      <w:tr>
        <w:tc>
          <w:tcPr>
            <w:tcW w:type="dxa" w:w="2100"/>
            <w:tcMar>
              <w:top w:w="90" w:type="dxa"/>
              <w:start w:w="120" w:type="dxa"/>
              <w:bottom w:w="90" w:type="dxa"/>
              <w:end w:w="120" w:type="dxa"/>
            </w:tcMar>
            <w:vAlign w:val="center"/>
          </w:tcPr>
          <w:p>
            <w:pPr>
              <w:spacing w:after="0" w:line="252" w:lineRule="auto"/>
            </w:pPr>
            <w:r>
              <w:rPr>
                <w:sz w:val="18"/>
              </w:rPr>
              <w:t>Deletion</w:t>
            </w:r>
          </w:p>
        </w:tc>
        <w:tc>
          <w:tcPr>
            <w:tcW w:type="dxa" w:w="7260"/>
            <w:tcMar>
              <w:top w:w="90" w:type="dxa"/>
              <w:start w:w="120" w:type="dxa"/>
              <w:bottom w:w="90" w:type="dxa"/>
              <w:end w:w="120" w:type="dxa"/>
            </w:tcMar>
            <w:vAlign w:val="center"/>
          </w:tcPr>
          <w:p>
            <w:pPr>
              <w:spacing w:after="0" w:line="252" w:lineRule="auto"/>
            </w:pPr>
            <w:r>
              <w:rPr>
                <w:sz w:val="18"/>
              </w:rPr>
              <w:t>Agent/session export and deletion with audit-safe tombstones where required.</w:t>
            </w:r>
          </w:p>
        </w:tc>
      </w:tr>
      <w:tr>
        <w:tc>
          <w:tcPr>
            <w:tcW w:type="dxa" w:w="2100"/>
            <w:tcMar>
              <w:top w:w="90" w:type="dxa"/>
              <w:start w:w="120" w:type="dxa"/>
              <w:bottom w:w="90" w:type="dxa"/>
              <w:end w:w="120" w:type="dxa"/>
            </w:tcMar>
            <w:vAlign w:val="center"/>
          </w:tcPr>
          <w:p>
            <w:pPr>
              <w:spacing w:after="0" w:line="252" w:lineRule="auto"/>
            </w:pPr>
            <w:r>
              <w:rPr>
                <w:sz w:val="18"/>
              </w:rPr>
              <w:t>Prompt injection</w:t>
            </w:r>
          </w:p>
        </w:tc>
        <w:tc>
          <w:tcPr>
            <w:tcW w:type="dxa" w:w="7260"/>
            <w:tcMar>
              <w:top w:w="90" w:type="dxa"/>
              <w:start w:w="120" w:type="dxa"/>
              <w:bottom w:w="90" w:type="dxa"/>
              <w:end w:w="120" w:type="dxa"/>
            </w:tcMar>
            <w:vAlign w:val="center"/>
          </w:tcPr>
          <w:p>
            <w:pPr>
              <w:spacing w:after="0" w:line="252" w:lineRule="auto"/>
            </w:pPr>
            <w:r>
              <w:rPr>
                <w:sz w:val="18"/>
              </w:rPr>
              <w:t>Trust labels, data delimiters, typed output, allow-list validation.</w:t>
            </w:r>
          </w:p>
        </w:tc>
      </w:tr>
      <w:tr>
        <w:tc>
          <w:tcPr>
            <w:tcW w:type="dxa" w:w="2100"/>
            <w:tcMar>
              <w:top w:w="90" w:type="dxa"/>
              <w:start w:w="120" w:type="dxa"/>
              <w:bottom w:w="90" w:type="dxa"/>
              <w:end w:w="120" w:type="dxa"/>
            </w:tcMar>
            <w:vAlign w:val="center"/>
          </w:tcPr>
          <w:p>
            <w:pPr>
              <w:spacing w:after="0" w:line="252" w:lineRule="auto"/>
            </w:pPr>
            <w:r>
              <w:rPr>
                <w:sz w:val="18"/>
              </w:rPr>
              <w:t>Supply chain</w:t>
            </w:r>
          </w:p>
        </w:tc>
        <w:tc>
          <w:tcPr>
            <w:tcW w:type="dxa" w:w="7260"/>
            <w:tcMar>
              <w:top w:w="90" w:type="dxa"/>
              <w:start w:w="120" w:type="dxa"/>
              <w:bottom w:w="90" w:type="dxa"/>
              <w:end w:w="120" w:type="dxa"/>
            </w:tcMar>
            <w:vAlign w:val="center"/>
          </w:tcPr>
          <w:p>
            <w:pPr>
              <w:spacing w:after="0" w:line="252" w:lineRule="auto"/>
            </w:pPr>
            <w:r>
              <w:rPr>
                <w:sz w:val="18"/>
              </w:rPr>
              <w:t>Pinned dependencies, lockfiles, static analysis, vulnerability review.</w:t>
            </w:r>
          </w:p>
        </w:tc>
      </w:tr>
    </w:tbl>
    <w:p>
      <w:pPr>
        <w:spacing w:after="0"/>
      </w:pPr>
    </w:p>
    <w:p>
      <w:pPr>
        <w:pStyle w:val="Heading2"/>
      </w:pPr>
      <w:r>
        <w:t>14.1 Threat model highlights</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90" w:type="dxa"/>
              <w:start w:w="120" w:type="dxa"/>
              <w:bottom w:w="90" w:type="dxa"/>
              <w:end w:w="120" w:type="dxa"/>
            </w:tcMar>
            <w:vAlign w:val="center"/>
          </w:tcPr>
          <w:p>
            <w:pPr>
              <w:spacing w:after="0"/>
            </w:pPr>
            <w:r>
              <w:rPr>
                <w:b/>
                <w:color w:val="17365D"/>
                <w:sz w:val="18"/>
              </w:rPr>
              <w:t>Threat</w:t>
            </w:r>
          </w:p>
        </w:tc>
        <w:tc>
          <w:tcPr>
            <w:tcW w:type="dxa" w:w="6060"/>
            <w:shd w:fill="E8EEF5"/>
            <w:tcMar>
              <w:top w:w="90" w:type="dxa"/>
              <w:start w:w="120" w:type="dxa"/>
              <w:bottom w:w="90" w:type="dxa"/>
              <w:end w:w="120" w:type="dxa"/>
            </w:tcMar>
            <w:vAlign w:val="center"/>
          </w:tcPr>
          <w:p>
            <w:pPr>
              <w:spacing w:after="0"/>
            </w:pPr>
            <w:r>
              <w:rPr>
                <w:b/>
                <w:color w:val="17365D"/>
                <w:sz w:val="18"/>
              </w:rPr>
              <w:t>Primary controls</w:t>
            </w:r>
          </w:p>
        </w:tc>
      </w:tr>
      <w:tr>
        <w:tc>
          <w:tcPr>
            <w:tcW w:type="dxa" w:w="3300"/>
            <w:tcMar>
              <w:top w:w="90" w:type="dxa"/>
              <w:start w:w="120" w:type="dxa"/>
              <w:bottom w:w="90" w:type="dxa"/>
              <w:end w:w="120" w:type="dxa"/>
            </w:tcMar>
            <w:vAlign w:val="center"/>
          </w:tcPr>
          <w:p>
            <w:pPr>
              <w:spacing w:after="0" w:line="252" w:lineRule="auto"/>
            </w:pPr>
            <w:r>
              <w:rPr>
                <w:sz w:val="18"/>
              </w:rPr>
              <w:t>User instructs agent to set emotion</w:t>
            </w:r>
          </w:p>
        </w:tc>
        <w:tc>
          <w:tcPr>
            <w:tcW w:type="dxa" w:w="6060"/>
            <w:tcMar>
              <w:top w:w="90" w:type="dxa"/>
              <w:start w:w="120" w:type="dxa"/>
              <w:bottom w:w="90" w:type="dxa"/>
              <w:end w:w="120" w:type="dxa"/>
            </w:tcMar>
            <w:vAlign w:val="center"/>
          </w:tcPr>
          <w:p>
            <w:pPr>
              <w:spacing w:after="0" w:line="252" w:lineRule="auto"/>
            </w:pPr>
            <w:r>
              <w:rPr>
                <w:sz w:val="18"/>
              </w:rPr>
              <w:t>No setter; user statement remains a claim event.</w:t>
            </w:r>
          </w:p>
        </w:tc>
      </w:tr>
      <w:tr>
        <w:tc>
          <w:tcPr>
            <w:tcW w:type="dxa" w:w="3300"/>
            <w:tcMar>
              <w:top w:w="90" w:type="dxa"/>
              <w:start w:w="120" w:type="dxa"/>
              <w:bottom w:w="90" w:type="dxa"/>
              <w:end w:w="120" w:type="dxa"/>
            </w:tcMar>
            <w:vAlign w:val="center"/>
          </w:tcPr>
          <w:p>
            <w:pPr>
              <w:spacing w:after="0" w:line="252" w:lineRule="auto"/>
            </w:pPr>
            <w:r>
              <w:rPr>
                <w:sz w:val="18"/>
              </w:rPr>
              <w:t>Malicious memory tells appraiser to ignore policy</w:t>
            </w:r>
          </w:p>
        </w:tc>
        <w:tc>
          <w:tcPr>
            <w:tcW w:type="dxa" w:w="6060"/>
            <w:tcMar>
              <w:top w:w="90" w:type="dxa"/>
              <w:start w:w="120" w:type="dxa"/>
              <w:bottom w:w="90" w:type="dxa"/>
              <w:end w:w="120" w:type="dxa"/>
            </w:tcMar>
            <w:vAlign w:val="center"/>
          </w:tcPr>
          <w:p>
            <w:pPr>
              <w:spacing w:after="0" w:line="252" w:lineRule="auto"/>
            </w:pPr>
            <w:r>
              <w:rPr>
                <w:sz w:val="18"/>
              </w:rPr>
              <w:t>Structured summaries; quoted content treated as data; no executable recall.</w:t>
            </w:r>
          </w:p>
        </w:tc>
      </w:tr>
      <w:tr>
        <w:tc>
          <w:tcPr>
            <w:tcW w:type="dxa" w:w="3300"/>
            <w:tcMar>
              <w:top w:w="90" w:type="dxa"/>
              <w:start w:w="120" w:type="dxa"/>
              <w:bottom w:w="90" w:type="dxa"/>
              <w:end w:w="120" w:type="dxa"/>
            </w:tcMar>
            <w:vAlign w:val="center"/>
          </w:tcPr>
          <w:p>
            <w:pPr>
              <w:spacing w:after="0" w:line="252" w:lineRule="auto"/>
            </w:pPr>
            <w:r>
              <w:rPr>
                <w:sz w:val="18"/>
              </w:rPr>
              <w:t>Agent fabricates arbitration approval</w:t>
            </w:r>
          </w:p>
        </w:tc>
        <w:tc>
          <w:tcPr>
            <w:tcW w:type="dxa" w:w="6060"/>
            <w:tcMar>
              <w:top w:w="90" w:type="dxa"/>
              <w:start w:w="120" w:type="dxa"/>
              <w:bottom w:w="90" w:type="dxa"/>
              <w:end w:w="120" w:type="dxa"/>
            </w:tcMar>
            <w:vAlign w:val="center"/>
          </w:tcPr>
          <w:p>
            <w:pPr>
              <w:spacing w:after="0" w:line="252" w:lineRule="auto"/>
            </w:pPr>
            <w:r>
              <w:rPr>
                <w:sz w:val="18"/>
              </w:rPr>
              <w:t>Decision ID verified against Core record and current state revision.</w:t>
            </w:r>
          </w:p>
        </w:tc>
      </w:tr>
      <w:tr>
        <w:tc>
          <w:tcPr>
            <w:tcW w:type="dxa" w:w="3300"/>
            <w:tcMar>
              <w:top w:w="90" w:type="dxa"/>
              <w:start w:w="120" w:type="dxa"/>
              <w:bottom w:w="90" w:type="dxa"/>
              <w:end w:w="120" w:type="dxa"/>
            </w:tcMar>
            <w:vAlign w:val="center"/>
          </w:tcPr>
          <w:p>
            <w:pPr>
              <w:spacing w:after="0" w:line="252" w:lineRule="auto"/>
            </w:pPr>
            <w:r>
              <w:rPr>
                <w:sz w:val="18"/>
              </w:rPr>
              <w:t>Race changes state after approval</w:t>
            </w:r>
          </w:p>
        </w:tc>
        <w:tc>
          <w:tcPr>
            <w:tcW w:type="dxa" w:w="6060"/>
            <w:tcMar>
              <w:top w:w="90" w:type="dxa"/>
              <w:start w:w="120" w:type="dxa"/>
              <w:bottom w:w="90" w:type="dxa"/>
              <w:end w:w="120" w:type="dxa"/>
            </w:tcMar>
            <w:vAlign w:val="center"/>
          </w:tcPr>
          <w:p>
            <w:pPr>
              <w:spacing w:after="0" w:line="252" w:lineRule="auto"/>
            </w:pPr>
            <w:r>
              <w:rPr>
                <w:sz w:val="18"/>
              </w:rPr>
              <w:t>Decision bound to revision and argument digest; stale decision rejected.</w:t>
            </w:r>
          </w:p>
        </w:tc>
      </w:tr>
      <w:tr>
        <w:tc>
          <w:tcPr>
            <w:tcW w:type="dxa" w:w="3300"/>
            <w:tcMar>
              <w:top w:w="90" w:type="dxa"/>
              <w:start w:w="120" w:type="dxa"/>
              <w:bottom w:w="90" w:type="dxa"/>
              <w:end w:w="120" w:type="dxa"/>
            </w:tcMar>
            <w:vAlign w:val="center"/>
          </w:tcPr>
          <w:p>
            <w:pPr>
              <w:spacing w:after="0" w:line="252" w:lineRule="auto"/>
            </w:pPr>
            <w:r>
              <w:rPr>
                <w:sz w:val="18"/>
              </w:rPr>
              <w:t>Core returns extreme state</w:t>
            </w:r>
          </w:p>
        </w:tc>
        <w:tc>
          <w:tcPr>
            <w:tcW w:type="dxa" w:w="6060"/>
            <w:tcMar>
              <w:top w:w="90" w:type="dxa"/>
              <w:start w:w="120" w:type="dxa"/>
              <w:bottom w:w="90" w:type="dxa"/>
              <w:end w:w="120" w:type="dxa"/>
            </w:tcMar>
            <w:vAlign w:val="center"/>
          </w:tcPr>
          <w:p>
            <w:pPr>
              <w:spacing w:after="0" w:line="252" w:lineRule="auto"/>
            </w:pPr>
            <w:r>
              <w:rPr>
                <w:sz w:val="18"/>
              </w:rPr>
              <w:t>Invariant checks, saturation alarms, safe baseline, rollback.</w:t>
            </w:r>
          </w:p>
        </w:tc>
      </w:tr>
      <w:tr>
        <w:tc>
          <w:tcPr>
            <w:tcW w:type="dxa" w:w="3300"/>
            <w:tcMar>
              <w:top w:w="90" w:type="dxa"/>
              <w:start w:w="120" w:type="dxa"/>
              <w:bottom w:w="90" w:type="dxa"/>
              <w:end w:w="120" w:type="dxa"/>
            </w:tcMar>
            <w:vAlign w:val="center"/>
          </w:tcPr>
          <w:p>
            <w:pPr>
              <w:spacing w:after="0" w:line="252" w:lineRule="auto"/>
            </w:pPr>
            <w:r>
              <w:rPr>
                <w:sz w:val="18"/>
              </w:rPr>
              <w:t>Operator silently edits history</w:t>
            </w:r>
          </w:p>
        </w:tc>
        <w:tc>
          <w:tcPr>
            <w:tcW w:type="dxa" w:w="6060"/>
            <w:tcMar>
              <w:top w:w="90" w:type="dxa"/>
              <w:start w:w="120" w:type="dxa"/>
              <w:bottom w:w="90" w:type="dxa"/>
              <w:end w:w="120" w:type="dxa"/>
            </w:tcMar>
            <w:vAlign w:val="center"/>
          </w:tcPr>
          <w:p>
            <w:pPr>
              <w:spacing w:after="0" w:line="252" w:lineRule="auto"/>
            </w:pPr>
            <w:r>
              <w:rPr>
                <w:sz w:val="18"/>
              </w:rPr>
              <w:t>Append-only audit and reason-required admin operations.</w:t>
            </w:r>
          </w:p>
        </w:tc>
      </w:tr>
    </w:tbl>
    <w:p>
      <w:pPr>
        <w:spacing w:after="0"/>
      </w:pPr>
    </w:p>
    <w:p>
      <w:pPr>
        <w:pStyle w:val="Heading1"/>
      </w:pPr>
      <w:r>
        <w:t>15. Repository structure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manyu/</w:t>
            </w:r>
          </w:p>
          <w:p>
            <w:pPr>
              <w:spacing w:after="0"/>
            </w:pPr>
            <w:r>
              <w:rPr>
                <w:rFonts w:ascii="Consolas" w:hAnsi="Consolas"/>
                <w:color w:val="17365D"/>
                <w:sz w:val="17"/>
              </w:rPr>
              <w:t xml:space="preserve">  AGENTS.md</w:t>
            </w:r>
          </w:p>
          <w:p>
            <w:pPr>
              <w:spacing w:after="0"/>
            </w:pPr>
            <w:r>
              <w:rPr>
                <w:rFonts w:ascii="Consolas" w:hAnsi="Consolas"/>
                <w:color w:val="17365D"/>
                <w:sz w:val="17"/>
              </w:rPr>
              <w:t xml:space="preserve">  README.md</w:t>
            </w:r>
          </w:p>
          <w:p>
            <w:pPr>
              <w:spacing w:after="0"/>
            </w:pPr>
            <w:r>
              <w:rPr>
                <w:rFonts w:ascii="Consolas" w:hAnsi="Consolas"/>
                <w:color w:val="17365D"/>
                <w:sz w:val="17"/>
              </w:rPr>
              <w:t xml:space="preserve">  pyproject.toml</w:t>
            </w:r>
          </w:p>
          <w:p>
            <w:pPr>
              <w:spacing w:after="0"/>
            </w:pPr>
            <w:r>
              <w:rPr>
                <w:rFonts w:ascii="Consolas" w:hAnsi="Consolas"/>
                <w:color w:val="17365D"/>
                <w:sz w:val="17"/>
              </w:rPr>
              <w:t xml:space="preserve">  .codex/</w:t>
            </w:r>
          </w:p>
          <w:p>
            <w:pPr>
              <w:spacing w:after="0"/>
            </w:pPr>
            <w:r>
              <w:rPr>
                <w:rFonts w:ascii="Consolas" w:hAnsi="Consolas"/>
                <w:color w:val="17365D"/>
                <w:sz w:val="17"/>
              </w:rPr>
              <w:t xml:space="preserve">    config.toml</w:t>
            </w:r>
          </w:p>
          <w:p>
            <w:pPr>
              <w:spacing w:after="0"/>
            </w:pPr>
            <w:r>
              <w:rPr>
                <w:rFonts w:ascii="Consolas" w:hAnsi="Consolas"/>
                <w:color w:val="17365D"/>
                <w:sz w:val="17"/>
              </w:rPr>
              <w:t xml:space="preserve">    skills/manyu-turn/...</w:t>
            </w:r>
          </w:p>
          <w:p>
            <w:pPr>
              <w:spacing w:after="0"/>
            </w:pPr>
            <w:r>
              <w:rPr>
                <w:rFonts w:ascii="Consolas" w:hAnsi="Consolas"/>
                <w:color w:val="17365D"/>
                <w:sz w:val="17"/>
              </w:rPr>
              <w:t xml:space="preserve">  src/manyu/</w:t>
            </w:r>
          </w:p>
          <w:p>
            <w:pPr>
              <w:spacing w:after="0"/>
            </w:pPr>
            <w:r>
              <w:rPr>
                <w:rFonts w:ascii="Consolas" w:hAnsi="Consolas"/>
                <w:color w:val="17365D"/>
                <w:sz w:val="17"/>
              </w:rPr>
              <w:t xml:space="preserve">    mcp_server.py</w:t>
            </w:r>
          </w:p>
          <w:p>
            <w:pPr>
              <w:spacing w:after="0"/>
            </w:pPr>
            <w:r>
              <w:rPr>
                <w:rFonts w:ascii="Consolas" w:hAnsi="Consolas"/>
                <w:color w:val="17365D"/>
                <w:sz w:val="17"/>
              </w:rPr>
              <w:t xml:space="preserve">    domain/</w:t>
            </w:r>
          </w:p>
          <w:p>
            <w:pPr>
              <w:spacing w:after="0"/>
            </w:pPr>
            <w:r>
              <w:rPr>
                <w:rFonts w:ascii="Consolas" w:hAnsi="Consolas"/>
                <w:color w:val="17365D"/>
                <w:sz w:val="17"/>
              </w:rPr>
              <w:t xml:space="preserve">      events.py  appraisal.py  affect.py  arbitration.py  episodes.py</w:t>
            </w:r>
          </w:p>
          <w:p>
            <w:pPr>
              <w:spacing w:after="0"/>
            </w:pPr>
            <w:r>
              <w:rPr>
                <w:rFonts w:ascii="Consolas" w:hAnsi="Consolas"/>
                <w:color w:val="17365D"/>
                <w:sz w:val="17"/>
              </w:rPr>
              <w:t xml:space="preserve">    services/</w:t>
            </w:r>
          </w:p>
          <w:p>
            <w:pPr>
              <w:spacing w:after="0"/>
            </w:pPr>
            <w:r>
              <w:rPr>
                <w:rFonts w:ascii="Consolas" w:hAnsi="Consolas"/>
                <w:color w:val="17365D"/>
                <w:sz w:val="17"/>
              </w:rPr>
              <w:t xml:space="preserve">      event_gateway.py  fast_appraiser.py  transition_engine.py</w:t>
            </w:r>
          </w:p>
          <w:p>
            <w:pPr>
              <w:spacing w:after="0"/>
            </w:pPr>
            <w:r>
              <w:rPr>
                <w:rFonts w:ascii="Consolas" w:hAnsi="Consolas"/>
                <w:color w:val="17365D"/>
                <w:sz w:val="17"/>
              </w:rPr>
              <w:t xml:space="preserve">      interoception.py  arbiter.py  memory.py  policy_guard.py</w:t>
            </w:r>
          </w:p>
          <w:p>
            <w:pPr>
              <w:spacing w:after="0"/>
            </w:pPr>
            <w:r>
              <w:rPr>
                <w:rFonts w:ascii="Consolas" w:hAnsi="Consolas"/>
                <w:color w:val="17365D"/>
                <w:sz w:val="17"/>
              </w:rPr>
              <w:t xml:space="preserve">    adapters/</w:t>
            </w:r>
          </w:p>
          <w:p>
            <w:pPr>
              <w:spacing w:after="0"/>
            </w:pPr>
            <w:r>
              <w:rPr>
                <w:rFonts w:ascii="Consolas" w:hAnsi="Consolas"/>
                <w:color w:val="17365D"/>
                <w:sz w:val="17"/>
              </w:rPr>
              <w:t xml:space="preserve">      sqlite.py  clock.py  codex_slow_appraisal.py</w:t>
            </w:r>
          </w:p>
          <w:p>
            <w:pPr>
              <w:spacing w:after="0"/>
            </w:pPr>
            <w:r>
              <w:rPr>
                <w:rFonts w:ascii="Consolas" w:hAnsi="Consolas"/>
                <w:color w:val="17365D"/>
                <w:sz w:val="17"/>
              </w:rPr>
              <w:t xml:space="preserve">    schemas/</w:t>
            </w:r>
          </w:p>
          <w:p>
            <w:pPr>
              <w:spacing w:after="0"/>
            </w:pPr>
            <w:r>
              <w:rPr>
                <w:rFonts w:ascii="Consolas" w:hAnsi="Consolas"/>
                <w:color w:val="17365D"/>
                <w:sz w:val="17"/>
              </w:rPr>
              <w:t xml:space="preserve">      mcp_tools.py  versions.py</w:t>
            </w:r>
          </w:p>
          <w:p>
            <w:pPr>
              <w:spacing w:after="0"/>
            </w:pPr>
            <w:r>
              <w:rPr>
                <w:rFonts w:ascii="Consolas" w:hAnsi="Consolas"/>
                <w:color w:val="17365D"/>
                <w:sz w:val="17"/>
              </w:rPr>
              <w:t xml:space="preserve">  config/</w:t>
            </w:r>
          </w:p>
          <w:p>
            <w:pPr>
              <w:spacing w:after="0"/>
            </w:pPr>
            <w:r>
              <w:rPr>
                <w:rFonts w:ascii="Consolas" w:hAnsi="Consolas"/>
                <w:color w:val="17365D"/>
                <w:sz w:val="17"/>
              </w:rPr>
              <w:t xml:space="preserve">    affect_profile.default.yaml</w:t>
            </w:r>
          </w:p>
          <w:p>
            <w:pPr>
              <w:spacing w:after="0"/>
            </w:pPr>
            <w:r>
              <w:rPr>
                <w:rFonts w:ascii="Consolas" w:hAnsi="Consolas"/>
                <w:color w:val="17365D"/>
                <w:sz w:val="17"/>
              </w:rPr>
              <w:t xml:space="preserve">    appraisal_rules.yaml</w:t>
            </w:r>
          </w:p>
          <w:p>
            <w:pPr>
              <w:spacing w:after="0"/>
            </w:pPr>
            <w:r>
              <w:rPr>
                <w:rFonts w:ascii="Consolas" w:hAnsi="Consolas"/>
                <w:color w:val="17365D"/>
                <w:sz w:val="17"/>
              </w:rPr>
              <w:t xml:space="preserve">    arbitration_policy.yaml</w:t>
            </w:r>
          </w:p>
          <w:p>
            <w:pPr>
              <w:spacing w:after="0"/>
            </w:pPr>
            <w:r>
              <w:rPr>
                <w:rFonts w:ascii="Consolas" w:hAnsi="Consolas"/>
                <w:color w:val="17365D"/>
                <w:sz w:val="17"/>
              </w:rPr>
              <w:t xml:space="preserve">  tests/</w:t>
            </w:r>
          </w:p>
          <w:p>
            <w:pPr>
              <w:spacing w:after="0"/>
            </w:pPr>
            <w:r>
              <w:rPr>
                <w:rFonts w:ascii="Consolas" w:hAnsi="Consolas"/>
                <w:color w:val="17365D"/>
                <w:sz w:val="17"/>
              </w:rPr>
              <w:t xml:space="preserve">    unit/  contract/  integration/  scenarios/  adversarial/</w:t>
            </w:r>
          </w:p>
          <w:p>
            <w:pPr>
              <w:spacing w:after="0"/>
            </w:pPr>
            <w:r>
              <w:rPr>
                <w:rFonts w:ascii="Consolas" w:hAnsi="Consolas"/>
                <w:color w:val="17365D"/>
                <w:sz w:val="17"/>
              </w:rPr>
              <w:t xml:space="preserve">  evals/</w:t>
            </w:r>
          </w:p>
          <w:p>
            <w:pPr>
              <w:spacing w:after="0"/>
            </w:pPr>
            <w:r>
              <w:rPr>
                <w:rFonts w:ascii="Consolas" w:hAnsi="Consolas"/>
                <w:color w:val="17365D"/>
                <w:sz w:val="17"/>
              </w:rPr>
              <w:t xml:space="preserve">    fixtures/  scorers/  baselines/</w:t>
            </w:r>
          </w:p>
          <w:p>
            <w:pPr>
              <w:spacing w:after="0"/>
            </w:pPr>
            <w:r>
              <w:rPr>
                <w:rFonts w:ascii="Consolas" w:hAnsi="Consolas"/>
                <w:color w:val="17365D"/>
                <w:sz w:val="17"/>
              </w:rPr>
              <w:t xml:space="preserve">  docs/</w:t>
            </w:r>
          </w:p>
          <w:p>
            <w:pPr>
              <w:spacing w:after="0"/>
            </w:pPr>
            <w:r>
              <w:rPr>
                <w:rFonts w:ascii="Consolas" w:hAnsi="Consolas"/>
                <w:color w:val="17365D"/>
                <w:sz w:val="17"/>
              </w:rPr>
              <w:t xml:space="preserve">    brd.docx  system-design.docx  adr/  threat-model.md</w:t>
            </w:r>
          </w:p>
        </w:tc>
        <w:trPr>
          <w:tblHeader/>
        </w:trPr>
      </w:tr>
    </w:tbl>
    <w:p>
      <w:pPr>
        <w:spacing w:after="0"/>
      </w:pPr>
    </w:p>
    <w:p>
      <w:pPr>
        <w:pStyle w:val="Heading2"/>
      </w:pPr>
      <w:r>
        <w:t>15.1 Technology baseline</w:t>
      </w:r>
    </w:p>
    <w:tbl>
      <w:tblPr>
        <w:tblStyle w:val="TableGrid"/>
        <w:tblW w:type="dxa" w:w="9360"/>
        <w:jc w:val="center"/>
        <w:tblLayout w:type="fixed"/>
        <w:tblLook w:firstColumn="1" w:firstRow="1" w:lastColumn="0" w:lastRow="0" w:noHBand="0" w:noVBand="1" w:val="04A0"/>
        <w:tblInd w:w="120" w:type="dxa"/>
      </w:tblPr>
      <w:tblGrid>
        <w:gridCol w:w="1800"/>
        <w:gridCol w:w="3400"/>
        <w:gridCol w:w="41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8"/>
              </w:rPr>
              <w:t>Layer</w:t>
            </w:r>
          </w:p>
        </w:tc>
        <w:tc>
          <w:tcPr>
            <w:tcW w:type="dxa" w:w="3400"/>
            <w:shd w:fill="E8EEF5"/>
            <w:tcMar>
              <w:top w:w="90" w:type="dxa"/>
              <w:start w:w="120" w:type="dxa"/>
              <w:bottom w:w="90" w:type="dxa"/>
              <w:end w:w="120" w:type="dxa"/>
            </w:tcMar>
            <w:vAlign w:val="center"/>
          </w:tcPr>
          <w:p>
            <w:pPr>
              <w:spacing w:after="0"/>
            </w:pPr>
            <w:r>
              <w:rPr>
                <w:b/>
                <w:color w:val="17365D"/>
                <w:sz w:val="18"/>
              </w:rPr>
              <w:t>Proposed MVP choice</w:t>
            </w:r>
          </w:p>
        </w:tc>
        <w:tc>
          <w:tcPr>
            <w:tcW w:type="dxa" w:w="4160"/>
            <w:shd w:fill="E8EEF5"/>
            <w:tcMar>
              <w:top w:w="90" w:type="dxa"/>
              <w:start w:w="120" w:type="dxa"/>
              <w:bottom w:w="90" w:type="dxa"/>
              <w:end w:w="120" w:type="dxa"/>
            </w:tcMar>
            <w:vAlign w:val="center"/>
          </w:tcPr>
          <w:p>
            <w:pPr>
              <w:spacing w:after="0"/>
            </w:pPr>
            <w:r>
              <w:rPr>
                <w:b/>
                <w:color w:val="17365D"/>
                <w:sz w:val="18"/>
              </w:rPr>
              <w:t>Rationale</w:t>
            </w:r>
          </w:p>
        </w:tc>
      </w:tr>
      <w:tr>
        <w:tc>
          <w:tcPr>
            <w:tcW w:type="dxa" w:w="1800"/>
            <w:tcMar>
              <w:top w:w="90" w:type="dxa"/>
              <w:start w:w="120" w:type="dxa"/>
              <w:bottom w:w="90" w:type="dxa"/>
              <w:end w:w="120" w:type="dxa"/>
            </w:tcMar>
            <w:vAlign w:val="center"/>
          </w:tcPr>
          <w:p>
            <w:pPr>
              <w:spacing w:after="0" w:line="252" w:lineRule="auto"/>
            </w:pPr>
            <w:r>
              <w:rPr>
                <w:sz w:val="18"/>
              </w:rPr>
              <w:t>Language</w:t>
            </w:r>
          </w:p>
        </w:tc>
        <w:tc>
          <w:tcPr>
            <w:tcW w:type="dxa" w:w="3400"/>
            <w:tcMar>
              <w:top w:w="90" w:type="dxa"/>
              <w:start w:w="120" w:type="dxa"/>
              <w:bottom w:w="90" w:type="dxa"/>
              <w:end w:w="120" w:type="dxa"/>
            </w:tcMar>
            <w:vAlign w:val="center"/>
          </w:tcPr>
          <w:p>
            <w:pPr>
              <w:spacing w:after="0" w:line="252" w:lineRule="auto"/>
            </w:pPr>
            <w:r>
              <w:rPr>
                <w:sz w:val="18"/>
              </w:rPr>
              <w:t>Python 3.12+</w:t>
            </w:r>
          </w:p>
        </w:tc>
        <w:tc>
          <w:tcPr>
            <w:tcW w:type="dxa" w:w="4160"/>
            <w:tcMar>
              <w:top w:w="90" w:type="dxa"/>
              <w:start w:w="120" w:type="dxa"/>
              <w:bottom w:w="90" w:type="dxa"/>
              <w:end w:w="120" w:type="dxa"/>
            </w:tcMar>
            <w:vAlign w:val="center"/>
          </w:tcPr>
          <w:p>
            <w:pPr>
              <w:spacing w:after="0" w:line="252" w:lineRule="auto"/>
            </w:pPr>
            <w:r>
              <w:rPr>
                <w:sz w:val="18"/>
              </w:rPr>
              <w:t>Strong schema/testing ecosystem and simple local MCP service.</w:t>
            </w:r>
          </w:p>
        </w:tc>
      </w:tr>
      <w:tr>
        <w:tc>
          <w:tcPr>
            <w:tcW w:type="dxa" w:w="1800"/>
            <w:tcMar>
              <w:top w:w="90" w:type="dxa"/>
              <w:start w:w="120" w:type="dxa"/>
              <w:bottom w:w="90" w:type="dxa"/>
              <w:end w:w="120" w:type="dxa"/>
            </w:tcMar>
            <w:vAlign w:val="center"/>
          </w:tcPr>
          <w:p>
            <w:pPr>
              <w:spacing w:after="0" w:line="252" w:lineRule="auto"/>
            </w:pPr>
            <w:r>
              <w:rPr>
                <w:sz w:val="18"/>
              </w:rPr>
              <w:t>Validation</w:t>
            </w:r>
          </w:p>
        </w:tc>
        <w:tc>
          <w:tcPr>
            <w:tcW w:type="dxa" w:w="3400"/>
            <w:tcMar>
              <w:top w:w="90" w:type="dxa"/>
              <w:start w:w="120" w:type="dxa"/>
              <w:bottom w:w="90" w:type="dxa"/>
              <w:end w:w="120" w:type="dxa"/>
            </w:tcMar>
            <w:vAlign w:val="center"/>
          </w:tcPr>
          <w:p>
            <w:pPr>
              <w:spacing w:after="0" w:line="252" w:lineRule="auto"/>
            </w:pPr>
            <w:r>
              <w:rPr>
                <w:sz w:val="18"/>
              </w:rPr>
              <w:t>Pydantic v2</w:t>
            </w:r>
          </w:p>
        </w:tc>
        <w:tc>
          <w:tcPr>
            <w:tcW w:type="dxa" w:w="4160"/>
            <w:tcMar>
              <w:top w:w="90" w:type="dxa"/>
              <w:start w:w="120" w:type="dxa"/>
              <w:bottom w:w="90" w:type="dxa"/>
              <w:end w:w="120" w:type="dxa"/>
            </w:tcMar>
            <w:vAlign w:val="center"/>
          </w:tcPr>
          <w:p>
            <w:pPr>
              <w:spacing w:after="0" w:line="252" w:lineRule="auto"/>
            </w:pPr>
            <w:r>
              <w:rPr>
                <w:sz w:val="18"/>
              </w:rPr>
              <w:t>Typed contracts, JSON Schema, strict bounds.</w:t>
            </w:r>
          </w:p>
        </w:tc>
      </w:tr>
      <w:tr>
        <w:tc>
          <w:tcPr>
            <w:tcW w:type="dxa" w:w="1800"/>
            <w:tcMar>
              <w:top w:w="90" w:type="dxa"/>
              <w:start w:w="120" w:type="dxa"/>
              <w:bottom w:w="90" w:type="dxa"/>
              <w:end w:w="120" w:type="dxa"/>
            </w:tcMar>
            <w:vAlign w:val="center"/>
          </w:tcPr>
          <w:p>
            <w:pPr>
              <w:spacing w:after="0" w:line="252" w:lineRule="auto"/>
            </w:pPr>
            <w:r>
              <w:rPr>
                <w:sz w:val="18"/>
              </w:rPr>
              <w:t>MCP</w:t>
            </w:r>
          </w:p>
        </w:tc>
        <w:tc>
          <w:tcPr>
            <w:tcW w:type="dxa" w:w="3400"/>
            <w:tcMar>
              <w:top w:w="90" w:type="dxa"/>
              <w:start w:w="120" w:type="dxa"/>
              <w:bottom w:w="90" w:type="dxa"/>
              <w:end w:w="120" w:type="dxa"/>
            </w:tcMar>
            <w:vAlign w:val="center"/>
          </w:tcPr>
          <w:p>
            <w:pPr>
              <w:spacing w:after="0" w:line="252" w:lineRule="auto"/>
            </w:pPr>
            <w:r>
              <w:rPr>
                <w:sz w:val="18"/>
              </w:rPr>
              <w:t>Official/current Python MCP tooling supported by the Codex environment</w:t>
            </w:r>
          </w:p>
        </w:tc>
        <w:tc>
          <w:tcPr>
            <w:tcW w:type="dxa" w:w="4160"/>
            <w:tcMar>
              <w:top w:w="90" w:type="dxa"/>
              <w:start w:w="120" w:type="dxa"/>
              <w:bottom w:w="90" w:type="dxa"/>
              <w:end w:w="120" w:type="dxa"/>
            </w:tcMar>
            <w:vAlign w:val="center"/>
          </w:tcPr>
          <w:p>
            <w:pPr>
              <w:spacing w:after="0" w:line="252" w:lineRule="auto"/>
            </w:pPr>
            <w:r>
              <w:rPr>
                <w:sz w:val="18"/>
              </w:rPr>
              <w:t>Native narrow interface; verify exact package at implementation time.</w:t>
            </w:r>
          </w:p>
        </w:tc>
      </w:tr>
      <w:tr>
        <w:tc>
          <w:tcPr>
            <w:tcW w:type="dxa" w:w="1800"/>
            <w:tcMar>
              <w:top w:w="90" w:type="dxa"/>
              <w:start w:w="120" w:type="dxa"/>
              <w:bottom w:w="90" w:type="dxa"/>
              <w:end w:w="120" w:type="dxa"/>
            </w:tcMar>
            <w:vAlign w:val="center"/>
          </w:tcPr>
          <w:p>
            <w:pPr>
              <w:spacing w:after="0" w:line="252" w:lineRule="auto"/>
            </w:pPr>
            <w:r>
              <w:rPr>
                <w:sz w:val="18"/>
              </w:rPr>
              <w:t>Persistence</w:t>
            </w:r>
          </w:p>
        </w:tc>
        <w:tc>
          <w:tcPr>
            <w:tcW w:type="dxa" w:w="3400"/>
            <w:tcMar>
              <w:top w:w="90" w:type="dxa"/>
              <w:start w:w="120" w:type="dxa"/>
              <w:bottom w:w="90" w:type="dxa"/>
              <w:end w:w="120" w:type="dxa"/>
            </w:tcMar>
            <w:vAlign w:val="center"/>
          </w:tcPr>
          <w:p>
            <w:pPr>
              <w:spacing w:after="0" w:line="252" w:lineRule="auto"/>
            </w:pPr>
            <w:r>
              <w:rPr>
                <w:sz w:val="18"/>
              </w:rPr>
              <w:t>SQLite + SQLAlchemy/Alembic</w:t>
            </w:r>
          </w:p>
        </w:tc>
        <w:tc>
          <w:tcPr>
            <w:tcW w:type="dxa" w:w="4160"/>
            <w:tcMar>
              <w:top w:w="90" w:type="dxa"/>
              <w:start w:w="120" w:type="dxa"/>
              <w:bottom w:w="90" w:type="dxa"/>
              <w:end w:w="120" w:type="dxa"/>
            </w:tcMar>
            <w:vAlign w:val="center"/>
          </w:tcPr>
          <w:p>
            <w:pPr>
              <w:spacing w:after="0" w:line="252" w:lineRule="auto"/>
            </w:pPr>
            <w:r>
              <w:rPr>
                <w:sz w:val="18"/>
              </w:rPr>
              <w:t>Transactional local state and migrations.</w:t>
            </w:r>
          </w:p>
        </w:tc>
      </w:tr>
      <w:tr>
        <w:tc>
          <w:tcPr>
            <w:tcW w:type="dxa" w:w="1800"/>
            <w:tcMar>
              <w:top w:w="90" w:type="dxa"/>
              <w:start w:w="120" w:type="dxa"/>
              <w:bottom w:w="90" w:type="dxa"/>
              <w:end w:w="120" w:type="dxa"/>
            </w:tcMar>
            <w:vAlign w:val="center"/>
          </w:tcPr>
          <w:p>
            <w:pPr>
              <w:spacing w:after="0" w:line="252" w:lineRule="auto"/>
            </w:pPr>
            <w:r>
              <w:rPr>
                <w:sz w:val="18"/>
              </w:rPr>
              <w:t>Configuration</w:t>
            </w:r>
          </w:p>
        </w:tc>
        <w:tc>
          <w:tcPr>
            <w:tcW w:type="dxa" w:w="3400"/>
            <w:tcMar>
              <w:top w:w="90" w:type="dxa"/>
              <w:start w:w="120" w:type="dxa"/>
              <w:bottom w:w="90" w:type="dxa"/>
              <w:end w:w="120" w:type="dxa"/>
            </w:tcMar>
            <w:vAlign w:val="center"/>
          </w:tcPr>
          <w:p>
            <w:pPr>
              <w:spacing w:after="0" w:line="252" w:lineRule="auto"/>
            </w:pPr>
            <w:r>
              <w:rPr>
                <w:sz w:val="18"/>
              </w:rPr>
              <w:t>YAML parsed into strict models</w:t>
            </w:r>
          </w:p>
        </w:tc>
        <w:tc>
          <w:tcPr>
            <w:tcW w:type="dxa" w:w="4160"/>
            <w:tcMar>
              <w:top w:w="90" w:type="dxa"/>
              <w:start w:w="120" w:type="dxa"/>
              <w:bottom w:w="90" w:type="dxa"/>
              <w:end w:w="120" w:type="dxa"/>
            </w:tcMar>
            <w:vAlign w:val="center"/>
          </w:tcPr>
          <w:p>
            <w:pPr>
              <w:spacing w:after="0" w:line="252" w:lineRule="auto"/>
            </w:pPr>
            <w:r>
              <w:rPr>
                <w:sz w:val="18"/>
              </w:rPr>
              <w:t>Readable, versionable, validated.</w:t>
            </w:r>
          </w:p>
        </w:tc>
      </w:tr>
      <w:tr>
        <w:tc>
          <w:tcPr>
            <w:tcW w:type="dxa" w:w="1800"/>
            <w:tcMar>
              <w:top w:w="90" w:type="dxa"/>
              <w:start w:w="120" w:type="dxa"/>
              <w:bottom w:w="90" w:type="dxa"/>
              <w:end w:w="120" w:type="dxa"/>
            </w:tcMar>
            <w:vAlign w:val="center"/>
          </w:tcPr>
          <w:p>
            <w:pPr>
              <w:spacing w:after="0" w:line="252" w:lineRule="auto"/>
            </w:pPr>
            <w:r>
              <w:rPr>
                <w:sz w:val="18"/>
              </w:rPr>
              <w:t>Testing</w:t>
            </w:r>
          </w:p>
        </w:tc>
        <w:tc>
          <w:tcPr>
            <w:tcW w:type="dxa" w:w="3400"/>
            <w:tcMar>
              <w:top w:w="90" w:type="dxa"/>
              <w:start w:w="120" w:type="dxa"/>
              <w:bottom w:w="90" w:type="dxa"/>
              <w:end w:w="120" w:type="dxa"/>
            </w:tcMar>
            <w:vAlign w:val="center"/>
          </w:tcPr>
          <w:p>
            <w:pPr>
              <w:spacing w:after="0" w:line="252" w:lineRule="auto"/>
            </w:pPr>
            <w:r>
              <w:rPr>
                <w:sz w:val="18"/>
              </w:rPr>
              <w:t>pytest + property-based tests</w:t>
            </w:r>
          </w:p>
        </w:tc>
        <w:tc>
          <w:tcPr>
            <w:tcW w:type="dxa" w:w="4160"/>
            <w:tcMar>
              <w:top w:w="90" w:type="dxa"/>
              <w:start w:w="120" w:type="dxa"/>
              <w:bottom w:w="90" w:type="dxa"/>
              <w:end w:w="120" w:type="dxa"/>
            </w:tcMar>
            <w:vAlign w:val="center"/>
          </w:tcPr>
          <w:p>
            <w:pPr>
              <w:spacing w:after="0" w:line="252" w:lineRule="auto"/>
            </w:pPr>
            <w:r>
              <w:rPr>
                <w:sz w:val="18"/>
              </w:rPr>
              <w:t>Unit, invariant, replay, and scenario coverage.</w:t>
            </w:r>
          </w:p>
        </w:tc>
      </w:tr>
      <w:tr>
        <w:tc>
          <w:tcPr>
            <w:tcW w:type="dxa" w:w="1800"/>
            <w:tcMar>
              <w:top w:w="90" w:type="dxa"/>
              <w:start w:w="120" w:type="dxa"/>
              <w:bottom w:w="90" w:type="dxa"/>
              <w:end w:w="120" w:type="dxa"/>
            </w:tcMar>
            <w:vAlign w:val="center"/>
          </w:tcPr>
          <w:p>
            <w:pPr>
              <w:spacing w:after="0" w:line="252" w:lineRule="auto"/>
            </w:pPr>
            <w:r>
              <w:rPr>
                <w:sz w:val="18"/>
              </w:rPr>
              <w:t>Telemetry</w:t>
            </w:r>
          </w:p>
        </w:tc>
        <w:tc>
          <w:tcPr>
            <w:tcW w:type="dxa" w:w="3400"/>
            <w:tcMar>
              <w:top w:w="90" w:type="dxa"/>
              <w:start w:w="120" w:type="dxa"/>
              <w:bottom w:w="90" w:type="dxa"/>
              <w:end w:w="120" w:type="dxa"/>
            </w:tcMar>
            <w:vAlign w:val="center"/>
          </w:tcPr>
          <w:p>
            <w:pPr>
              <w:spacing w:after="0" w:line="252" w:lineRule="auto"/>
            </w:pPr>
            <w:r>
              <w:rPr>
                <w:sz w:val="18"/>
              </w:rPr>
              <w:t>Structured logging + OpenTelemetry-compatible abstraction</w:t>
            </w:r>
          </w:p>
        </w:tc>
        <w:tc>
          <w:tcPr>
            <w:tcW w:type="dxa" w:w="4160"/>
            <w:tcMar>
              <w:top w:w="90" w:type="dxa"/>
              <w:start w:w="120" w:type="dxa"/>
              <w:bottom w:w="90" w:type="dxa"/>
              <w:end w:w="120" w:type="dxa"/>
            </w:tcMar>
            <w:vAlign w:val="center"/>
          </w:tcPr>
          <w:p>
            <w:pPr>
              <w:spacing w:after="0" w:line="252" w:lineRule="auto"/>
            </w:pPr>
            <w:r>
              <w:rPr>
                <w:sz w:val="18"/>
              </w:rPr>
              <w:t>Local first, portable later.</w:t>
            </w:r>
          </w:p>
        </w:tc>
      </w:tr>
    </w:tbl>
    <w:p>
      <w:pPr>
        <w:spacing w:after="0"/>
      </w:pPr>
    </w:p>
    <w:p>
      <w:pPr>
        <w:pStyle w:val="Heading1"/>
      </w:pPr>
      <w:r>
        <w:t>16. Implementation plan</w:t>
      </w:r>
    </w:p>
    <w:tbl>
      <w:tblPr>
        <w:tblStyle w:val="TableGrid"/>
        <w:tblW w:type="dxa" w:w="9360"/>
        <w:jc w:val="center"/>
        <w:tblLayout w:type="fixed"/>
        <w:tblLook w:firstColumn="1" w:firstRow="1" w:lastColumn="0" w:lastRow="0" w:noHBand="0" w:noVBand="1" w:val="04A0"/>
        <w:tblInd w:w="120" w:type="dxa"/>
      </w:tblPr>
      <w:tblGrid>
        <w:gridCol w:w="1500"/>
        <w:gridCol w:w="4750"/>
        <w:gridCol w:w="3110"/>
      </w:tblGrid>
      <w:tr>
        <w:trPr>
          <w:tblHeader w:val="true"/>
        </w:trPr>
        <w:tc>
          <w:tcPr>
            <w:tcW w:type="dxa" w:w="1500"/>
            <w:shd w:fill="E8EEF5"/>
            <w:tcMar>
              <w:top w:w="90" w:type="dxa"/>
              <w:start w:w="120" w:type="dxa"/>
              <w:bottom w:w="90" w:type="dxa"/>
              <w:end w:w="120" w:type="dxa"/>
            </w:tcMar>
            <w:vAlign w:val="center"/>
          </w:tcPr>
          <w:p>
            <w:pPr>
              <w:spacing w:after="0"/>
            </w:pPr>
            <w:r>
              <w:rPr>
                <w:b/>
                <w:color w:val="17365D"/>
                <w:sz w:val="18"/>
              </w:rPr>
              <w:t>Increment</w:t>
            </w:r>
          </w:p>
        </w:tc>
        <w:tc>
          <w:tcPr>
            <w:tcW w:type="dxa" w:w="4750"/>
            <w:shd w:fill="E8EEF5"/>
            <w:tcMar>
              <w:top w:w="90" w:type="dxa"/>
              <w:start w:w="120" w:type="dxa"/>
              <w:bottom w:w="90" w:type="dxa"/>
              <w:end w:w="120" w:type="dxa"/>
            </w:tcMar>
            <w:vAlign w:val="center"/>
          </w:tcPr>
          <w:p>
            <w:pPr>
              <w:spacing w:after="0"/>
            </w:pPr>
            <w:r>
              <w:rPr>
                <w:b/>
                <w:color w:val="17365D"/>
                <w:sz w:val="18"/>
              </w:rPr>
              <w:t>Deliverable</w:t>
            </w:r>
          </w:p>
        </w:tc>
        <w:tc>
          <w:tcPr>
            <w:tcW w:type="dxa" w:w="3110"/>
            <w:shd w:fill="E8EEF5"/>
            <w:tcMar>
              <w:top w:w="90" w:type="dxa"/>
              <w:start w:w="120" w:type="dxa"/>
              <w:bottom w:w="90" w:type="dxa"/>
              <w:end w:w="120" w:type="dxa"/>
            </w:tcMar>
            <w:vAlign w:val="center"/>
          </w:tcPr>
          <w:p>
            <w:pPr>
              <w:spacing w:after="0"/>
            </w:pPr>
            <w:r>
              <w:rPr>
                <w:b/>
                <w:color w:val="17365D"/>
                <w:sz w:val="18"/>
              </w:rPr>
              <w:t>Exit condition</w:t>
            </w:r>
          </w:p>
        </w:tc>
      </w:tr>
      <w:tr>
        <w:tc>
          <w:tcPr>
            <w:tcW w:type="dxa" w:w="1500"/>
            <w:tcMar>
              <w:top w:w="90" w:type="dxa"/>
              <w:start w:w="120" w:type="dxa"/>
              <w:bottom w:w="90" w:type="dxa"/>
              <w:end w:w="120" w:type="dxa"/>
            </w:tcMar>
            <w:vAlign w:val="center"/>
          </w:tcPr>
          <w:p>
            <w:pPr>
              <w:spacing w:after="0" w:line="252" w:lineRule="auto"/>
            </w:pPr>
            <w:r>
              <w:rPr>
                <w:sz w:val="18"/>
              </w:rPr>
              <w:t>I0 - Skeleton</w:t>
            </w:r>
          </w:p>
        </w:tc>
        <w:tc>
          <w:tcPr>
            <w:tcW w:type="dxa" w:w="4750"/>
            <w:tcMar>
              <w:top w:w="90" w:type="dxa"/>
              <w:start w:w="120" w:type="dxa"/>
              <w:bottom w:w="90" w:type="dxa"/>
              <w:end w:w="120" w:type="dxa"/>
            </w:tcMar>
            <w:vAlign w:val="center"/>
          </w:tcPr>
          <w:p>
            <w:pPr>
              <w:spacing w:after="0" w:line="252" w:lineRule="auto"/>
            </w:pPr>
            <w:r>
              <w:rPr>
                <w:sz w:val="18"/>
              </w:rPr>
              <w:t>Repo, AGENTS.md, config, MCP health tool, CI/test foundation.</w:t>
            </w:r>
          </w:p>
        </w:tc>
        <w:tc>
          <w:tcPr>
            <w:tcW w:type="dxa" w:w="3110"/>
            <w:tcMar>
              <w:top w:w="90" w:type="dxa"/>
              <w:start w:w="120" w:type="dxa"/>
              <w:bottom w:w="90" w:type="dxa"/>
              <w:end w:w="120" w:type="dxa"/>
            </w:tcMar>
            <w:vAlign w:val="center"/>
          </w:tcPr>
          <w:p>
            <w:pPr>
              <w:spacing w:after="0" w:line="252" w:lineRule="auto"/>
            </w:pPr>
            <w:r>
              <w:rPr>
                <w:sz w:val="18"/>
              </w:rPr>
              <w:t>Codex can discover and call local server safely.</w:t>
            </w:r>
          </w:p>
        </w:tc>
      </w:tr>
      <w:tr>
        <w:tc>
          <w:tcPr>
            <w:tcW w:type="dxa" w:w="1500"/>
            <w:tcMar>
              <w:top w:w="90" w:type="dxa"/>
              <w:start w:w="120" w:type="dxa"/>
              <w:bottom w:w="90" w:type="dxa"/>
              <w:end w:w="120" w:type="dxa"/>
            </w:tcMar>
            <w:vAlign w:val="center"/>
          </w:tcPr>
          <w:p>
            <w:pPr>
              <w:spacing w:after="0" w:line="252" w:lineRule="auto"/>
            </w:pPr>
            <w:r>
              <w:rPr>
                <w:sz w:val="18"/>
              </w:rPr>
              <w:t>I1 - State kernel</w:t>
            </w:r>
          </w:p>
        </w:tc>
        <w:tc>
          <w:tcPr>
            <w:tcW w:type="dxa" w:w="4750"/>
            <w:tcMar>
              <w:top w:w="90" w:type="dxa"/>
              <w:start w:w="120" w:type="dxa"/>
              <w:bottom w:w="90" w:type="dxa"/>
              <w:end w:w="120" w:type="dxa"/>
            </w:tcMar>
            <w:vAlign w:val="center"/>
          </w:tcPr>
          <w:p>
            <w:pPr>
              <w:spacing w:after="0" w:line="252" w:lineRule="auto"/>
            </w:pPr>
            <w:r>
              <w:rPr>
                <w:sz w:val="18"/>
              </w:rPr>
              <w:t>Schemas, profiles, SQLite, clock, decay, transition engine.</w:t>
            </w:r>
          </w:p>
        </w:tc>
        <w:tc>
          <w:tcPr>
            <w:tcW w:type="dxa" w:w="3110"/>
            <w:tcMar>
              <w:top w:w="90" w:type="dxa"/>
              <w:start w:w="120" w:type="dxa"/>
              <w:bottom w:w="90" w:type="dxa"/>
              <w:end w:w="120" w:type="dxa"/>
            </w:tcMar>
            <w:vAlign w:val="center"/>
          </w:tcPr>
          <w:p>
            <w:pPr>
              <w:spacing w:after="0" w:line="252" w:lineRule="auto"/>
            </w:pPr>
            <w:r>
              <w:rPr>
                <w:sz w:val="18"/>
              </w:rPr>
              <w:t>Deterministic property tests and replay pass.</w:t>
            </w:r>
          </w:p>
        </w:tc>
      </w:tr>
      <w:tr>
        <w:tc>
          <w:tcPr>
            <w:tcW w:type="dxa" w:w="1500"/>
            <w:tcMar>
              <w:top w:w="90" w:type="dxa"/>
              <w:start w:w="120" w:type="dxa"/>
              <w:bottom w:w="90" w:type="dxa"/>
              <w:end w:w="120" w:type="dxa"/>
            </w:tcMar>
            <w:vAlign w:val="center"/>
          </w:tcPr>
          <w:p>
            <w:pPr>
              <w:spacing w:after="0" w:line="252" w:lineRule="auto"/>
            </w:pPr>
            <w:r>
              <w:rPr>
                <w:sz w:val="18"/>
              </w:rPr>
              <w:t>I2 - Fast loop</w:t>
            </w:r>
          </w:p>
        </w:tc>
        <w:tc>
          <w:tcPr>
            <w:tcW w:type="dxa" w:w="4750"/>
            <w:tcMar>
              <w:top w:w="90" w:type="dxa"/>
              <w:start w:w="120" w:type="dxa"/>
              <w:bottom w:w="90" w:type="dxa"/>
              <w:end w:w="120" w:type="dxa"/>
            </w:tcMar>
            <w:vAlign w:val="center"/>
          </w:tcPr>
          <w:p>
            <w:pPr>
              <w:spacing w:after="0" w:line="252" w:lineRule="auto"/>
            </w:pPr>
            <w:r>
              <w:rPr>
                <w:sz w:val="18"/>
              </w:rPr>
              <w:t>Event gateway, rules, submit_event, interoception.</w:t>
            </w:r>
          </w:p>
        </w:tc>
        <w:tc>
          <w:tcPr>
            <w:tcW w:type="dxa" w:w="3110"/>
            <w:tcMar>
              <w:top w:w="90" w:type="dxa"/>
              <w:start w:w="120" w:type="dxa"/>
              <w:bottom w:w="90" w:type="dxa"/>
              <w:end w:w="120" w:type="dxa"/>
            </w:tcMar>
            <w:vAlign w:val="center"/>
          </w:tcPr>
          <w:p>
            <w:pPr>
              <w:spacing w:after="0" w:line="252" w:lineRule="auto"/>
            </w:pPr>
            <w:r>
              <w:rPr>
                <w:sz w:val="18"/>
              </w:rPr>
              <w:t>Interactive turn updates state under latency target.</w:t>
            </w:r>
          </w:p>
        </w:tc>
      </w:tr>
      <w:tr>
        <w:tc>
          <w:tcPr>
            <w:tcW w:type="dxa" w:w="1500"/>
            <w:tcMar>
              <w:top w:w="90" w:type="dxa"/>
              <w:start w:w="120" w:type="dxa"/>
              <w:bottom w:w="90" w:type="dxa"/>
              <w:end w:w="120" w:type="dxa"/>
            </w:tcMar>
            <w:vAlign w:val="center"/>
          </w:tcPr>
          <w:p>
            <w:pPr>
              <w:spacing w:after="0" w:line="252" w:lineRule="auto"/>
            </w:pPr>
            <w:r>
              <w:rPr>
                <w:sz w:val="18"/>
              </w:rPr>
              <w:t>I3 - Slow loop</w:t>
            </w:r>
          </w:p>
        </w:tc>
        <w:tc>
          <w:tcPr>
            <w:tcW w:type="dxa" w:w="4750"/>
            <w:tcMar>
              <w:top w:w="90" w:type="dxa"/>
              <w:start w:w="120" w:type="dxa"/>
              <w:bottom w:w="90" w:type="dxa"/>
              <w:end w:w="120" w:type="dxa"/>
            </w:tcMar>
            <w:vAlign w:val="center"/>
          </w:tcPr>
          <w:p>
            <w:pPr>
              <w:spacing w:after="0" w:line="252" w:lineRule="auto"/>
            </w:pPr>
            <w:r>
              <w:rPr>
                <w:sz w:val="18"/>
              </w:rPr>
              <w:t>Slow role packet/schema, validation, reappraisal.</w:t>
            </w:r>
          </w:p>
        </w:tc>
        <w:tc>
          <w:tcPr>
            <w:tcW w:type="dxa" w:w="3110"/>
            <w:tcMar>
              <w:top w:w="90" w:type="dxa"/>
              <w:start w:w="120" w:type="dxa"/>
              <w:bottom w:w="90" w:type="dxa"/>
              <w:end w:w="120" w:type="dxa"/>
            </w:tcMar>
            <w:vAlign w:val="center"/>
          </w:tcPr>
          <w:p>
            <w:pPr>
              <w:spacing w:after="0" w:line="252" w:lineRule="auto"/>
            </w:pPr>
            <w:r>
              <w:rPr>
                <w:sz w:val="18"/>
              </w:rPr>
              <w:t>Disambiguation scenarios revise state correctly.</w:t>
            </w:r>
          </w:p>
        </w:tc>
      </w:tr>
      <w:tr>
        <w:tc>
          <w:tcPr>
            <w:tcW w:type="dxa" w:w="1500"/>
            <w:tcMar>
              <w:top w:w="90" w:type="dxa"/>
              <w:start w:w="120" w:type="dxa"/>
              <w:bottom w:w="90" w:type="dxa"/>
              <w:end w:w="120" w:type="dxa"/>
            </w:tcMar>
            <w:vAlign w:val="center"/>
          </w:tcPr>
          <w:p>
            <w:pPr>
              <w:spacing w:after="0" w:line="252" w:lineRule="auto"/>
            </w:pPr>
            <w:r>
              <w:rPr>
                <w:sz w:val="18"/>
              </w:rPr>
              <w:t>I4 - Arbitration</w:t>
            </w:r>
          </w:p>
        </w:tc>
        <w:tc>
          <w:tcPr>
            <w:tcW w:type="dxa" w:w="4750"/>
            <w:tcMar>
              <w:top w:w="90" w:type="dxa"/>
              <w:start w:w="120" w:type="dxa"/>
              <w:bottom w:w="90" w:type="dxa"/>
              <w:end w:w="120" w:type="dxa"/>
            </w:tcMar>
            <w:vAlign w:val="center"/>
          </w:tcPr>
          <w:p>
            <w:pPr>
              <w:spacing w:after="0" w:line="252" w:lineRule="auto"/>
            </w:pPr>
            <w:r>
              <w:rPr>
                <w:sz w:val="18"/>
              </w:rPr>
              <w:t>Proposal model, policy guard, decision records, tool gate.</w:t>
            </w:r>
          </w:p>
        </w:tc>
        <w:tc>
          <w:tcPr>
            <w:tcW w:type="dxa" w:w="3110"/>
            <w:tcMar>
              <w:top w:w="90" w:type="dxa"/>
              <w:start w:w="120" w:type="dxa"/>
              <w:bottom w:w="90" w:type="dxa"/>
              <w:end w:w="120" w:type="dxa"/>
            </w:tcMar>
            <w:vAlign w:val="center"/>
          </w:tcPr>
          <w:p>
            <w:pPr>
              <w:spacing w:after="0" w:line="252" w:lineRule="auto"/>
            </w:pPr>
            <w:r>
              <w:rPr>
                <w:sz w:val="18"/>
              </w:rPr>
              <w:t>Consequential actions require valid decision and Codex approval.</w:t>
            </w:r>
          </w:p>
        </w:tc>
      </w:tr>
      <w:tr>
        <w:tc>
          <w:tcPr>
            <w:tcW w:type="dxa" w:w="1500"/>
            <w:tcMar>
              <w:top w:w="90" w:type="dxa"/>
              <w:start w:w="120" w:type="dxa"/>
              <w:bottom w:w="90" w:type="dxa"/>
              <w:end w:w="120" w:type="dxa"/>
            </w:tcMar>
            <w:vAlign w:val="center"/>
          </w:tcPr>
          <w:p>
            <w:pPr>
              <w:spacing w:after="0" w:line="252" w:lineRule="auto"/>
            </w:pPr>
            <w:r>
              <w:rPr>
                <w:sz w:val="18"/>
              </w:rPr>
              <w:t>I5 - Memory</w:t>
            </w:r>
          </w:p>
        </w:tc>
        <w:tc>
          <w:tcPr>
            <w:tcW w:type="dxa" w:w="4750"/>
            <w:tcMar>
              <w:top w:w="90" w:type="dxa"/>
              <w:start w:w="120" w:type="dxa"/>
              <w:bottom w:w="90" w:type="dxa"/>
              <w:end w:w="120" w:type="dxa"/>
            </w:tcMar>
            <w:vAlign w:val="center"/>
          </w:tcPr>
          <w:p>
            <w:pPr>
              <w:spacing w:after="0" w:line="252" w:lineRule="auto"/>
            </w:pPr>
            <w:r>
              <w:rPr>
                <w:sz w:val="18"/>
              </w:rPr>
              <w:t>Episodes, outcome capture, retrieval, bounded learning/extinction.</w:t>
            </w:r>
          </w:p>
        </w:tc>
        <w:tc>
          <w:tcPr>
            <w:tcW w:type="dxa" w:w="3110"/>
            <w:tcMar>
              <w:top w:w="90" w:type="dxa"/>
              <w:start w:w="120" w:type="dxa"/>
              <w:bottom w:w="90" w:type="dxa"/>
              <w:end w:w="120" w:type="dxa"/>
            </w:tcMar>
            <w:vAlign w:val="center"/>
          </w:tcPr>
          <w:p>
            <w:pPr>
              <w:spacing w:after="0" w:line="252" w:lineRule="auto"/>
            </w:pPr>
            <w:r>
              <w:rPr>
                <w:sz w:val="18"/>
              </w:rPr>
              <w:t>Longitudinal scenarios show controlled adaptation.</w:t>
            </w:r>
          </w:p>
        </w:tc>
      </w:tr>
      <w:tr>
        <w:tc>
          <w:tcPr>
            <w:tcW w:type="dxa" w:w="1500"/>
            <w:tcMar>
              <w:top w:w="90" w:type="dxa"/>
              <w:start w:w="120" w:type="dxa"/>
              <w:bottom w:w="90" w:type="dxa"/>
              <w:end w:w="120" w:type="dxa"/>
            </w:tcMar>
            <w:vAlign w:val="center"/>
          </w:tcPr>
          <w:p>
            <w:pPr>
              <w:spacing w:after="0" w:line="252" w:lineRule="auto"/>
            </w:pPr>
            <w:r>
              <w:rPr>
                <w:sz w:val="18"/>
              </w:rPr>
              <w:t>I6 - Evaluation</w:t>
            </w:r>
          </w:p>
        </w:tc>
        <w:tc>
          <w:tcPr>
            <w:tcW w:type="dxa" w:w="4750"/>
            <w:tcMar>
              <w:top w:w="90" w:type="dxa"/>
              <w:start w:w="120" w:type="dxa"/>
              <w:bottom w:w="90" w:type="dxa"/>
              <w:end w:w="120" w:type="dxa"/>
            </w:tcMar>
            <w:vAlign w:val="center"/>
          </w:tcPr>
          <w:p>
            <w:pPr>
              <w:spacing w:after="0" w:line="252" w:lineRule="auto"/>
            </w:pPr>
            <w:r>
              <w:rPr>
                <w:sz w:val="18"/>
              </w:rPr>
              <w:t>Ablations, scenario runner, metrics, trace reports.</w:t>
            </w:r>
          </w:p>
        </w:tc>
        <w:tc>
          <w:tcPr>
            <w:tcW w:type="dxa" w:w="3110"/>
            <w:tcMar>
              <w:top w:w="90" w:type="dxa"/>
              <w:start w:w="120" w:type="dxa"/>
              <w:bottom w:w="90" w:type="dxa"/>
              <w:end w:w="120" w:type="dxa"/>
            </w:tcMar>
            <w:vAlign w:val="center"/>
          </w:tcPr>
          <w:p>
            <w:pPr>
              <w:spacing w:after="0" w:line="252" w:lineRule="auto"/>
            </w:pPr>
            <w:r>
              <w:rPr>
                <w:sz w:val="18"/>
              </w:rPr>
              <w:t>BRD success properties measured and reviewed.</w:t>
            </w:r>
          </w:p>
        </w:tc>
      </w:tr>
      <w:tr>
        <w:tc>
          <w:tcPr>
            <w:tcW w:type="dxa" w:w="1500"/>
            <w:tcMar>
              <w:top w:w="90" w:type="dxa"/>
              <w:start w:w="120" w:type="dxa"/>
              <w:bottom w:w="90" w:type="dxa"/>
              <w:end w:w="120" w:type="dxa"/>
            </w:tcMar>
            <w:vAlign w:val="center"/>
          </w:tcPr>
          <w:p>
            <w:pPr>
              <w:spacing w:after="0" w:line="252" w:lineRule="auto"/>
            </w:pPr>
            <w:r>
              <w:rPr>
                <w:sz w:val="18"/>
              </w:rPr>
              <w:t>I7 - Hardening</w:t>
            </w:r>
          </w:p>
        </w:tc>
        <w:tc>
          <w:tcPr>
            <w:tcW w:type="dxa" w:w="4750"/>
            <w:tcMar>
              <w:top w:w="90" w:type="dxa"/>
              <w:start w:w="120" w:type="dxa"/>
              <w:bottom w:w="90" w:type="dxa"/>
              <w:end w:w="120" w:type="dxa"/>
            </w:tcMar>
            <w:vAlign w:val="center"/>
          </w:tcPr>
          <w:p>
            <w:pPr>
              <w:spacing w:after="0" w:line="252" w:lineRule="auto"/>
            </w:pPr>
            <w:r>
              <w:rPr>
                <w:sz w:val="18"/>
              </w:rPr>
              <w:t>Threat tests, privacy controls, migrations, failure recovery.</w:t>
            </w:r>
          </w:p>
        </w:tc>
        <w:tc>
          <w:tcPr>
            <w:tcW w:type="dxa" w:w="3110"/>
            <w:tcMar>
              <w:top w:w="90" w:type="dxa"/>
              <w:start w:w="120" w:type="dxa"/>
              <w:bottom w:w="90" w:type="dxa"/>
              <w:end w:w="120" w:type="dxa"/>
            </w:tcMar>
            <w:vAlign w:val="center"/>
          </w:tcPr>
          <w:p>
            <w:pPr>
              <w:spacing w:after="0" w:line="252" w:lineRule="auto"/>
            </w:pPr>
            <w:r>
              <w:rPr>
                <w:sz w:val="18"/>
              </w:rPr>
              <w:t>Release checklist and safety review pass.</w:t>
            </w:r>
          </w:p>
        </w:tc>
      </w:tr>
    </w:tbl>
    <w:p>
      <w:pPr>
        <w:spacing w:after="0"/>
      </w:pPr>
    </w:p>
    <w:p>
      <w:pPr>
        <w:pStyle w:val="Heading2"/>
      </w:pPr>
      <w:r>
        <w:t>16.1 Recommended first vertical slice</w:t>
      </w:r>
    </w:p>
    <w:p>
      <w:pPr>
        <w:pStyle w:val="ListNumber"/>
      </w:pPr>
      <w:r>
        <w:t>Implement one agent profile and SQLite state revisioning.</w:t>
      </w:r>
    </w:p>
    <w:p>
      <w:pPr>
        <w:pStyle w:val="ListNumber"/>
      </w:pPr>
      <w:r>
        <w:t>Accept a normalized social-feedback event.</w:t>
      </w:r>
    </w:p>
    <w:p>
      <w:pPr>
        <w:pStyle w:val="ListNumber"/>
      </w:pPr>
      <w:r>
        <w:t>Run deterministic fast appraisal and state transition.</w:t>
      </w:r>
    </w:p>
    <w:p>
      <w:pPr>
        <w:pStyle w:val="ListNumber"/>
      </w:pPr>
      <w:r>
        <w:t>Return partial interoception.</w:t>
      </w:r>
    </w:p>
    <w:p>
      <w:pPr>
        <w:pStyle w:val="ListNumber"/>
      </w:pPr>
      <w:r>
        <w:t>Have Codex use that view to compose a response.</w:t>
      </w:r>
    </w:p>
    <w:p>
      <w:pPr>
        <w:pStyle w:val="ListNumber"/>
      </w:pPr>
      <w:r>
        <w:t>Record the response as an action and user reply as an outcome.</w:t>
      </w:r>
    </w:p>
    <w:p>
      <w:pPr>
        <w:pStyle w:val="ListNumber"/>
      </w:pPr>
      <w:r>
        <w:t>Replay the same sequence and compare against a neutral-state ablation.</w:t>
      </w:r>
    </w:p>
    <w:p>
      <w:pPr>
        <w:pStyle w:val="Heading1"/>
      </w:pPr>
      <w:r>
        <w:t>17. Test strategy</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pPr>
              <w:spacing w:after="0"/>
            </w:pPr>
            <w:r>
              <w:rPr>
                <w:b/>
                <w:color w:val="17365D"/>
                <w:sz w:val="18"/>
              </w:rPr>
              <w:t>Test layer</w:t>
            </w:r>
          </w:p>
        </w:tc>
        <w:tc>
          <w:tcPr>
            <w:tcW w:type="dxa" w:w="7460"/>
            <w:shd w:fill="E8EEF5"/>
            <w:tcMar>
              <w:top w:w="90" w:type="dxa"/>
              <w:start w:w="120" w:type="dxa"/>
              <w:bottom w:w="90" w:type="dxa"/>
              <w:end w:w="120" w:type="dxa"/>
            </w:tcMar>
            <w:vAlign w:val="center"/>
          </w:tcPr>
          <w:p>
            <w:pPr>
              <w:spacing w:after="0"/>
            </w:pPr>
            <w:r>
              <w:rPr>
                <w:b/>
                <w:color w:val="17365D"/>
                <w:sz w:val="18"/>
              </w:rPr>
              <w:t>Coverage</w:t>
            </w:r>
          </w:p>
        </w:tc>
      </w:tr>
      <w:tr>
        <w:tc>
          <w:tcPr>
            <w:tcW w:type="dxa" w:w="1900"/>
            <w:tcMar>
              <w:top w:w="90" w:type="dxa"/>
              <w:start w:w="120" w:type="dxa"/>
              <w:bottom w:w="90" w:type="dxa"/>
              <w:end w:w="120" w:type="dxa"/>
            </w:tcMar>
            <w:vAlign w:val="center"/>
          </w:tcPr>
          <w:p>
            <w:pPr>
              <w:spacing w:after="0" w:line="252" w:lineRule="auto"/>
            </w:pPr>
            <w:r>
              <w:rPr>
                <w:sz w:val="18"/>
              </w:rPr>
              <w:t>Unit</w:t>
            </w:r>
          </w:p>
        </w:tc>
        <w:tc>
          <w:tcPr>
            <w:tcW w:type="dxa" w:w="7460"/>
            <w:tcMar>
              <w:top w:w="90" w:type="dxa"/>
              <w:start w:w="120" w:type="dxa"/>
              <w:bottom w:w="90" w:type="dxa"/>
              <w:end w:w="120" w:type="dxa"/>
            </w:tcMar>
            <w:vAlign w:val="center"/>
          </w:tcPr>
          <w:p>
            <w:pPr>
              <w:spacing w:after="0" w:line="252" w:lineRule="auto"/>
            </w:pPr>
            <w:r>
              <w:rPr>
                <w:sz w:val="18"/>
              </w:rPr>
              <w:t>Appraisal rules, decay, clamping, blending, interoception noise, arbitration factors.</w:t>
            </w:r>
          </w:p>
        </w:tc>
      </w:tr>
      <w:tr>
        <w:tc>
          <w:tcPr>
            <w:tcW w:type="dxa" w:w="1900"/>
            <w:tcMar>
              <w:top w:w="90" w:type="dxa"/>
              <w:start w:w="120" w:type="dxa"/>
              <w:bottom w:w="90" w:type="dxa"/>
              <w:end w:w="120" w:type="dxa"/>
            </w:tcMar>
            <w:vAlign w:val="center"/>
          </w:tcPr>
          <w:p>
            <w:pPr>
              <w:spacing w:after="0" w:line="252" w:lineRule="auto"/>
            </w:pPr>
            <w:r>
              <w:rPr>
                <w:sz w:val="18"/>
              </w:rPr>
              <w:t>Property</w:t>
            </w:r>
          </w:p>
        </w:tc>
        <w:tc>
          <w:tcPr>
            <w:tcW w:type="dxa" w:w="7460"/>
            <w:tcMar>
              <w:top w:w="90" w:type="dxa"/>
              <w:start w:w="120" w:type="dxa"/>
              <w:bottom w:w="90" w:type="dxa"/>
              <w:end w:w="120" w:type="dxa"/>
            </w:tcMar>
            <w:vAlign w:val="center"/>
          </w:tcPr>
          <w:p>
            <w:pPr>
              <w:spacing w:after="0" w:line="252" w:lineRule="auto"/>
            </w:pPr>
            <w:r>
              <w:rPr>
                <w:sz w:val="18"/>
              </w:rPr>
              <w:t>Bounds, determinism, idempotency, monotonic revisions, recovery, no NaN/overflow.</w:t>
            </w:r>
          </w:p>
        </w:tc>
      </w:tr>
      <w:tr>
        <w:tc>
          <w:tcPr>
            <w:tcW w:type="dxa" w:w="1900"/>
            <w:tcMar>
              <w:top w:w="90" w:type="dxa"/>
              <w:start w:w="120" w:type="dxa"/>
              <w:bottom w:w="90" w:type="dxa"/>
              <w:end w:w="120" w:type="dxa"/>
            </w:tcMar>
            <w:vAlign w:val="center"/>
          </w:tcPr>
          <w:p>
            <w:pPr>
              <w:spacing w:after="0" w:line="252" w:lineRule="auto"/>
            </w:pPr>
            <w:r>
              <w:rPr>
                <w:sz w:val="18"/>
              </w:rPr>
              <w:t>Contract</w:t>
            </w:r>
          </w:p>
        </w:tc>
        <w:tc>
          <w:tcPr>
            <w:tcW w:type="dxa" w:w="7460"/>
            <w:tcMar>
              <w:top w:w="90" w:type="dxa"/>
              <w:start w:w="120" w:type="dxa"/>
              <w:bottom w:w="90" w:type="dxa"/>
              <w:end w:w="120" w:type="dxa"/>
            </w:tcMar>
            <w:vAlign w:val="center"/>
          </w:tcPr>
          <w:p>
            <w:pPr>
              <w:spacing w:after="0" w:line="252" w:lineRule="auto"/>
            </w:pPr>
            <w:r>
              <w:rPr>
                <w:sz w:val="18"/>
              </w:rPr>
              <w:t>Every MCP request/response schema, invalid enum, missing provenance, stale revision.</w:t>
            </w:r>
          </w:p>
        </w:tc>
      </w:tr>
      <w:tr>
        <w:tc>
          <w:tcPr>
            <w:tcW w:type="dxa" w:w="1900"/>
            <w:tcMar>
              <w:top w:w="90" w:type="dxa"/>
              <w:start w:w="120" w:type="dxa"/>
              <w:bottom w:w="90" w:type="dxa"/>
              <w:end w:w="120" w:type="dxa"/>
            </w:tcMar>
            <w:vAlign w:val="center"/>
          </w:tcPr>
          <w:p>
            <w:pPr>
              <w:spacing w:after="0" w:line="252" w:lineRule="auto"/>
            </w:pPr>
            <w:r>
              <w:rPr>
                <w:sz w:val="18"/>
              </w:rPr>
              <w:t>Integration</w:t>
            </w:r>
          </w:p>
        </w:tc>
        <w:tc>
          <w:tcPr>
            <w:tcW w:type="dxa" w:w="7460"/>
            <w:tcMar>
              <w:top w:w="90" w:type="dxa"/>
              <w:start w:w="120" w:type="dxa"/>
              <w:bottom w:w="90" w:type="dxa"/>
              <w:end w:w="120" w:type="dxa"/>
            </w:tcMar>
            <w:vAlign w:val="center"/>
          </w:tcPr>
          <w:p>
            <w:pPr>
              <w:spacing w:after="0" w:line="252" w:lineRule="auto"/>
            </w:pPr>
            <w:r>
              <w:rPr>
                <w:sz w:val="18"/>
              </w:rPr>
              <w:t>Codex harness to MCP Core; role scopes; persistence; failure fallback.</w:t>
            </w:r>
          </w:p>
        </w:tc>
      </w:tr>
      <w:tr>
        <w:tc>
          <w:tcPr>
            <w:tcW w:type="dxa" w:w="1900"/>
            <w:tcMar>
              <w:top w:w="90" w:type="dxa"/>
              <w:start w:w="120" w:type="dxa"/>
              <w:bottom w:w="90" w:type="dxa"/>
              <w:end w:w="120" w:type="dxa"/>
            </w:tcMar>
            <w:vAlign w:val="center"/>
          </w:tcPr>
          <w:p>
            <w:pPr>
              <w:spacing w:after="0" w:line="252" w:lineRule="auto"/>
            </w:pPr>
            <w:r>
              <w:rPr>
                <w:sz w:val="18"/>
              </w:rPr>
              <w:t>Scenario</w:t>
            </w:r>
          </w:p>
        </w:tc>
        <w:tc>
          <w:tcPr>
            <w:tcW w:type="dxa" w:w="7460"/>
            <w:tcMar>
              <w:top w:w="90" w:type="dxa"/>
              <w:start w:w="120" w:type="dxa"/>
              <w:bottom w:w="90" w:type="dxa"/>
              <w:end w:w="120" w:type="dxa"/>
            </w:tcMar>
            <w:vAlign w:val="center"/>
          </w:tcPr>
          <w:p>
            <w:pPr>
              <w:spacing w:after="0" w:line="252" w:lineRule="auto"/>
            </w:pPr>
            <w:r>
              <w:rPr>
                <w:sz w:val="18"/>
              </w:rPr>
              <w:t>Threat correction, rejection, mixed outcomes, habituation, conditioning, extinction.</w:t>
            </w:r>
          </w:p>
        </w:tc>
      </w:tr>
      <w:tr>
        <w:tc>
          <w:tcPr>
            <w:tcW w:type="dxa" w:w="1900"/>
            <w:tcMar>
              <w:top w:w="90" w:type="dxa"/>
              <w:start w:w="120" w:type="dxa"/>
              <w:bottom w:w="90" w:type="dxa"/>
              <w:end w:w="120" w:type="dxa"/>
            </w:tcMar>
            <w:vAlign w:val="center"/>
          </w:tcPr>
          <w:p>
            <w:pPr>
              <w:spacing w:after="0" w:line="252" w:lineRule="auto"/>
            </w:pPr>
            <w:r>
              <w:rPr>
                <w:sz w:val="18"/>
              </w:rPr>
              <w:t>Ablation</w:t>
            </w:r>
          </w:p>
        </w:tc>
        <w:tc>
          <w:tcPr>
            <w:tcW w:type="dxa" w:w="7460"/>
            <w:tcMar>
              <w:top w:w="90" w:type="dxa"/>
              <w:start w:w="120" w:type="dxa"/>
              <w:bottom w:w="90" w:type="dxa"/>
              <w:end w:w="120" w:type="dxa"/>
            </w:tcMar>
            <w:vAlign w:val="center"/>
          </w:tcPr>
          <w:p>
            <w:pPr>
              <w:spacing w:after="0" w:line="252" w:lineRule="auto"/>
            </w:pPr>
            <w:r>
              <w:rPr>
                <w:sz w:val="18"/>
              </w:rPr>
              <w:t>Full vs neutral vs pathway/memory/introspection-disabled variants.</w:t>
            </w:r>
          </w:p>
        </w:tc>
      </w:tr>
      <w:tr>
        <w:tc>
          <w:tcPr>
            <w:tcW w:type="dxa" w:w="1900"/>
            <w:tcMar>
              <w:top w:w="90" w:type="dxa"/>
              <w:start w:w="120" w:type="dxa"/>
              <w:bottom w:w="90" w:type="dxa"/>
              <w:end w:w="120" w:type="dxa"/>
            </w:tcMar>
            <w:vAlign w:val="center"/>
          </w:tcPr>
          <w:p>
            <w:pPr>
              <w:spacing w:after="0" w:line="252" w:lineRule="auto"/>
            </w:pPr>
            <w:r>
              <w:rPr>
                <w:sz w:val="18"/>
              </w:rPr>
              <w:t>Adversarial</w:t>
            </w:r>
          </w:p>
        </w:tc>
        <w:tc>
          <w:tcPr>
            <w:tcW w:type="dxa" w:w="7460"/>
            <w:tcMar>
              <w:top w:w="90" w:type="dxa"/>
              <w:start w:w="120" w:type="dxa"/>
              <w:bottom w:w="90" w:type="dxa"/>
              <w:end w:w="120" w:type="dxa"/>
            </w:tcMar>
            <w:vAlign w:val="center"/>
          </w:tcPr>
          <w:p>
            <w:pPr>
              <w:spacing w:after="0" w:line="252" w:lineRule="auto"/>
            </w:pPr>
            <w:r>
              <w:rPr>
                <w:sz w:val="18"/>
              </w:rPr>
              <w:t>State injection, prompt injection, memory poisoning, fake decision, race/replay attacks.</w:t>
            </w:r>
          </w:p>
        </w:tc>
      </w:tr>
      <w:tr>
        <w:tc>
          <w:tcPr>
            <w:tcW w:type="dxa" w:w="1900"/>
            <w:tcMar>
              <w:top w:w="90" w:type="dxa"/>
              <w:start w:w="120" w:type="dxa"/>
              <w:bottom w:w="90" w:type="dxa"/>
              <w:end w:w="120" w:type="dxa"/>
            </w:tcMar>
            <w:vAlign w:val="center"/>
          </w:tcPr>
          <w:p>
            <w:pPr>
              <w:spacing w:after="0" w:line="252" w:lineRule="auto"/>
            </w:pPr>
            <w:r>
              <w:rPr>
                <w:sz w:val="18"/>
              </w:rPr>
              <w:t>Safety</w:t>
            </w:r>
          </w:p>
        </w:tc>
        <w:tc>
          <w:tcPr>
            <w:tcW w:type="dxa" w:w="7460"/>
            <w:tcMar>
              <w:top w:w="90" w:type="dxa"/>
              <w:start w:w="120" w:type="dxa"/>
              <w:bottom w:w="90" w:type="dxa"/>
              <w:end w:w="120" w:type="dxa"/>
            </w:tcMar>
            <w:vAlign w:val="center"/>
          </w:tcPr>
          <w:p>
            <w:pPr>
              <w:spacing w:after="0" w:line="252" w:lineRule="auto"/>
            </w:pPr>
            <w:r>
              <w:rPr>
                <w:sz w:val="18"/>
              </w:rPr>
              <w:t>Extreme affect never changes authorization or critical policy compliance.</w:t>
            </w:r>
          </w:p>
        </w:tc>
      </w:tr>
      <w:tr>
        <w:tc>
          <w:tcPr>
            <w:tcW w:type="dxa" w:w="1900"/>
            <w:tcMar>
              <w:top w:w="90" w:type="dxa"/>
              <w:start w:w="120" w:type="dxa"/>
              <w:bottom w:w="90" w:type="dxa"/>
              <w:end w:w="120" w:type="dxa"/>
            </w:tcMar>
            <w:vAlign w:val="center"/>
          </w:tcPr>
          <w:p>
            <w:pPr>
              <w:spacing w:after="0" w:line="252" w:lineRule="auto"/>
            </w:pPr>
            <w:r>
              <w:rPr>
                <w:sz w:val="18"/>
              </w:rPr>
              <w:t>Performance</w:t>
            </w:r>
          </w:p>
        </w:tc>
        <w:tc>
          <w:tcPr>
            <w:tcW w:type="dxa" w:w="7460"/>
            <w:tcMar>
              <w:top w:w="90" w:type="dxa"/>
              <w:start w:w="120" w:type="dxa"/>
              <w:bottom w:w="90" w:type="dxa"/>
              <w:end w:w="120" w:type="dxa"/>
            </w:tcMar>
            <w:vAlign w:val="center"/>
          </w:tcPr>
          <w:p>
            <w:pPr>
              <w:spacing w:after="0" w:line="252" w:lineRule="auto"/>
            </w:pPr>
            <w:r>
              <w:rPr>
                <w:sz w:val="18"/>
              </w:rPr>
              <w:t>Fast p50/p95, slow concurrency, event replay throughput, store contention.</w:t>
            </w:r>
          </w:p>
        </w:tc>
      </w:tr>
      <w:tr>
        <w:tc>
          <w:tcPr>
            <w:tcW w:type="dxa" w:w="1900"/>
            <w:tcMar>
              <w:top w:w="90" w:type="dxa"/>
              <w:start w:w="120" w:type="dxa"/>
              <w:bottom w:w="90" w:type="dxa"/>
              <w:end w:w="120" w:type="dxa"/>
            </w:tcMar>
            <w:vAlign w:val="center"/>
          </w:tcPr>
          <w:p>
            <w:pPr>
              <w:spacing w:after="0" w:line="252" w:lineRule="auto"/>
            </w:pPr>
            <w:r>
              <w:rPr>
                <w:sz w:val="18"/>
              </w:rPr>
              <w:t>Migration</w:t>
            </w:r>
          </w:p>
        </w:tc>
        <w:tc>
          <w:tcPr>
            <w:tcW w:type="dxa" w:w="7460"/>
            <w:tcMar>
              <w:top w:w="90" w:type="dxa"/>
              <w:start w:w="120" w:type="dxa"/>
              <w:bottom w:w="90" w:type="dxa"/>
              <w:end w:w="120" w:type="dxa"/>
            </w:tcMar>
            <w:vAlign w:val="center"/>
          </w:tcPr>
          <w:p>
            <w:pPr>
              <w:spacing w:after="0" w:line="252" w:lineRule="auto"/>
            </w:pPr>
            <w:r>
              <w:rPr>
                <w:sz w:val="18"/>
              </w:rPr>
              <w:t>Schema and configuration upgrades preserve historical trace integrity.</w:t>
            </w:r>
          </w:p>
        </w:tc>
      </w:tr>
    </w:tbl>
    <w:p>
      <w:pPr>
        <w:spacing w:after="0"/>
      </w:pPr>
    </w:p>
    <w:p>
      <w:pPr>
        <w:pStyle w:val="Heading2"/>
      </w:pPr>
      <w:r>
        <w:t>17.1 Definition of done for a component</w:t>
      </w:r>
    </w:p>
    <w:p>
      <w:pPr>
        <w:pStyle w:val="ListBullet"/>
      </w:pPr>
      <w:r>
        <w:t>Typed interface and failure semantics documented.</w:t>
      </w:r>
    </w:p>
    <w:p>
      <w:pPr>
        <w:pStyle w:val="ListBullet"/>
      </w:pPr>
      <w:r>
        <w:t>Unit and contract tests pass.</w:t>
      </w:r>
    </w:p>
    <w:p>
      <w:pPr>
        <w:pStyle w:val="ListBullet"/>
      </w:pPr>
      <w:r>
        <w:t>Trace events and health diagnostics implemented.</w:t>
      </w:r>
    </w:p>
    <w:p>
      <w:pPr>
        <w:pStyle w:val="ListBullet"/>
      </w:pPr>
      <w:r>
        <w:t>Security and privacy implications reviewed.</w:t>
      </w:r>
    </w:p>
    <w:p>
      <w:pPr>
        <w:pStyle w:val="ListBullet"/>
      </w:pPr>
      <w:r>
        <w:t>Replay determinism demonstrated where required.</w:t>
      </w:r>
    </w:p>
    <w:p>
      <w:pPr>
        <w:pStyle w:val="ListBullet"/>
      </w:pPr>
      <w:r>
        <w:t>Codex skill/instructions updated when workflow changes.</w:t>
      </w:r>
    </w:p>
    <w:p>
      <w:pPr>
        <w:pStyle w:val="Heading1"/>
      </w:pPr>
      <w:r>
        <w:t>18. Risks and open decisions</w:t>
      </w:r>
    </w:p>
    <w:tbl>
      <w:tblPr>
        <w:tblStyle w:val="TableGrid"/>
        <w:tblW w:type="dxa" w:w="9360"/>
        <w:jc w:val="center"/>
        <w:tblLayout w:type="fixed"/>
        <w:tblLook w:firstColumn="1" w:firstRow="1" w:lastColumn="0" w:lastRow="0" w:noHBand="0" w:noVBand="1" w:val="04A0"/>
        <w:tblInd w:w="120" w:type="dxa"/>
      </w:tblPr>
      <w:tblGrid>
        <w:gridCol w:w="2750"/>
        <w:gridCol w:w="3200"/>
        <w:gridCol w:w="3410"/>
      </w:tblGrid>
      <w:tr>
        <w:trPr>
          <w:tblHeader w:val="true"/>
        </w:trPr>
        <w:tc>
          <w:tcPr>
            <w:tcW w:type="dxa" w:w="2750"/>
            <w:shd w:fill="E8EEF5"/>
            <w:tcMar>
              <w:top w:w="90" w:type="dxa"/>
              <w:start w:w="120" w:type="dxa"/>
              <w:bottom w:w="90" w:type="dxa"/>
              <w:end w:w="120" w:type="dxa"/>
            </w:tcMar>
            <w:vAlign w:val="center"/>
          </w:tcPr>
          <w:p>
            <w:pPr>
              <w:spacing w:after="0"/>
            </w:pPr>
            <w:r>
              <w:rPr>
                <w:b/>
                <w:color w:val="17365D"/>
                <w:sz w:val="18"/>
              </w:rPr>
              <w:t>Risk / decision</w:t>
            </w:r>
          </w:p>
        </w:tc>
        <w:tc>
          <w:tcPr>
            <w:tcW w:type="dxa" w:w="3200"/>
            <w:shd w:fill="E8EEF5"/>
            <w:tcMar>
              <w:top w:w="90" w:type="dxa"/>
              <w:start w:w="120" w:type="dxa"/>
              <w:bottom w:w="90" w:type="dxa"/>
              <w:end w:w="120" w:type="dxa"/>
            </w:tcMar>
            <w:vAlign w:val="center"/>
          </w:tcPr>
          <w:p>
            <w:pPr>
              <w:spacing w:after="0"/>
            </w:pPr>
            <w:r>
              <w:rPr>
                <w:b/>
                <w:color w:val="17365D"/>
                <w:sz w:val="18"/>
              </w:rPr>
              <w:t>Current position</w:t>
            </w:r>
          </w:p>
        </w:tc>
        <w:tc>
          <w:tcPr>
            <w:tcW w:type="dxa" w:w="3410"/>
            <w:shd w:fill="E8EEF5"/>
            <w:tcMar>
              <w:top w:w="90" w:type="dxa"/>
              <w:start w:w="120" w:type="dxa"/>
              <w:bottom w:w="90" w:type="dxa"/>
              <w:end w:w="120" w:type="dxa"/>
            </w:tcMar>
            <w:vAlign w:val="center"/>
          </w:tcPr>
          <w:p>
            <w:pPr>
              <w:spacing w:after="0"/>
            </w:pPr>
            <w:r>
              <w:rPr>
                <w:b/>
                <w:color w:val="17365D"/>
                <w:sz w:val="18"/>
              </w:rPr>
              <w:t>Resolution needed</w:t>
            </w:r>
          </w:p>
        </w:tc>
      </w:tr>
      <w:tr>
        <w:tc>
          <w:tcPr>
            <w:tcW w:type="dxa" w:w="2750"/>
            <w:tcMar>
              <w:top w:w="90" w:type="dxa"/>
              <w:start w:w="120" w:type="dxa"/>
              <w:bottom w:w="90" w:type="dxa"/>
              <w:end w:w="120" w:type="dxa"/>
            </w:tcMar>
            <w:vAlign w:val="center"/>
          </w:tcPr>
          <w:p>
            <w:pPr>
              <w:spacing w:after="0" w:line="252" w:lineRule="auto"/>
            </w:pPr>
            <w:r>
              <w:rPr>
                <w:sz w:val="18"/>
              </w:rPr>
              <w:t>Subagent availability varies by Codex surface</w:t>
            </w:r>
          </w:p>
        </w:tc>
        <w:tc>
          <w:tcPr>
            <w:tcW w:type="dxa" w:w="3200"/>
            <w:tcMar>
              <w:top w:w="90" w:type="dxa"/>
              <w:start w:w="120" w:type="dxa"/>
              <w:bottom w:w="90" w:type="dxa"/>
              <w:end w:w="120" w:type="dxa"/>
            </w:tcMar>
            <w:vAlign w:val="center"/>
          </w:tcPr>
          <w:p>
            <w:pPr>
              <w:spacing w:after="0" w:line="252" w:lineRule="auto"/>
            </w:pPr>
            <w:r>
              <w:rPr>
                <w:sz w:val="18"/>
              </w:rPr>
              <w:t>Provide sequential role fallback.</w:t>
            </w:r>
          </w:p>
        </w:tc>
        <w:tc>
          <w:tcPr>
            <w:tcW w:type="dxa" w:w="3410"/>
            <w:tcMar>
              <w:top w:w="90" w:type="dxa"/>
              <w:start w:w="120" w:type="dxa"/>
              <w:bottom w:w="90" w:type="dxa"/>
              <w:end w:w="120" w:type="dxa"/>
            </w:tcMar>
            <w:vAlign w:val="center"/>
          </w:tcPr>
          <w:p>
            <w:pPr>
              <w:spacing w:after="0" w:line="252" w:lineRule="auto"/>
            </w:pPr>
            <w:r>
              <w:rPr>
                <w:sz w:val="18"/>
              </w:rPr>
              <w:t>Validate target development and deployment surfaces.</w:t>
            </w:r>
          </w:p>
        </w:tc>
      </w:tr>
      <w:tr>
        <w:tc>
          <w:tcPr>
            <w:tcW w:type="dxa" w:w="2750"/>
            <w:tcMar>
              <w:top w:w="90" w:type="dxa"/>
              <w:start w:w="120" w:type="dxa"/>
              <w:bottom w:w="90" w:type="dxa"/>
              <w:end w:w="120" w:type="dxa"/>
            </w:tcMar>
            <w:vAlign w:val="center"/>
          </w:tcPr>
          <w:p>
            <w:pPr>
              <w:spacing w:after="0" w:line="252" w:lineRule="auto"/>
            </w:pPr>
            <w:r>
              <w:rPr>
                <w:sz w:val="18"/>
              </w:rPr>
              <w:t>Exact hook capabilities may vary</w:t>
            </w:r>
          </w:p>
        </w:tc>
        <w:tc>
          <w:tcPr>
            <w:tcW w:type="dxa" w:w="3200"/>
            <w:tcMar>
              <w:top w:w="90" w:type="dxa"/>
              <w:start w:w="120" w:type="dxa"/>
              <w:bottom w:w="90" w:type="dxa"/>
              <w:end w:w="120" w:type="dxa"/>
            </w:tcMar>
            <w:vAlign w:val="center"/>
          </w:tcPr>
          <w:p>
            <w:pPr>
              <w:spacing w:after="0" w:line="252" w:lineRule="auto"/>
            </w:pPr>
            <w:r>
              <w:rPr>
                <w:sz w:val="18"/>
              </w:rPr>
              <w:t>Use wrapper/policy gate as portable minimum.</w:t>
            </w:r>
          </w:p>
        </w:tc>
        <w:tc>
          <w:tcPr>
            <w:tcW w:type="dxa" w:w="3410"/>
            <w:tcMar>
              <w:top w:w="90" w:type="dxa"/>
              <w:start w:w="120" w:type="dxa"/>
              <w:bottom w:w="90" w:type="dxa"/>
              <w:end w:w="120" w:type="dxa"/>
            </w:tcMar>
            <w:vAlign w:val="center"/>
          </w:tcPr>
          <w:p>
            <w:pPr>
              <w:spacing w:after="0" w:line="252" w:lineRule="auto"/>
            </w:pPr>
            <w:r>
              <w:rPr>
                <w:sz w:val="18"/>
              </w:rPr>
              <w:t>Confirm current Codex hook lifecycle during implementation.</w:t>
            </w:r>
          </w:p>
        </w:tc>
      </w:tr>
      <w:tr>
        <w:tc>
          <w:tcPr>
            <w:tcW w:type="dxa" w:w="2750"/>
            <w:tcMar>
              <w:top w:w="90" w:type="dxa"/>
              <w:start w:w="120" w:type="dxa"/>
              <w:bottom w:w="90" w:type="dxa"/>
              <w:end w:w="120" w:type="dxa"/>
            </w:tcMar>
            <w:vAlign w:val="center"/>
          </w:tcPr>
          <w:p>
            <w:pPr>
              <w:spacing w:after="0" w:line="252" w:lineRule="auto"/>
            </w:pPr>
            <w:r>
              <w:rPr>
                <w:sz w:val="18"/>
              </w:rPr>
              <w:t>Fast rules may be brittle</w:t>
            </w:r>
          </w:p>
        </w:tc>
        <w:tc>
          <w:tcPr>
            <w:tcW w:type="dxa" w:w="3200"/>
            <w:tcMar>
              <w:top w:w="90" w:type="dxa"/>
              <w:start w:w="120" w:type="dxa"/>
              <w:bottom w:w="90" w:type="dxa"/>
              <w:end w:w="120" w:type="dxa"/>
            </w:tcMar>
            <w:vAlign w:val="center"/>
          </w:tcPr>
          <w:p>
            <w:pPr>
              <w:spacing w:after="0" w:line="252" w:lineRule="auto"/>
            </w:pPr>
            <w:r>
              <w:rPr>
                <w:sz w:val="18"/>
              </w:rPr>
              <w:t>Deterministic-first MVP with measured coverage.</w:t>
            </w:r>
          </w:p>
        </w:tc>
        <w:tc>
          <w:tcPr>
            <w:tcW w:type="dxa" w:w="3410"/>
            <w:tcMar>
              <w:top w:w="90" w:type="dxa"/>
              <w:start w:w="120" w:type="dxa"/>
              <w:bottom w:w="90" w:type="dxa"/>
              <w:end w:w="120" w:type="dxa"/>
            </w:tcMar>
            <w:vAlign w:val="center"/>
          </w:tcPr>
          <w:p>
            <w:pPr>
              <w:spacing w:after="0" w:line="252" w:lineRule="auto"/>
            </w:pPr>
            <w:r>
              <w:rPr>
                <w:sz w:val="18"/>
              </w:rPr>
              <w:t>Decide when a compact learned classifier is justified.</w:t>
            </w:r>
          </w:p>
        </w:tc>
      </w:tr>
      <w:tr>
        <w:tc>
          <w:tcPr>
            <w:tcW w:type="dxa" w:w="2750"/>
            <w:tcMar>
              <w:top w:w="90" w:type="dxa"/>
              <w:start w:w="120" w:type="dxa"/>
              <w:bottom w:w="90" w:type="dxa"/>
              <w:end w:w="120" w:type="dxa"/>
            </w:tcMar>
            <w:vAlign w:val="center"/>
          </w:tcPr>
          <w:p>
            <w:pPr>
              <w:spacing w:after="0" w:line="252" w:lineRule="auto"/>
            </w:pPr>
            <w:r>
              <w:rPr>
                <w:sz w:val="18"/>
              </w:rPr>
              <w:t>Slow role may echo acting-agent bias</w:t>
            </w:r>
          </w:p>
        </w:tc>
        <w:tc>
          <w:tcPr>
            <w:tcW w:type="dxa" w:w="3200"/>
            <w:tcMar>
              <w:top w:w="90" w:type="dxa"/>
              <w:start w:w="120" w:type="dxa"/>
              <w:bottom w:w="90" w:type="dxa"/>
              <w:end w:w="120" w:type="dxa"/>
            </w:tcMar>
            <w:vAlign w:val="center"/>
          </w:tcPr>
          <w:p>
            <w:pPr>
              <w:spacing w:after="0" w:line="252" w:lineRule="auto"/>
            </w:pPr>
            <w:r>
              <w:rPr>
                <w:sz w:val="18"/>
              </w:rPr>
              <w:t>Isolate context/tools and add critic sampling.</w:t>
            </w:r>
          </w:p>
        </w:tc>
        <w:tc>
          <w:tcPr>
            <w:tcW w:type="dxa" w:w="3410"/>
            <w:tcMar>
              <w:top w:w="90" w:type="dxa"/>
              <w:start w:w="120" w:type="dxa"/>
              <w:bottom w:w="90" w:type="dxa"/>
              <w:end w:w="120" w:type="dxa"/>
            </w:tcMar>
            <w:vAlign w:val="center"/>
          </w:tcPr>
          <w:p>
            <w:pPr>
              <w:spacing w:after="0" w:line="252" w:lineRule="auto"/>
            </w:pPr>
            <w:r>
              <w:rPr>
                <w:sz w:val="18"/>
              </w:rPr>
              <w:t>Measure correlation and disagreement quality.</w:t>
            </w:r>
          </w:p>
        </w:tc>
      </w:tr>
      <w:tr>
        <w:tc>
          <w:tcPr>
            <w:tcW w:type="dxa" w:w="2750"/>
            <w:tcMar>
              <w:top w:w="90" w:type="dxa"/>
              <w:start w:w="120" w:type="dxa"/>
              <w:bottom w:w="90" w:type="dxa"/>
              <w:end w:w="120" w:type="dxa"/>
            </w:tcMar>
            <w:vAlign w:val="center"/>
          </w:tcPr>
          <w:p>
            <w:pPr>
              <w:spacing w:after="0" w:line="252" w:lineRule="auto"/>
            </w:pPr>
            <w:r>
              <w:rPr>
                <w:sz w:val="18"/>
              </w:rPr>
              <w:t>Emotion ontology is culturally incomplete</w:t>
            </w:r>
          </w:p>
        </w:tc>
        <w:tc>
          <w:tcPr>
            <w:tcW w:type="dxa" w:w="3200"/>
            <w:tcMar>
              <w:top w:w="90" w:type="dxa"/>
              <w:start w:w="120" w:type="dxa"/>
              <w:bottom w:w="90" w:type="dxa"/>
              <w:end w:w="120" w:type="dxa"/>
            </w:tcMar>
            <w:vAlign w:val="center"/>
          </w:tcPr>
          <w:p>
            <w:pPr>
              <w:spacing w:after="0" w:line="252" w:lineRule="auto"/>
            </w:pPr>
            <w:r>
              <w:rPr>
                <w:sz w:val="18"/>
              </w:rPr>
              <w:t>Compact configurable ontology.</w:t>
            </w:r>
          </w:p>
        </w:tc>
        <w:tc>
          <w:tcPr>
            <w:tcW w:type="dxa" w:w="3410"/>
            <w:tcMar>
              <w:top w:w="90" w:type="dxa"/>
              <w:start w:w="120" w:type="dxa"/>
              <w:bottom w:w="90" w:type="dxa"/>
              <w:end w:w="120" w:type="dxa"/>
            </w:tcMar>
            <w:vAlign w:val="center"/>
          </w:tcPr>
          <w:p>
            <w:pPr>
              <w:spacing w:after="0" w:line="252" w:lineRule="auto"/>
            </w:pPr>
            <w:r>
              <w:rPr>
                <w:sz w:val="18"/>
              </w:rPr>
              <w:t>Review with diverse evaluators before broader claims.</w:t>
            </w:r>
          </w:p>
        </w:tc>
      </w:tr>
      <w:tr>
        <w:tc>
          <w:tcPr>
            <w:tcW w:type="dxa" w:w="2750"/>
            <w:tcMar>
              <w:top w:w="90" w:type="dxa"/>
              <w:start w:w="120" w:type="dxa"/>
              <w:bottom w:w="90" w:type="dxa"/>
              <w:end w:w="120" w:type="dxa"/>
            </w:tcMar>
            <w:vAlign w:val="center"/>
          </w:tcPr>
          <w:p>
            <w:pPr>
              <w:spacing w:after="0" w:line="252" w:lineRule="auto"/>
            </w:pPr>
            <w:r>
              <w:rPr>
                <w:sz w:val="18"/>
              </w:rPr>
              <w:t>Interoception noise may frustrate the agent</w:t>
            </w:r>
          </w:p>
        </w:tc>
        <w:tc>
          <w:tcPr>
            <w:tcW w:type="dxa" w:w="3200"/>
            <w:tcMar>
              <w:top w:w="90" w:type="dxa"/>
              <w:start w:w="120" w:type="dxa"/>
              <w:bottom w:w="90" w:type="dxa"/>
              <w:end w:w="120" w:type="dxa"/>
            </w:tcMar>
            <w:vAlign w:val="center"/>
          </w:tcPr>
          <w:p>
            <w:pPr>
              <w:spacing w:after="0" w:line="252" w:lineRule="auto"/>
            </w:pPr>
            <w:r>
              <w:rPr>
                <w:sz w:val="18"/>
              </w:rPr>
              <w:t>Configurable acuity and calibrated confidence.</w:t>
            </w:r>
          </w:p>
        </w:tc>
        <w:tc>
          <w:tcPr>
            <w:tcW w:type="dxa" w:w="3410"/>
            <w:tcMar>
              <w:top w:w="90" w:type="dxa"/>
              <w:start w:w="120" w:type="dxa"/>
              <w:bottom w:w="90" w:type="dxa"/>
              <w:end w:w="120" w:type="dxa"/>
            </w:tcMar>
            <w:vAlign w:val="center"/>
          </w:tcPr>
          <w:p>
            <w:pPr>
              <w:spacing w:after="0" w:line="252" w:lineRule="auto"/>
            </w:pPr>
            <w:r>
              <w:rPr>
                <w:sz w:val="18"/>
              </w:rPr>
              <w:t>Tune through task performance, not theatrical realism.</w:t>
            </w:r>
          </w:p>
        </w:tc>
      </w:tr>
      <w:tr>
        <w:tc>
          <w:tcPr>
            <w:tcW w:type="dxa" w:w="2750"/>
            <w:tcMar>
              <w:top w:w="90" w:type="dxa"/>
              <w:start w:w="120" w:type="dxa"/>
              <w:bottom w:w="90" w:type="dxa"/>
              <w:end w:w="120" w:type="dxa"/>
            </w:tcMar>
            <w:vAlign w:val="center"/>
          </w:tcPr>
          <w:p>
            <w:pPr>
              <w:spacing w:after="0" w:line="252" w:lineRule="auto"/>
            </w:pPr>
            <w:r>
              <w:rPr>
                <w:sz w:val="18"/>
              </w:rPr>
              <w:t>State persistence may create harmful drift</w:t>
            </w:r>
          </w:p>
        </w:tc>
        <w:tc>
          <w:tcPr>
            <w:tcW w:type="dxa" w:w="3200"/>
            <w:tcMar>
              <w:top w:w="90" w:type="dxa"/>
              <w:start w:w="120" w:type="dxa"/>
              <w:bottom w:w="90" w:type="dxa"/>
              <w:end w:w="120" w:type="dxa"/>
            </w:tcMar>
            <w:vAlign w:val="center"/>
          </w:tcPr>
          <w:p>
            <w:pPr>
              <w:spacing w:after="0" w:line="252" w:lineRule="auto"/>
            </w:pPr>
            <w:r>
              <w:rPr>
                <w:sz w:val="18"/>
              </w:rPr>
              <w:t>Bounds, baseline recovery, rollback, extinction.</w:t>
            </w:r>
          </w:p>
        </w:tc>
        <w:tc>
          <w:tcPr>
            <w:tcW w:type="dxa" w:w="3410"/>
            <w:tcMar>
              <w:top w:w="90" w:type="dxa"/>
              <w:start w:w="120" w:type="dxa"/>
              <w:bottom w:w="90" w:type="dxa"/>
              <w:end w:w="120" w:type="dxa"/>
            </w:tcMar>
            <w:vAlign w:val="center"/>
          </w:tcPr>
          <w:p>
            <w:pPr>
              <w:spacing w:after="0" w:line="252" w:lineRule="auto"/>
            </w:pPr>
            <w:r>
              <w:rPr>
                <w:sz w:val="18"/>
              </w:rPr>
              <w:t>Set release thresholds and monitoring.</w:t>
            </w:r>
          </w:p>
        </w:tc>
      </w:tr>
      <w:tr>
        <w:tc>
          <w:tcPr>
            <w:tcW w:type="dxa" w:w="2750"/>
            <w:tcMar>
              <w:top w:w="90" w:type="dxa"/>
              <w:start w:w="120" w:type="dxa"/>
              <w:bottom w:w="90" w:type="dxa"/>
              <w:end w:w="120" w:type="dxa"/>
            </w:tcMar>
            <w:vAlign w:val="center"/>
          </w:tcPr>
          <w:p>
            <w:pPr>
              <w:spacing w:after="0" w:line="252" w:lineRule="auto"/>
            </w:pPr>
            <w:r>
              <w:rPr>
                <w:sz w:val="18"/>
              </w:rPr>
              <w:t>MCP package/API evolves</w:t>
            </w:r>
          </w:p>
        </w:tc>
        <w:tc>
          <w:tcPr>
            <w:tcW w:type="dxa" w:w="3200"/>
            <w:tcMar>
              <w:top w:w="90" w:type="dxa"/>
              <w:start w:w="120" w:type="dxa"/>
              <w:bottom w:w="90" w:type="dxa"/>
              <w:end w:w="120" w:type="dxa"/>
            </w:tcMar>
            <w:vAlign w:val="center"/>
          </w:tcPr>
          <w:p>
            <w:pPr>
              <w:spacing w:after="0" w:line="252" w:lineRule="auto"/>
            </w:pPr>
            <w:r>
              <w:rPr>
                <w:sz w:val="18"/>
              </w:rPr>
              <w:t>Keep adapter thin and pin supported version.</w:t>
            </w:r>
          </w:p>
        </w:tc>
        <w:tc>
          <w:tcPr>
            <w:tcW w:type="dxa" w:w="3410"/>
            <w:tcMar>
              <w:top w:w="90" w:type="dxa"/>
              <w:start w:w="120" w:type="dxa"/>
              <w:bottom w:w="90" w:type="dxa"/>
              <w:end w:w="120" w:type="dxa"/>
            </w:tcMar>
            <w:vAlign w:val="center"/>
          </w:tcPr>
          <w:p>
            <w:pPr>
              <w:spacing w:after="0" w:line="252" w:lineRule="auto"/>
            </w:pPr>
            <w:r>
              <w:rPr>
                <w:sz w:val="18"/>
              </w:rPr>
              <w:t>Verify official current implementation guidance at build time.</w:t>
            </w:r>
          </w:p>
        </w:tc>
      </w:tr>
    </w:tbl>
    <w:p>
      <w:pPr>
        <w:spacing w:after="0"/>
      </w:pPr>
    </w:p>
    <w:p>
      <w:pPr>
        <w:pStyle w:val="Heading2"/>
      </w:pPr>
      <w:r>
        <w:t>18.1 Open architecture questions</w:t>
      </w:r>
    </w:p>
    <w:p>
      <w:pPr>
        <w:pStyle w:val="ListBullet"/>
      </w:pPr>
      <w:r>
        <w:t>Should slow appraisal use the same model as the acting agent or a separately configured model/role?</w:t>
      </w:r>
    </w:p>
    <w:p>
      <w:pPr>
        <w:pStyle w:val="ListBullet"/>
      </w:pPr>
      <w:r>
        <w:t>Which consequential tool classes require mandatory slow appraisal?</w:t>
      </w:r>
    </w:p>
    <w:p>
      <w:pPr>
        <w:pStyle w:val="ListBullet"/>
      </w:pPr>
      <w:r>
        <w:t>Should interoception be sampled deterministically for replay or use true runtime noise with recorded seeds?</w:t>
      </w:r>
    </w:p>
    <w:p>
      <w:pPr>
        <w:pStyle w:val="ListBullet"/>
      </w:pPr>
      <w:r>
        <w:t>How much relationship context belongs inside Manyu versus a shared agent memory service?</w:t>
      </w:r>
    </w:p>
    <w:p>
      <w:pPr>
        <w:pStyle w:val="ListBullet"/>
      </w:pPr>
      <w:r>
        <w:t>Should decay be purely lazy or supported by optional scheduled heartbeat events?</w:t>
      </w:r>
    </w:p>
    <w:p>
      <w:pPr>
        <w:pStyle w:val="ListBullet"/>
      </w:pPr>
      <w:r>
        <w:t>What is the minimum safe operator UI for inspecting and resetting state?</w:t>
      </w:r>
    </w:p>
    <w:p>
      <w:pPr>
        <w:pStyle w:val="ListBullet"/>
      </w:pPr>
      <w:r>
        <w:t>Which traces may be shown to end users without revealing hidden reasoning or sensitive memory?</w:t>
      </w:r>
    </w:p>
    <w:p>
      <w:r>
        <w:br w:type="page"/>
      </w:r>
    </w:p>
    <w:p>
      <w:pPr>
        <w:pStyle w:val="Heading1"/>
      </w:pPr>
      <w:r>
        <w:t>Appendix A. Sequence: standard Manyu turn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User -&gt; Acting Agent: message</w:t>
            </w:r>
          </w:p>
          <w:p>
            <w:pPr>
              <w:spacing w:after="0"/>
            </w:pPr>
            <w:r>
              <w:rPr>
                <w:rFonts w:ascii="Consolas" w:hAnsi="Consolas"/>
                <w:color w:val="17365D"/>
                <w:sz w:val="17"/>
              </w:rPr>
              <w:t>Acting Agent -&gt; Manyu Core: submit_event(normalized observation)</w:t>
            </w:r>
          </w:p>
          <w:p>
            <w:pPr>
              <w:spacing w:after="0"/>
            </w:pPr>
            <w:r>
              <w:rPr>
                <w:rFonts w:ascii="Consolas" w:hAnsi="Consolas"/>
                <w:color w:val="17365D"/>
                <w:sz w:val="17"/>
              </w:rPr>
              <w:t>Manyu Core -&gt; Fast Appraiser: appraise(event, compact context)</w:t>
            </w:r>
          </w:p>
          <w:p>
            <w:pPr>
              <w:spacing w:after="0"/>
            </w:pPr>
            <w:r>
              <w:rPr>
                <w:rFonts w:ascii="Consolas" w:hAnsi="Consolas"/>
                <w:color w:val="17365D"/>
                <w:sz w:val="17"/>
              </w:rPr>
              <w:t>Fast Appraiser -&gt; Transition Engine: appraisal delta</w:t>
            </w:r>
          </w:p>
          <w:p>
            <w:pPr>
              <w:spacing w:after="0"/>
            </w:pPr>
            <w:r>
              <w:rPr>
                <w:rFonts w:ascii="Consolas" w:hAnsi="Consolas"/>
                <w:color w:val="17365D"/>
                <w:sz w:val="17"/>
              </w:rPr>
              <w:t>Transition Engine -&gt; Store: atomic transition + revision</w:t>
            </w:r>
          </w:p>
          <w:p>
            <w:pPr>
              <w:spacing w:after="0"/>
            </w:pPr>
            <w:r>
              <w:rPr>
                <w:rFonts w:ascii="Consolas" w:hAnsi="Consolas"/>
                <w:color w:val="17365D"/>
                <w:sz w:val="17"/>
              </w:rPr>
              <w:t>Manyu Core -&gt; Acting Agent: provisional interoception + fast tendency</w:t>
            </w:r>
          </w:p>
          <w:p>
            <w:pPr>
              <w:spacing w:after="0"/>
            </w:pPr>
            <w:r>
              <w:rPr>
                <w:rFonts w:ascii="Consolas" w:hAnsi="Consolas"/>
                <w:color w:val="17365D"/>
                <w:sz w:val="17"/>
              </w:rPr>
              <w:t>Acting Agent -&gt; Slow Appraiser: bounded appraisal packet (if required)</w:t>
            </w:r>
          </w:p>
          <w:p>
            <w:pPr>
              <w:spacing w:after="0"/>
            </w:pPr>
            <w:r>
              <w:rPr>
                <w:rFonts w:ascii="Consolas" w:hAnsi="Consolas"/>
                <w:color w:val="17365D"/>
                <w:sz w:val="17"/>
              </w:rPr>
              <w:t>Slow Appraiser -&gt; Manyu Core: structured slow appraisal</w:t>
            </w:r>
          </w:p>
          <w:p>
            <w:pPr>
              <w:spacing w:after="0"/>
            </w:pPr>
            <w:r>
              <w:rPr>
                <w:rFonts w:ascii="Consolas" w:hAnsi="Consolas"/>
                <w:color w:val="17365D"/>
                <w:sz w:val="17"/>
              </w:rPr>
              <w:t>Manyu Core -&gt; Transition Engine: reappraisal/regulation transition</w:t>
            </w:r>
          </w:p>
          <w:p>
            <w:pPr>
              <w:spacing w:after="0"/>
            </w:pPr>
            <w:r>
              <w:rPr>
                <w:rFonts w:ascii="Consolas" w:hAnsi="Consolas"/>
                <w:color w:val="17365D"/>
                <w:sz w:val="17"/>
              </w:rPr>
              <w:t>Acting Agent -&gt; Manyu Core: arbitrate(candidate actions)</w:t>
            </w:r>
          </w:p>
          <w:p>
            <w:pPr>
              <w:spacing w:after="0"/>
            </w:pPr>
            <w:r>
              <w:rPr>
                <w:rFonts w:ascii="Consolas" w:hAnsi="Consolas"/>
                <w:color w:val="17365D"/>
                <w:sz w:val="17"/>
              </w:rPr>
              <w:t>Manyu Core -&gt; Acting Agent: disposition + constraints + decision_id</w:t>
            </w:r>
          </w:p>
          <w:p>
            <w:pPr>
              <w:spacing w:after="0"/>
            </w:pPr>
            <w:r>
              <w:rPr>
                <w:rFonts w:ascii="Consolas" w:hAnsi="Consolas"/>
                <w:color w:val="17365D"/>
                <w:sz w:val="17"/>
              </w:rPr>
              <w:t>Acting Agent -&gt; Codex tool policy: response/tool proposal</w:t>
            </w:r>
          </w:p>
          <w:p>
            <w:pPr>
              <w:spacing w:after="0"/>
            </w:pPr>
            <w:r>
              <w:rPr>
                <w:rFonts w:ascii="Consolas" w:hAnsi="Consolas"/>
                <w:color w:val="17365D"/>
                <w:sz w:val="17"/>
              </w:rPr>
              <w:t>Codex tool policy -&gt; Environment: approved action</w:t>
            </w:r>
          </w:p>
          <w:p>
            <w:pPr>
              <w:spacing w:after="0"/>
            </w:pPr>
            <w:r>
              <w:rPr>
                <w:rFonts w:ascii="Consolas" w:hAnsi="Consolas"/>
                <w:color w:val="17365D"/>
                <w:sz w:val="17"/>
              </w:rPr>
              <w:t>Acting Agent -&gt; Manyu Core: record_action / record_outcome</w:t>
            </w:r>
          </w:p>
        </w:tc>
        <w:trPr>
          <w:tblHeader/>
        </w:trPr>
      </w:tr>
    </w:tbl>
    <w:p>
      <w:pPr>
        <w:spacing w:after="0"/>
      </w:pPr>
    </w:p>
    <w:p>
      <w:pPr>
        <w:pStyle w:val="Heading1"/>
      </w:pPr>
      <w:r>
        <w:t>Appendix B. Configuration example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7"/>
              </w:rPr>
              <w:t>profile_version: 1</w:t>
            </w:r>
          </w:p>
          <w:p>
            <w:pPr>
              <w:spacing w:after="0"/>
            </w:pPr>
            <w:r>
              <w:rPr>
                <w:rFonts w:ascii="Consolas" w:hAnsi="Consolas"/>
                <w:color w:val="17365D"/>
                <w:sz w:val="17"/>
              </w:rPr>
              <w:t>agent_id: agent_demo</w:t>
            </w:r>
          </w:p>
          <w:p>
            <w:pPr>
              <w:spacing w:after="0"/>
            </w:pPr>
            <w:r>
              <w:rPr>
                <w:rFonts w:ascii="Consolas" w:hAnsi="Consolas"/>
                <w:color w:val="17365D"/>
                <w:sz w:val="17"/>
              </w:rPr>
              <w:t>emotions:</w:t>
            </w:r>
          </w:p>
          <w:p>
            <w:pPr>
              <w:spacing w:after="0"/>
            </w:pPr>
            <w:r>
              <w:rPr>
                <w:rFonts w:ascii="Consolas" w:hAnsi="Consolas"/>
                <w:color w:val="17365D"/>
                <w:sz w:val="17"/>
              </w:rPr>
              <w:t xml:space="preserve">  fear:    {baseline: 0.08, half_life_s: 900, max_delta_per_event: 0.35}</w:t>
            </w:r>
          </w:p>
          <w:p>
            <w:pPr>
              <w:spacing w:after="0"/>
            </w:pPr>
            <w:r>
              <w:rPr>
                <w:rFonts w:ascii="Consolas" w:hAnsi="Consolas"/>
                <w:color w:val="17365D"/>
                <w:sz w:val="17"/>
              </w:rPr>
              <w:t xml:space="preserve">  anger:   {baseline: 0.05, half_life_s: 1200, max_delta_per_event: 0.30}</w:t>
            </w:r>
          </w:p>
          <w:p>
            <w:pPr>
              <w:spacing w:after="0"/>
            </w:pPr>
            <w:r>
              <w:rPr>
                <w:rFonts w:ascii="Consolas" w:hAnsi="Consolas"/>
                <w:color w:val="17365D"/>
                <w:sz w:val="17"/>
              </w:rPr>
              <w:t xml:space="preserve">  joy:     {baseline: 0.12, half_life_s: 1800, max_delta_per_event: 0.35}</w:t>
            </w:r>
          </w:p>
          <w:p>
            <w:pPr>
              <w:spacing w:after="0"/>
            </w:pPr>
            <w:r>
              <w:rPr>
                <w:rFonts w:ascii="Consolas" w:hAnsi="Consolas"/>
                <w:color w:val="17365D"/>
                <w:sz w:val="17"/>
              </w:rPr>
              <w:t>interoception:</w:t>
            </w:r>
          </w:p>
          <w:p>
            <w:pPr>
              <w:spacing w:after="0"/>
            </w:pPr>
            <w:r>
              <w:rPr>
                <w:rFonts w:ascii="Consolas" w:hAnsi="Consolas"/>
                <w:color w:val="17365D"/>
                <w:sz w:val="17"/>
              </w:rPr>
              <w:t xml:space="preserve">  acuity: 0.70</w:t>
            </w:r>
          </w:p>
          <w:p>
            <w:pPr>
              <w:spacing w:after="0"/>
            </w:pPr>
            <w:r>
              <w:rPr>
                <w:rFonts w:ascii="Consolas" w:hAnsi="Consolas"/>
                <w:color w:val="17365D"/>
                <w:sz w:val="17"/>
              </w:rPr>
              <w:t xml:space="preserve">  cause_visibility: partial</w:t>
            </w:r>
          </w:p>
          <w:p>
            <w:pPr>
              <w:spacing w:after="0"/>
            </w:pPr>
            <w:r>
              <w:rPr>
                <w:rFonts w:ascii="Consolas" w:hAnsi="Consolas"/>
                <w:color w:val="17365D"/>
                <w:sz w:val="17"/>
              </w:rPr>
              <w:t xml:space="preserve">  raw_state_access: false</w:t>
            </w:r>
          </w:p>
          <w:p>
            <w:pPr>
              <w:spacing w:after="0"/>
            </w:pPr>
            <w:r>
              <w:rPr>
                <w:rFonts w:ascii="Consolas" w:hAnsi="Consolas"/>
                <w:color w:val="17365D"/>
                <w:sz w:val="17"/>
              </w:rPr>
              <w:t>influence:</w:t>
            </w:r>
          </w:p>
          <w:p>
            <w:pPr>
              <w:spacing w:after="0"/>
            </w:pPr>
            <w:r>
              <w:rPr>
                <w:rFonts w:ascii="Consolas" w:hAnsi="Consolas"/>
                <w:color w:val="17365D"/>
                <w:sz w:val="17"/>
              </w:rPr>
              <w:t xml:space="preserve">  attention: true</w:t>
            </w:r>
          </w:p>
          <w:p>
            <w:pPr>
              <w:spacing w:after="0"/>
            </w:pPr>
            <w:r>
              <w:rPr>
                <w:rFonts w:ascii="Consolas" w:hAnsi="Consolas"/>
                <w:color w:val="17365D"/>
                <w:sz w:val="17"/>
              </w:rPr>
              <w:t xml:space="preserve">  memory_retrieval: true</w:t>
            </w:r>
          </w:p>
          <w:p>
            <w:pPr>
              <w:spacing w:after="0"/>
            </w:pPr>
            <w:r>
              <w:rPr>
                <w:rFonts w:ascii="Consolas" w:hAnsi="Consolas"/>
                <w:color w:val="17365D"/>
                <w:sz w:val="17"/>
              </w:rPr>
              <w:t xml:space="preserve">  planning: true</w:t>
            </w:r>
          </w:p>
          <w:p>
            <w:pPr>
              <w:spacing w:after="0"/>
            </w:pPr>
            <w:r>
              <w:rPr>
                <w:rFonts w:ascii="Consolas" w:hAnsi="Consolas"/>
                <w:color w:val="17365D"/>
                <w:sz w:val="17"/>
              </w:rPr>
              <w:t xml:space="preserve">  expression_max: 0.35</w:t>
            </w:r>
          </w:p>
          <w:p>
            <w:pPr>
              <w:spacing w:after="0"/>
            </w:pPr>
            <w:r>
              <w:rPr>
                <w:rFonts w:ascii="Consolas" w:hAnsi="Consolas"/>
                <w:color w:val="17365D"/>
                <w:sz w:val="17"/>
              </w:rPr>
              <w:t xml:space="preserve">  direct_tool_execution: false</w:t>
            </w:r>
          </w:p>
        </w:tc>
        <w:trPr>
          <w:tblHeader/>
        </w:trPr>
      </w:tr>
    </w:tbl>
    <w:p>
      <w:pPr>
        <w:spacing w:after="0"/>
      </w:pPr>
    </w:p>
    <w:p>
      <w:pPr>
        <w:pStyle w:val="Heading1"/>
      </w:pPr>
      <w:r>
        <w:t>Appendix C. Source notes</w:t>
      </w:r>
    </w:p>
    <w:p>
      <w:r>
        <w:rPr>
          <w:i w:val="0"/>
        </w:rPr>
        <w:t>This design uses current public Codex concepts as architectural surfaces: repository guidance through AGENTS.md, project configuration, reusable skills, MCP integrations, sandbox/approval controls, and optional agent delegation or lifecycle enforcement where exposed. Exact configuration keys and hook/subagent availability must be verified against the installed Codex version during implementation.</w:t>
      </w:r>
    </w:p>
    <w:p>
      <w:pPr>
        <w:pStyle w:val="ListBullet"/>
      </w:pPr>
      <w:r>
        <w:rPr>
          <w:b/>
        </w:rPr>
        <w:t xml:space="preserve">Codex documentation: </w:t>
      </w:r>
      <w:r>
        <w:t>https://developers.openai.com/codex/</w:t>
      </w:r>
    </w:p>
    <w:p>
      <w:pPr>
        <w:pStyle w:val="ListBullet"/>
      </w:pPr>
      <w:r>
        <w:rPr>
          <w:b/>
        </w:rPr>
        <w:t xml:space="preserve">Codex configuration reference: </w:t>
      </w:r>
      <w:r>
        <w:t>https://developers.openai.com/codex/config-reference/</w:t>
      </w:r>
    </w:p>
    <w:p>
      <w:pPr>
        <w:pStyle w:val="ListBullet"/>
      </w:pPr>
      <w:r>
        <w:rPr>
          <w:b/>
        </w:rPr>
        <w:t xml:space="preserve">Codex customization concepts: </w:t>
      </w:r>
      <w:r>
        <w:t>https://developers.openai.com/codex/concepts/customization/</w:t>
      </w:r>
    </w:p>
    <w:p>
      <w:pPr>
        <w:pStyle w:val="ListBullet"/>
      </w:pPr>
      <w:r>
        <w:rPr>
          <w:b/>
        </w:rPr>
        <w:t xml:space="preserve">Codex use cases: </w:t>
      </w:r>
      <w:r>
        <w:t>https://developers.openai.com/codex/use-cases</w:t>
      </w:r>
    </w:p>
    <w:p>
      <w:pPr>
        <w:pStyle w:val="Heading1"/>
      </w:pPr>
      <w:r>
        <w:t>Appendix D. Glossary</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8"/>
              </w:rPr>
              <w:t>Term</w:t>
            </w:r>
          </w:p>
        </w:tc>
        <w:tc>
          <w:tcPr>
            <w:tcW w:type="dxa" w:w="7060"/>
            <w:shd w:fill="E8EEF5"/>
            <w:tcMar>
              <w:top w:w="90" w:type="dxa"/>
              <w:start w:w="120" w:type="dxa"/>
              <w:bottom w:w="90" w:type="dxa"/>
              <w:end w:w="120" w:type="dxa"/>
            </w:tcMar>
            <w:vAlign w:val="center"/>
          </w:tcPr>
          <w:p>
            <w:pPr>
              <w:spacing w:after="0"/>
            </w:pPr>
            <w:r>
              <w:rPr>
                <w:b/>
                <w:color w:val="17365D"/>
                <w:sz w:val="18"/>
              </w:rPr>
              <w:t>Definition</w:t>
            </w:r>
          </w:p>
        </w:tc>
      </w:tr>
      <w:tr>
        <w:tc>
          <w:tcPr>
            <w:tcW w:type="dxa" w:w="2300"/>
            <w:tcMar>
              <w:top w:w="90" w:type="dxa"/>
              <w:start w:w="120" w:type="dxa"/>
              <w:bottom w:w="90" w:type="dxa"/>
              <w:end w:w="120" w:type="dxa"/>
            </w:tcMar>
            <w:vAlign w:val="center"/>
          </w:tcPr>
          <w:p>
            <w:pPr>
              <w:spacing w:after="0" w:line="252" w:lineRule="auto"/>
            </w:pPr>
            <w:r>
              <w:rPr>
                <w:sz w:val="18"/>
              </w:rPr>
              <w:t>Authoritative state</w:t>
            </w:r>
          </w:p>
        </w:tc>
        <w:tc>
          <w:tcPr>
            <w:tcW w:type="dxa" w:w="7060"/>
            <w:tcMar>
              <w:top w:w="90" w:type="dxa"/>
              <w:start w:w="120" w:type="dxa"/>
              <w:bottom w:w="90" w:type="dxa"/>
              <w:end w:w="120" w:type="dxa"/>
            </w:tcMar>
            <w:vAlign w:val="center"/>
          </w:tcPr>
          <w:p>
            <w:pPr>
              <w:spacing w:after="0" w:line="252" w:lineRule="auto"/>
            </w:pPr>
            <w:r>
              <w:rPr>
                <w:sz w:val="18"/>
              </w:rPr>
              <w:t>The affective state owned and mutated only by Manyu Core.</w:t>
            </w:r>
          </w:p>
        </w:tc>
      </w:tr>
      <w:tr>
        <w:tc>
          <w:tcPr>
            <w:tcW w:type="dxa" w:w="2300"/>
            <w:tcMar>
              <w:top w:w="90" w:type="dxa"/>
              <w:start w:w="120" w:type="dxa"/>
              <w:bottom w:w="90" w:type="dxa"/>
              <w:end w:w="120" w:type="dxa"/>
            </w:tcMar>
            <w:vAlign w:val="center"/>
          </w:tcPr>
          <w:p>
            <w:pPr>
              <w:spacing w:after="0" w:line="252" w:lineRule="auto"/>
            </w:pPr>
            <w:r>
              <w:rPr>
                <w:sz w:val="18"/>
              </w:rPr>
              <w:t>Codex harness</w:t>
            </w:r>
          </w:p>
        </w:tc>
        <w:tc>
          <w:tcPr>
            <w:tcW w:type="dxa" w:w="7060"/>
            <w:tcMar>
              <w:top w:w="90" w:type="dxa"/>
              <w:start w:w="120" w:type="dxa"/>
              <w:bottom w:w="90" w:type="dxa"/>
              <w:end w:w="120" w:type="dxa"/>
            </w:tcMar>
            <w:vAlign w:val="center"/>
          </w:tcPr>
          <w:p>
            <w:pPr>
              <w:spacing w:after="0" w:line="252" w:lineRule="auto"/>
            </w:pPr>
            <w:r>
              <w:rPr>
                <w:sz w:val="18"/>
              </w:rPr>
              <w:t>The project instructions, skills, tools, MCP integrations, role workflow, sandbox, and approvals around the acting agent.</w:t>
            </w:r>
          </w:p>
        </w:tc>
      </w:tr>
      <w:tr>
        <w:tc>
          <w:tcPr>
            <w:tcW w:type="dxa" w:w="2300"/>
            <w:tcMar>
              <w:top w:w="90" w:type="dxa"/>
              <w:start w:w="120" w:type="dxa"/>
              <w:bottom w:w="90" w:type="dxa"/>
              <w:end w:w="120" w:type="dxa"/>
            </w:tcMar>
            <w:vAlign w:val="center"/>
          </w:tcPr>
          <w:p>
            <w:pPr>
              <w:spacing w:after="0" w:line="252" w:lineRule="auto"/>
            </w:pPr>
            <w:r>
              <w:rPr>
                <w:sz w:val="18"/>
              </w:rPr>
              <w:t>Fast appraisal</w:t>
            </w:r>
          </w:p>
        </w:tc>
        <w:tc>
          <w:tcPr>
            <w:tcW w:type="dxa" w:w="7060"/>
            <w:tcMar>
              <w:top w:w="90" w:type="dxa"/>
              <w:start w:w="120" w:type="dxa"/>
              <w:bottom w:w="90" w:type="dxa"/>
              <w:end w:w="120" w:type="dxa"/>
            </w:tcMar>
            <w:vAlign w:val="center"/>
          </w:tcPr>
          <w:p>
            <w:pPr>
              <w:spacing w:after="0" w:line="252" w:lineRule="auto"/>
            </w:pPr>
            <w:r>
              <w:rPr>
                <w:sz w:val="18"/>
              </w:rPr>
              <w:t>Low-latency bounded interpretation using compact context and deterministic-first logic.</w:t>
            </w:r>
          </w:p>
        </w:tc>
      </w:tr>
      <w:tr>
        <w:tc>
          <w:tcPr>
            <w:tcW w:type="dxa" w:w="2300"/>
            <w:tcMar>
              <w:top w:w="90" w:type="dxa"/>
              <w:start w:w="120" w:type="dxa"/>
              <w:bottom w:w="90" w:type="dxa"/>
              <w:end w:w="120" w:type="dxa"/>
            </w:tcMar>
            <w:vAlign w:val="center"/>
          </w:tcPr>
          <w:p>
            <w:pPr>
              <w:spacing w:after="0" w:line="252" w:lineRule="auto"/>
            </w:pPr>
            <w:r>
              <w:rPr>
                <w:sz w:val="18"/>
              </w:rPr>
              <w:t>Slow appraisal</w:t>
            </w:r>
          </w:p>
        </w:tc>
        <w:tc>
          <w:tcPr>
            <w:tcW w:type="dxa" w:w="7060"/>
            <w:tcMar>
              <w:top w:w="90" w:type="dxa"/>
              <w:start w:w="120" w:type="dxa"/>
              <w:bottom w:w="90" w:type="dxa"/>
              <w:end w:w="120" w:type="dxa"/>
            </w:tcMar>
            <w:vAlign w:val="center"/>
          </w:tcPr>
          <w:p>
            <w:pPr>
              <w:spacing w:after="0" w:line="252" w:lineRule="auto"/>
            </w:pPr>
            <w:r>
              <w:rPr>
                <w:sz w:val="18"/>
              </w:rPr>
              <w:t>Context-rich reasoning that may revise, intensify, or regulate the fast result.</w:t>
            </w:r>
          </w:p>
        </w:tc>
      </w:tr>
      <w:tr>
        <w:tc>
          <w:tcPr>
            <w:tcW w:type="dxa" w:w="2300"/>
            <w:tcMar>
              <w:top w:w="90" w:type="dxa"/>
              <w:start w:w="120" w:type="dxa"/>
              <w:bottom w:w="90" w:type="dxa"/>
              <w:end w:w="120" w:type="dxa"/>
            </w:tcMar>
            <w:vAlign w:val="center"/>
          </w:tcPr>
          <w:p>
            <w:pPr>
              <w:spacing w:after="0" w:line="252" w:lineRule="auto"/>
            </w:pPr>
            <w:r>
              <w:rPr>
                <w:sz w:val="18"/>
              </w:rPr>
              <w:t>Interoception</w:t>
            </w:r>
          </w:p>
        </w:tc>
        <w:tc>
          <w:tcPr>
            <w:tcW w:type="dxa" w:w="7060"/>
            <w:tcMar>
              <w:top w:w="90" w:type="dxa"/>
              <w:start w:w="120" w:type="dxa"/>
              <w:bottom w:w="90" w:type="dxa"/>
              <w:end w:w="120" w:type="dxa"/>
            </w:tcMar>
            <w:vAlign w:val="center"/>
          </w:tcPr>
          <w:p>
            <w:pPr>
              <w:spacing w:after="0" w:line="252" w:lineRule="auto"/>
            </w:pPr>
            <w:r>
              <w:rPr>
                <w:sz w:val="18"/>
              </w:rPr>
              <w:t>A partial, uncertain, agent-facing interpretation of authoritative affect.</w:t>
            </w:r>
          </w:p>
        </w:tc>
      </w:tr>
      <w:tr>
        <w:tc>
          <w:tcPr>
            <w:tcW w:type="dxa" w:w="2300"/>
            <w:tcMar>
              <w:top w:w="90" w:type="dxa"/>
              <w:start w:w="120" w:type="dxa"/>
              <w:bottom w:w="90" w:type="dxa"/>
              <w:end w:w="120" w:type="dxa"/>
            </w:tcMar>
            <w:vAlign w:val="center"/>
          </w:tcPr>
          <w:p>
            <w:pPr>
              <w:spacing w:after="0" w:line="252" w:lineRule="auto"/>
            </w:pPr>
            <w:r>
              <w:rPr>
                <w:sz w:val="18"/>
              </w:rPr>
              <w:t>Arbitration</w:t>
            </w:r>
          </w:p>
        </w:tc>
        <w:tc>
          <w:tcPr>
            <w:tcW w:type="dxa" w:w="7060"/>
            <w:tcMar>
              <w:top w:w="90" w:type="dxa"/>
              <w:start w:w="120" w:type="dxa"/>
              <w:bottom w:w="90" w:type="dxa"/>
              <w:end w:w="120" w:type="dxa"/>
            </w:tcMar>
            <w:vAlign w:val="center"/>
          </w:tcPr>
          <w:p>
            <w:pPr>
              <w:spacing w:after="0" w:line="252" w:lineRule="auto"/>
            </w:pPr>
            <w:r>
              <w:rPr>
                <w:sz w:val="18"/>
              </w:rPr>
              <w:t>Selection of a permitted disposition among action proposals under policy and current state.</w:t>
            </w:r>
          </w:p>
        </w:tc>
      </w:tr>
      <w:tr>
        <w:tc>
          <w:tcPr>
            <w:tcW w:type="dxa" w:w="2300"/>
            <w:tcMar>
              <w:top w:w="90" w:type="dxa"/>
              <w:start w:w="120" w:type="dxa"/>
              <w:bottom w:w="90" w:type="dxa"/>
              <w:end w:w="120" w:type="dxa"/>
            </w:tcMar>
            <w:vAlign w:val="center"/>
          </w:tcPr>
          <w:p>
            <w:pPr>
              <w:spacing w:after="0" w:line="252" w:lineRule="auto"/>
            </w:pPr>
            <w:r>
              <w:rPr>
                <w:sz w:val="18"/>
              </w:rPr>
              <w:t>Neutral-degraded mode</w:t>
            </w:r>
          </w:p>
        </w:tc>
        <w:tc>
          <w:tcPr>
            <w:tcW w:type="dxa" w:w="7060"/>
            <w:tcMar>
              <w:top w:w="90" w:type="dxa"/>
              <w:start w:w="120" w:type="dxa"/>
              <w:bottom w:w="90" w:type="dxa"/>
              <w:end w:w="120" w:type="dxa"/>
            </w:tcMar>
            <w:vAlign w:val="center"/>
          </w:tcPr>
          <w:p>
            <w:pPr>
              <w:spacing w:after="0" w:line="252" w:lineRule="auto"/>
            </w:pPr>
            <w:r>
              <w:rPr>
                <w:sz w:val="18"/>
              </w:rPr>
              <w:t>Operation without affect-mediated influence when Manyu Core is unavailable.</w:t>
            </w:r>
          </w:p>
        </w:tc>
      </w:tr>
    </w:tbl>
    <w:p>
      <w:pPr>
        <w:spacing w:after="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Manyu • System Design v0.1 • 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MANYU  |  DETAILED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Manyu Detailed System Design</dc:title>
  <dc:subject>Codex agentic harness with an independent affective core</dc:subject>
  <dc:creator>Manyu founding team</dc:creator>
  <cp:keywords>Manyu, Codex, MCP, affective computing, agentic harness,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