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Light" w:cs="Calibri Light" w:eastAsia="Calibri Light" w:hAnsi="Calibri Light"/>
          <w:b/>
          <w:bCs/>
          <w:color w:val="1F4E79"/>
          <w:sz w:val="52"/>
          <w:szCs w:val="52"/>
        </w:rPr>
        <w:t xml:space="preserve">Solution Design Document</w:t>
      </w:r>
    </w:p>
    <w:p>
      <w:pPr>
        <w:spacing w:before="200"/>
        <w:jc w:val="center"/>
      </w:pPr>
      <w:r>
        <w:rPr>
          <w:color w:val="262626"/>
          <w:sz w:val="30"/>
          <w:szCs w:val="30"/>
        </w:rPr>
        <w:t xml:space="preserve">Modula WMS ↔ Dynamics 365 F&amp;O ↔ Databricks DataHub</w:t>
      </w:r>
    </w:p>
    <w:p>
      <w:pPr>
        <w:spacing w:before="100"/>
        <w:jc w:val="center"/>
      </w:pPr>
      <w:r>
        <w:rPr>
          <w:color w:val="595959"/>
          <w:sz w:val="24"/>
          <w:szCs w:val="24"/>
        </w:rPr>
        <w:t xml:space="preserve">Event-Driven, API-Based Inventory Integration on Azure</w:t>
      </w:r>
    </w:p>
    <w:p>
      <w:pPr>
        <w:spacing w:before="2000"/>
        <w:jc w:val="center"/>
      </w:pPr>
      <w:r>
        <w:rPr>
          <w:color w:val="808080"/>
          <w:sz w:val="20"/>
          <w:szCs w:val="20"/>
        </w:rPr>
        <w:t xml:space="preserve">Version 1.0 • September 2026</w:t>
      </w:r>
    </w:p>
    <w:p>
      <w:pPr>
        <w:jc w:val="center"/>
      </w:pPr>
      <w:r>
        <w:rPr>
          <w:color w:val="808080"/>
          <w:sz w:val="20"/>
          <w:szCs w:val="20"/>
        </w:rPr>
        <w:t xml:space="preserve">Status: Draft for Review • Classification: Internal</w:t>
      </w:r>
    </w:p>
    <w:p>
      <w:r>
        <w:br w:type="page"/>
      </w:r>
    </w:p>
    <w:p>
      <w:pPr>
        <w:pStyle w:val="Heading1"/>
        <w:spacing w:after="160" w:before="36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20"/>
      </w:pPr>
      <w:r>
        <w:t xml:space="preserve">This document describes an end-to-end, API-based integration that propagates inventory events from the Modula Vertical Lift Module (VLM) warehouse management system to Dynamics 365 Finance &amp; Operations (D365 F&amp;O) and to the Databricks-based analytics DataHub. The solution is deliberately loosely coupled: a Modula inbound adapter publishes canonical events to Azure Event Hubs, and two fully independent outbound adapters — one for D365, one for the DataHub — consume those events on separate consumer groups.</w:t>
      </w:r>
    </w:p>
    <w:p>
      <w:pPr>
        <w:spacing w:after="120"/>
      </w:pPr>
      <w:r>
        <w:t xml:space="preserve">Every message conforms to a Common Data Model (CDM) envelope composed of two parts: a control message that carries routing and operation semantics (what to do), and a business payload that carries the inventory data (what it applies to). Consumers act only on the control message for routing decisions, which means new consumers can be added, and existing ones changed or replaced, without any modification to the producer or to each other.</w:t>
      </w:r>
    </w:p>
    <w:p>
      <w:pPr>
        <w:pStyle w:val="Heading2"/>
        <w:spacing w:after="120" w:before="280"/>
      </w:pPr>
      <w:r>
        <w:t xml:space="preserve">1.1 Objectives</w:t>
      </w:r>
    </w:p>
    <w:p>
      <w:pPr>
        <w:pStyle w:val="ListParagraph"/>
        <w:numPr>
          <w:ilvl w:val="0"/>
          <w:numId w:val="2"/>
        </w:numPr>
        <w:spacing w:after="60"/>
      </w:pPr>
      <w:r>
        <w:t xml:space="preserve">Deliver near-real-time inventory accuracy in D365 F&amp;O for movements executed in Modula VLMs (picks, put-aways, adjustments, cycle counts).</w:t>
      </w:r>
    </w:p>
    <w:p>
      <w:pPr>
        <w:pStyle w:val="ListParagraph"/>
        <w:numPr>
          <w:ilvl w:val="0"/>
          <w:numId w:val="2"/>
        </w:numPr>
        <w:spacing w:after="60"/>
      </w:pPr>
      <w:r>
        <w:t xml:space="preserve">Land the same events, losslessly and independently, into the DataHub bronze zone for analytics, reconciliation, and operational reporting.</w:t>
      </w:r>
    </w:p>
    <w:p>
      <w:pPr>
        <w:pStyle w:val="ListParagraph"/>
        <w:numPr>
          <w:ilvl w:val="0"/>
          <w:numId w:val="2"/>
        </w:numPr>
        <w:spacing w:after="60"/>
      </w:pPr>
      <w:r>
        <w:t xml:space="preserve">Decouple all systems through an event backbone with a versioned, schema-enforced canonical contract.</w:t>
      </w:r>
    </w:p>
    <w:p>
      <w:pPr>
        <w:pStyle w:val="ListParagraph"/>
        <w:numPr>
          <w:ilvl w:val="0"/>
          <w:numId w:val="2"/>
        </w:numPr>
        <w:spacing w:after="60"/>
      </w:pPr>
      <w:r>
        <w:t xml:space="preserve">Provide operational APIs for replay, dead-letter resolution, backfill, and delivery tracking.</w:t>
      </w:r>
    </w:p>
    <w:p>
      <w:pPr>
        <w:pStyle w:val="ListParagraph"/>
        <w:numPr>
          <w:ilvl w:val="0"/>
          <w:numId w:val="2"/>
        </w:numPr>
        <w:spacing w:after="60"/>
      </w:pPr>
      <w:r>
        <w:t xml:space="preserve">Deploy the entire platform as code (Bicep) with CI/CD, managed identities, and zero stored connection strings.</w:t>
      </w:r>
    </w:p>
    <w:p>
      <w:pPr>
        <w:pStyle w:val="Heading2"/>
        <w:spacing w:after="120" w:before="280"/>
      </w:pPr>
      <w:r>
        <w:t xml:space="preserve">1.2 Key Design Decisions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700"/>
      </w:tblGrid>
      <w:tr>
        <w:trPr>
          <w:tblHeader/>
        </w:trPr>
        <w:tc>
          <w:tcPr>
            <w:tcW w:type="dxa" w:w="600"/>
            <w:shd w:fill="1F4E79" w:val="clear"/>
            <w:tcMar>
              <w:top w:type="dxa" w:w="60"/>
              <w:left w:type="dxa" w:w="100"/>
              <w:bottom w:type="dxa" w:w="60"/>
              <w:right w:type="dxa" w:w="100"/>
            </w:tcMar>
          </w:tcPr>
          <w:p>
            <w:r>
              <w:rPr>
                <w:b/>
                <w:bCs/>
                <w:color w:val="FFFFFF"/>
                <w:sz w:val="19"/>
                <w:szCs w:val="19"/>
              </w:rPr>
              <w:t xml:space="preserve">#</w:t>
            </w:r>
          </w:p>
        </w:tc>
        <w:tc>
          <w:tcPr>
            <w:tcW w:type="dxa" w:w="3300"/>
            <w:shd w:fill="1F4E79" w:val="clear"/>
            <w:tcMar>
              <w:top w:type="dxa" w:w="60"/>
              <w:left w:type="dxa" w:w="100"/>
              <w:bottom w:type="dxa" w:w="60"/>
              <w:right w:type="dxa" w:w="100"/>
            </w:tcMar>
          </w:tcPr>
          <w:p>
            <w:r>
              <w:rPr>
                <w:b/>
                <w:bCs/>
                <w:color w:val="FFFFFF"/>
                <w:sz w:val="19"/>
                <w:szCs w:val="19"/>
              </w:rPr>
              <w:t xml:space="preserve">Decision</w:t>
            </w:r>
          </w:p>
        </w:tc>
        <w:tc>
          <w:tcPr>
            <w:tcW w:type="dxa" w:w="5700"/>
            <w:shd w:fill="1F4E79" w:val="clear"/>
            <w:tcMar>
              <w:top w:type="dxa" w:w="60"/>
              <w:left w:type="dxa" w:w="100"/>
              <w:bottom w:type="dxa" w:w="60"/>
              <w:right w:type="dxa" w:w="100"/>
            </w:tcMar>
          </w:tcPr>
          <w:p>
            <w:r>
              <w:rPr>
                <w:b/>
                <w:bCs/>
                <w:color w:val="FFFFFF"/>
                <w:sz w:val="19"/>
                <w:szCs w:val="19"/>
              </w:rPr>
              <w:t xml:space="preserve">Rationale</w:t>
            </w:r>
          </w:p>
        </w:tc>
      </w:tr>
      <w:tr>
        <w:tc>
          <w:tcPr>
            <w:tcW w:type="dxa" w:w="600"/>
            <w:tcMar>
              <w:top w:type="dxa" w:w="60"/>
              <w:left w:type="dxa" w:w="100"/>
              <w:bottom w:type="dxa" w:w="60"/>
              <w:right w:type="dxa" w:w="100"/>
            </w:tcMar>
          </w:tcPr>
          <w:p>
            <w:r>
              <w:rPr>
                <w:b w:val="false"/>
                <w:bCs w:val="false"/>
                <w:color w:val="262626"/>
                <w:sz w:val="19"/>
                <w:szCs w:val="19"/>
              </w:rPr>
              <w:t xml:space="preserve">D1</w:t>
            </w:r>
          </w:p>
        </w:tc>
        <w:tc>
          <w:tcPr>
            <w:tcW w:type="dxa" w:w="3300"/>
            <w:tcMar>
              <w:top w:type="dxa" w:w="60"/>
              <w:left w:type="dxa" w:w="100"/>
              <w:bottom w:type="dxa" w:w="60"/>
              <w:right w:type="dxa" w:w="100"/>
            </w:tcMar>
          </w:tcPr>
          <w:p>
            <w:r>
              <w:rPr>
                <w:b w:val="false"/>
                <w:bCs w:val="false"/>
                <w:color w:val="262626"/>
                <w:sz w:val="19"/>
                <w:szCs w:val="19"/>
              </w:rPr>
              <w:t xml:space="preserve">Azure Event Hubs as the event backbone (not Service Bus topics)</w:t>
            </w:r>
          </w:p>
        </w:tc>
        <w:tc>
          <w:tcPr>
            <w:tcW w:type="dxa" w:w="5700"/>
            <w:tcMar>
              <w:top w:type="dxa" w:w="60"/>
              <w:left w:type="dxa" w:w="100"/>
              <w:bottom w:type="dxa" w:w="60"/>
              <w:right w:type="dxa" w:w="100"/>
            </w:tcMar>
          </w:tcPr>
          <w:p>
            <w:r>
              <w:rPr>
                <w:b w:val="false"/>
                <w:bCs w:val="false"/>
                <w:color w:val="262626"/>
                <w:sz w:val="19"/>
                <w:szCs w:val="19"/>
              </w:rPr>
              <w:t xml:space="preserve">High-throughput partitioned log, per-item ordering via partition key, independent consumer-group offsets, Capture for lossless archive, native Databricks connectivity.</w:t>
            </w:r>
          </w:p>
        </w:tc>
      </w:tr>
      <w:tr>
        <w:tc>
          <w:tcPr>
            <w:tcW w:type="dxa" w:w="600"/>
            <w:tcMar>
              <w:top w:type="dxa" w:w="60"/>
              <w:left w:type="dxa" w:w="100"/>
              <w:bottom w:type="dxa" w:w="60"/>
              <w:right w:type="dxa" w:w="100"/>
            </w:tcMar>
          </w:tcPr>
          <w:p>
            <w:r>
              <w:rPr>
                <w:b w:val="false"/>
                <w:bCs w:val="false"/>
                <w:color w:val="262626"/>
                <w:sz w:val="19"/>
                <w:szCs w:val="19"/>
              </w:rPr>
              <w:t xml:space="preserve">D2</w:t>
            </w:r>
          </w:p>
        </w:tc>
        <w:tc>
          <w:tcPr>
            <w:tcW w:type="dxa" w:w="3300"/>
            <w:tcMar>
              <w:top w:type="dxa" w:w="60"/>
              <w:left w:type="dxa" w:w="100"/>
              <w:bottom w:type="dxa" w:w="60"/>
              <w:right w:type="dxa" w:w="100"/>
            </w:tcMar>
          </w:tcPr>
          <w:p>
            <w:r>
              <w:rPr>
                <w:b w:val="false"/>
                <w:bCs w:val="false"/>
                <w:color w:val="262626"/>
                <w:sz w:val="19"/>
                <w:szCs w:val="19"/>
              </w:rPr>
              <w:t xml:space="preserve">CDM envelope = controlMessage + payload</w:t>
            </w:r>
          </w:p>
        </w:tc>
        <w:tc>
          <w:tcPr>
            <w:tcW w:type="dxa" w:w="5700"/>
            <w:tcMar>
              <w:top w:type="dxa" w:w="60"/>
              <w:left w:type="dxa" w:w="100"/>
              <w:bottom w:type="dxa" w:w="60"/>
              <w:right w:type="dxa" w:w="100"/>
            </w:tcMar>
          </w:tcPr>
          <w:p>
            <w:r>
              <w:rPr>
                <w:b w:val="false"/>
                <w:bCs w:val="false"/>
                <w:color w:val="262626"/>
                <w:sz w:val="19"/>
                <w:szCs w:val="19"/>
              </w:rPr>
              <w:t xml:space="preserve">Operation semantics separated from business data; consumers route on control elements only, enabling loose coupling and independent evolution.</w:t>
            </w:r>
          </w:p>
        </w:tc>
      </w:tr>
      <w:tr>
        <w:tc>
          <w:tcPr>
            <w:tcW w:type="dxa" w:w="600"/>
            <w:tcMar>
              <w:top w:type="dxa" w:w="60"/>
              <w:left w:type="dxa" w:w="100"/>
              <w:bottom w:type="dxa" w:w="60"/>
              <w:right w:type="dxa" w:w="100"/>
            </w:tcMar>
          </w:tcPr>
          <w:p>
            <w:r>
              <w:rPr>
                <w:b w:val="false"/>
                <w:bCs w:val="false"/>
                <w:color w:val="262626"/>
                <w:sz w:val="19"/>
                <w:szCs w:val="19"/>
              </w:rPr>
              <w:t xml:space="preserve">D3</w:t>
            </w:r>
          </w:p>
        </w:tc>
        <w:tc>
          <w:tcPr>
            <w:tcW w:type="dxa" w:w="3300"/>
            <w:tcMar>
              <w:top w:type="dxa" w:w="60"/>
              <w:left w:type="dxa" w:w="100"/>
              <w:bottom w:type="dxa" w:w="60"/>
              <w:right w:type="dxa" w:w="100"/>
            </w:tcMar>
          </w:tcPr>
          <w:p>
            <w:r>
              <w:rPr>
                <w:b w:val="false"/>
                <w:bCs w:val="false"/>
                <w:color w:val="262626"/>
                <w:sz w:val="19"/>
                <w:szCs w:val="19"/>
              </w:rPr>
              <w:t xml:space="preserve">Adapters as Azure Container Apps</w:t>
            </w:r>
          </w:p>
        </w:tc>
        <w:tc>
          <w:tcPr>
            <w:tcW w:type="dxa" w:w="5700"/>
            <w:tcMar>
              <w:top w:type="dxa" w:w="60"/>
              <w:left w:type="dxa" w:w="100"/>
              <w:bottom w:type="dxa" w:w="60"/>
              <w:right w:type="dxa" w:w="100"/>
            </w:tcMar>
          </w:tcPr>
          <w:p>
            <w:r>
              <w:rPr>
                <w:b w:val="false"/>
                <w:bCs w:val="false"/>
                <w:color w:val="262626"/>
                <w:sz w:val="19"/>
                <w:szCs w:val="19"/>
              </w:rPr>
              <w:t xml:space="preserve">Serverless containers with KEDA scaling on Event Hub lag; supports the shared-library repo model already defined for the Modula application.</w:t>
            </w:r>
          </w:p>
        </w:tc>
      </w:tr>
      <w:tr>
        <w:tc>
          <w:tcPr>
            <w:tcW w:type="dxa" w:w="600"/>
            <w:tcMar>
              <w:top w:type="dxa" w:w="60"/>
              <w:left w:type="dxa" w:w="100"/>
              <w:bottom w:type="dxa" w:w="60"/>
              <w:right w:type="dxa" w:w="100"/>
            </w:tcMar>
          </w:tcPr>
          <w:p>
            <w:r>
              <w:rPr>
                <w:b w:val="false"/>
                <w:bCs w:val="false"/>
                <w:color w:val="262626"/>
                <w:sz w:val="19"/>
                <w:szCs w:val="19"/>
              </w:rPr>
              <w:t xml:space="preserve">D4</w:t>
            </w:r>
          </w:p>
        </w:tc>
        <w:tc>
          <w:tcPr>
            <w:tcW w:type="dxa" w:w="3300"/>
            <w:tcMar>
              <w:top w:type="dxa" w:w="60"/>
              <w:left w:type="dxa" w:w="100"/>
              <w:bottom w:type="dxa" w:w="60"/>
              <w:right w:type="dxa" w:w="100"/>
            </w:tcMar>
          </w:tcPr>
          <w:p>
            <w:r>
              <w:rPr>
                <w:b w:val="false"/>
                <w:bCs w:val="false"/>
                <w:color w:val="262626"/>
                <w:sz w:val="19"/>
                <w:szCs w:val="19"/>
              </w:rPr>
              <w:t xml:space="preserve">API Management facade with Entra ID OAuth2</w:t>
            </w:r>
          </w:p>
        </w:tc>
        <w:tc>
          <w:tcPr>
            <w:tcW w:type="dxa" w:w="5700"/>
            <w:tcMar>
              <w:top w:type="dxa" w:w="60"/>
              <w:left w:type="dxa" w:w="100"/>
              <w:bottom w:type="dxa" w:w="60"/>
              <w:right w:type="dxa" w:w="100"/>
            </w:tcMar>
          </w:tcPr>
          <w:p>
            <w:r>
              <w:rPr>
                <w:b w:val="false"/>
                <w:bCs w:val="false"/>
                <w:color w:val="262626"/>
                <w:sz w:val="19"/>
                <w:szCs w:val="19"/>
              </w:rPr>
              <w:t xml:space="preserve">Single secured entry point, JWT validation, throttling, correlation-id injection, per-API policies.</w:t>
            </w:r>
          </w:p>
        </w:tc>
      </w:tr>
      <w:tr>
        <w:tc>
          <w:tcPr>
            <w:tcW w:type="dxa" w:w="600"/>
            <w:tcMar>
              <w:top w:type="dxa" w:w="60"/>
              <w:left w:type="dxa" w:w="100"/>
              <w:bottom w:type="dxa" w:w="60"/>
              <w:right w:type="dxa" w:w="100"/>
            </w:tcMar>
          </w:tcPr>
          <w:p>
            <w:r>
              <w:rPr>
                <w:b w:val="false"/>
                <w:bCs w:val="false"/>
                <w:color w:val="262626"/>
                <w:sz w:val="19"/>
                <w:szCs w:val="19"/>
              </w:rPr>
              <w:t xml:space="preserve">D5</w:t>
            </w:r>
          </w:p>
        </w:tc>
        <w:tc>
          <w:tcPr>
            <w:tcW w:type="dxa" w:w="3300"/>
            <w:tcMar>
              <w:top w:type="dxa" w:w="60"/>
              <w:left w:type="dxa" w:w="100"/>
              <w:bottom w:type="dxa" w:w="60"/>
              <w:right w:type="dxa" w:w="100"/>
            </w:tcMar>
          </w:tcPr>
          <w:p>
            <w:r>
              <w:rPr>
                <w:b w:val="false"/>
                <w:bCs w:val="false"/>
                <w:color w:val="262626"/>
                <w:sz w:val="19"/>
                <w:szCs w:val="19"/>
              </w:rPr>
              <w:t xml:space="preserve">Service Bus queues for dead-lettering only</w:t>
            </w:r>
          </w:p>
        </w:tc>
        <w:tc>
          <w:tcPr>
            <w:tcW w:type="dxa" w:w="5700"/>
            <w:tcMar>
              <w:top w:type="dxa" w:w="60"/>
              <w:left w:type="dxa" w:w="100"/>
              <w:bottom w:type="dxa" w:w="60"/>
              <w:right w:type="dxa" w:w="100"/>
            </w:tcMar>
          </w:tcPr>
          <w:p>
            <w:r>
              <w:rPr>
                <w:b w:val="false"/>
                <w:bCs w:val="false"/>
                <w:color w:val="262626"/>
                <w:sz w:val="19"/>
                <w:szCs w:val="19"/>
              </w:rPr>
              <w:t xml:space="preserve">Poison messages escalate out of the retry loop into durable queues with operator replay APIs; the happy path stays on Event Hubs.</w:t>
            </w:r>
          </w:p>
        </w:tc>
      </w:tr>
      <w:tr>
        <w:tc>
          <w:tcPr>
            <w:tcW w:type="dxa" w:w="600"/>
            <w:tcMar>
              <w:top w:type="dxa" w:w="60"/>
              <w:left w:type="dxa" w:w="100"/>
              <w:bottom w:type="dxa" w:w="60"/>
              <w:right w:type="dxa" w:w="100"/>
            </w:tcMar>
          </w:tcPr>
          <w:p>
            <w:r>
              <w:rPr>
                <w:b w:val="false"/>
                <w:bCs w:val="false"/>
                <w:color w:val="262626"/>
                <w:sz w:val="19"/>
                <w:szCs w:val="19"/>
              </w:rPr>
              <w:t xml:space="preserve">D6</w:t>
            </w:r>
          </w:p>
        </w:tc>
        <w:tc>
          <w:tcPr>
            <w:tcW w:type="dxa" w:w="3300"/>
            <w:tcMar>
              <w:top w:type="dxa" w:w="60"/>
              <w:left w:type="dxa" w:w="100"/>
              <w:bottom w:type="dxa" w:w="60"/>
              <w:right w:type="dxa" w:w="100"/>
            </w:tcMar>
          </w:tcPr>
          <w:p>
            <w:r>
              <w:rPr>
                <w:b w:val="false"/>
                <w:bCs w:val="false"/>
                <w:color w:val="262626"/>
                <w:sz w:val="19"/>
                <w:szCs w:val="19"/>
              </w:rPr>
              <w:t xml:space="preserve">Event Hubs Schema Registry (JSON, Backward compat)</w:t>
            </w:r>
          </w:p>
        </w:tc>
        <w:tc>
          <w:tcPr>
            <w:tcW w:type="dxa" w:w="5700"/>
            <w:tcMar>
              <w:top w:type="dxa" w:w="60"/>
              <w:left w:type="dxa" w:w="100"/>
              <w:bottom w:type="dxa" w:w="60"/>
              <w:right w:type="dxa" w:w="100"/>
            </w:tcMar>
          </w:tcPr>
          <w:p>
            <w:r>
              <w:rPr>
                <w:b w:val="false"/>
                <w:bCs w:val="false"/>
                <w:color w:val="262626"/>
                <w:sz w:val="19"/>
                <w:szCs w:val="19"/>
              </w:rPr>
              <w:t xml:space="preserve">CDM version enforcement at publish time; consumers tolerate additive change.</w:t>
            </w:r>
          </w:p>
        </w:tc>
      </w:tr>
      <w:tr>
        <w:tc>
          <w:tcPr>
            <w:tcW w:type="dxa" w:w="600"/>
            <w:tcMar>
              <w:top w:type="dxa" w:w="60"/>
              <w:left w:type="dxa" w:w="100"/>
              <w:bottom w:type="dxa" w:w="60"/>
              <w:right w:type="dxa" w:w="100"/>
            </w:tcMar>
          </w:tcPr>
          <w:p>
            <w:r>
              <w:rPr>
                <w:b w:val="false"/>
                <w:bCs w:val="false"/>
                <w:color w:val="262626"/>
                <w:sz w:val="19"/>
                <w:szCs w:val="19"/>
              </w:rPr>
              <w:t xml:space="preserve">D7</w:t>
            </w:r>
          </w:p>
        </w:tc>
        <w:tc>
          <w:tcPr>
            <w:tcW w:type="dxa" w:w="3300"/>
            <w:tcMar>
              <w:top w:type="dxa" w:w="60"/>
              <w:left w:type="dxa" w:w="100"/>
              <w:bottom w:type="dxa" w:w="60"/>
              <w:right w:type="dxa" w:w="100"/>
            </w:tcMar>
          </w:tcPr>
          <w:p>
            <w:r>
              <w:rPr>
                <w:b w:val="false"/>
                <w:bCs w:val="false"/>
                <w:color w:val="262626"/>
                <w:sz w:val="19"/>
                <w:szCs w:val="19"/>
              </w:rPr>
              <w:t xml:space="preserve">Managed identity + RBAC everywhere</w:t>
            </w:r>
          </w:p>
        </w:tc>
        <w:tc>
          <w:tcPr>
            <w:tcW w:type="dxa" w:w="5700"/>
            <w:tcMar>
              <w:top w:type="dxa" w:w="60"/>
              <w:left w:type="dxa" w:w="100"/>
              <w:bottom w:type="dxa" w:w="60"/>
              <w:right w:type="dxa" w:w="100"/>
            </w:tcMar>
          </w:tcPr>
          <w:p>
            <w:r>
              <w:rPr>
                <w:b w:val="false"/>
                <w:bCs w:val="false"/>
                <w:color w:val="262626"/>
                <w:sz w:val="19"/>
                <w:szCs w:val="19"/>
              </w:rPr>
              <w:t xml:space="preserve">No SAS keys or connection strings for intra-Azure hops; Key Vault reserved for external credentials (Modula, D365 service principal).</w:t>
            </w:r>
          </w:p>
        </w:tc>
      </w:tr>
    </w:tbl>
    <w:p>
      <w:pPr>
        <w:spacing w:after="120"/>
      </w:pPr>
    </w:p>
    <w:p>
      <w:pPr>
        <w:pStyle w:val="Heading1"/>
        <w:spacing w:after="160" w:before="360"/>
      </w:pPr>
      <w:r>
        <w:t xml:space="preserve">2. Solution Architecture</w:t>
      </w:r>
    </w:p>
    <w:p>
      <w:pPr>
        <w:pStyle w:val="Heading2"/>
        <w:spacing w:after="120" w:before="280"/>
      </w:pPr>
      <w:r>
        <w:t xml:space="preserve">2.1 Architecture Overview</w:t>
      </w:r>
    </w:p>
    <w:p>
      <w:pPr>
        <w:spacing w:after="120"/>
      </w:pPr>
      <w:r>
        <w:t xml:space="preserve">The architecture has three zones: the warehouse source (Modula), the Azure integration layer, and the target systems (D365 F&amp;O and the Databricks DataHub).</w:t>
      </w:r>
    </w:p>
    <w:p>
      <w:pPr>
        <w:spacing w:after="60" w:before="120"/>
        <w:jc w:val="center"/>
      </w:pPr>
      <w:r>
        <w:drawing>
          <wp:inline distT="0" distB="0" distL="0" distR="0">
            <wp:extent cx="65722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571875"/>
                    </a:xfrm>
                    <a:prstGeom prst="rect">
                      <a:avLst/>
                    </a:prstGeom>
                  </pic:spPr>
                </pic:pic>
              </a:graphicData>
            </a:graphic>
          </wp:inline>
        </w:drawing>
      </w:r>
    </w:p>
    <w:p>
      <w:pPr>
        <w:spacing w:after="160"/>
        <w:jc w:val="center"/>
      </w:pPr>
      <w:r>
        <w:rPr>
          <w:i/>
          <w:iCs/>
          <w:color w:val="595959"/>
          <w:sz w:val="18"/>
          <w:szCs w:val="18"/>
        </w:rPr>
        <w:t xml:space="preserve">Figure 1 – End-to-end integration architecture</w:t>
      </w:r>
    </w:p>
    <w:p>
      <w:pPr>
        <w:spacing w:after="120"/>
      </w:pPr>
      <w:r>
        <w:t xml:space="preserve">End-to-end flow:</w:t>
      </w:r>
    </w:p>
    <w:p>
      <w:pPr>
        <w:pStyle w:val="ListParagraph"/>
        <w:numPr>
          <w:ilvl w:val="0"/>
          <w:numId w:val="2"/>
        </w:numPr>
        <w:spacing w:after="60"/>
      </w:pPr>
      <w:r>
        <w:t xml:space="preserve">1. Modula emits an inventory transaction via webhook (or is polled by lightweight middleware) and calls POST /inventory/events on the Modula Inbound Adapter through APIM.</w:t>
      </w:r>
    </w:p>
    <w:p>
      <w:pPr>
        <w:pStyle w:val="ListParagraph"/>
        <w:numPr>
          <w:ilvl w:val="0"/>
          <w:numId w:val="2"/>
        </w:numPr>
        <w:spacing w:after="60"/>
      </w:pPr>
      <w:r>
        <w:t xml:space="preserve">2. The adapter validates the message against the CDM JSON Schema, enriches the control message (publishTimestamp, partitionKey), and publishes to the Event Hub inventory-events with the partition key warehouseId+itemId.</w:t>
      </w:r>
    </w:p>
    <w:p>
      <w:pPr>
        <w:pStyle w:val="ListParagraph"/>
        <w:numPr>
          <w:ilvl w:val="0"/>
          <w:numId w:val="2"/>
        </w:numPr>
        <w:spacing w:after="60"/>
      </w:pPr>
      <w:r>
        <w:t xml:space="preserve">3a. The D365 Outbound Adapter consumes on consumer group cg-d365, maps the CDM to D365 F&amp;O operations (Inventory Visibility on-hand changes, movement/adjustment journals, counting journals), and posts via OData / Inventory Visibility API.</w:t>
      </w:r>
    </w:p>
    <w:p>
      <w:pPr>
        <w:pStyle w:val="ListParagraph"/>
        <w:numPr>
          <w:ilvl w:val="0"/>
          <w:numId w:val="2"/>
        </w:numPr>
        <w:spacing w:after="60"/>
      </w:pPr>
      <w:r>
        <w:t xml:space="preserve">3b. The DataHub Outbound Adapter consumes on consumer group cg-datahub and appends raw JSON to the ADLS Gen2 bronze zone, partitioned by eventType and date, with checkpointed offsets for exactly-once landing. Delta Live Tables promote bronze → silver → gold under Unity Catalog.</w:t>
      </w:r>
    </w:p>
    <w:p>
      <w:pPr>
        <w:pStyle w:val="ListParagraph"/>
        <w:numPr>
          <w:ilvl w:val="0"/>
          <w:numId w:val="2"/>
        </w:numPr>
        <w:spacing w:after="60"/>
      </w:pPr>
      <w:r>
        <w:t xml:space="preserve">4. Event Hubs Capture archives every event to ADLS (Avro) as the immutable system of record for the pipe, enabling backfill and audit.</w:t>
      </w:r>
    </w:p>
    <w:p>
      <w:pPr>
        <w:pStyle w:val="Heading2"/>
        <w:spacing w:after="120" w:before="280"/>
      </w:pPr>
      <w:r>
        <w:t xml:space="preserve">2.2 Component Inventory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00"/>
      </w:tblGrid>
      <w:tr>
        <w:trPr>
          <w:tblHeader/>
        </w:trPr>
        <w:tc>
          <w:tcPr>
            <w:tcW w:type="dxa" w:w="2200"/>
            <w:shd w:fill="1F4E79" w:val="clear"/>
            <w:tcMar>
              <w:top w:type="dxa" w:w="60"/>
              <w:left w:type="dxa" w:w="100"/>
              <w:bottom w:type="dxa" w:w="60"/>
              <w:right w:type="dxa" w:w="100"/>
            </w:tcMar>
          </w:tcPr>
          <w:p>
            <w:r>
              <w:rPr>
                <w:b/>
                <w:bCs/>
                <w:color w:val="FFFFFF"/>
                <w:sz w:val="19"/>
                <w:szCs w:val="19"/>
              </w:rPr>
              <w:t xml:space="preserve">Component</w:t>
            </w:r>
          </w:p>
        </w:tc>
        <w:tc>
          <w:tcPr>
            <w:tcW w:type="dxa" w:w="3300"/>
            <w:shd w:fill="1F4E79" w:val="clear"/>
            <w:tcMar>
              <w:top w:type="dxa" w:w="60"/>
              <w:left w:type="dxa" w:w="100"/>
              <w:bottom w:type="dxa" w:w="60"/>
              <w:right w:type="dxa" w:w="100"/>
            </w:tcMar>
          </w:tcPr>
          <w:p>
            <w:r>
              <w:rPr>
                <w:b/>
                <w:bCs/>
                <w:color w:val="FFFFFF"/>
                <w:sz w:val="19"/>
                <w:szCs w:val="19"/>
              </w:rPr>
              <w:t xml:space="preserve">Azure Service</w:t>
            </w:r>
          </w:p>
        </w:tc>
        <w:tc>
          <w:tcPr>
            <w:tcW w:type="dxa" w:w="4100"/>
            <w:shd w:fill="1F4E79" w:val="clear"/>
            <w:tcMar>
              <w:top w:type="dxa" w:w="60"/>
              <w:left w:type="dxa" w:w="100"/>
              <w:bottom w:type="dxa" w:w="60"/>
              <w:right w:type="dxa" w:w="100"/>
            </w:tcMar>
          </w:tcPr>
          <w:p>
            <w:r>
              <w:rPr>
                <w:b/>
                <w:bCs/>
                <w:color w:val="FFFFFF"/>
                <w:sz w:val="19"/>
                <w:szCs w:val="19"/>
              </w:rPr>
              <w:t xml:space="preserve">Responsibility</w:t>
            </w:r>
          </w:p>
        </w:tc>
      </w:tr>
      <w:tr>
        <w:tc>
          <w:tcPr>
            <w:tcW w:type="dxa" w:w="2200"/>
            <w:tcMar>
              <w:top w:type="dxa" w:w="60"/>
              <w:left w:type="dxa" w:w="100"/>
              <w:bottom w:type="dxa" w:w="60"/>
              <w:right w:type="dxa" w:w="100"/>
            </w:tcMar>
          </w:tcPr>
          <w:p>
            <w:r>
              <w:rPr>
                <w:b w:val="false"/>
                <w:bCs w:val="false"/>
                <w:color w:val="262626"/>
                <w:sz w:val="19"/>
                <w:szCs w:val="19"/>
              </w:rPr>
              <w:t xml:space="preserve">Modula Inbound Adapter</w:t>
            </w:r>
          </w:p>
        </w:tc>
        <w:tc>
          <w:tcPr>
            <w:tcW w:type="dxa" w:w="3300"/>
            <w:tcMar>
              <w:top w:type="dxa" w:w="60"/>
              <w:left w:type="dxa" w:w="100"/>
              <w:bottom w:type="dxa" w:w="60"/>
              <w:right w:type="dxa" w:w="100"/>
            </w:tcMar>
          </w:tcPr>
          <w:p>
            <w:r>
              <w:rPr>
                <w:b w:val="false"/>
                <w:bCs w:val="false"/>
                <w:color w:val="262626"/>
                <w:sz w:val="19"/>
                <w:szCs w:val="19"/>
              </w:rPr>
              <w:t xml:space="preserve">Container App (ca-modula-adapter)</w:t>
            </w:r>
          </w:p>
        </w:tc>
        <w:tc>
          <w:tcPr>
            <w:tcW w:type="dxa" w:w="4100"/>
            <w:tcMar>
              <w:top w:type="dxa" w:w="60"/>
              <w:left w:type="dxa" w:w="100"/>
              <w:bottom w:type="dxa" w:w="60"/>
              <w:right w:type="dxa" w:w="100"/>
            </w:tcMar>
          </w:tcPr>
          <w:p>
            <w:r>
              <w:rPr>
                <w:b w:val="false"/>
                <w:bCs w:val="false"/>
                <w:color w:val="262626"/>
                <w:sz w:val="19"/>
                <w:szCs w:val="19"/>
              </w:rPr>
              <w:t xml:space="preserve">Receive, validate, enrich, publish; idempotency on messageId; batch endpoint (≤100).</w:t>
            </w:r>
          </w:p>
        </w:tc>
      </w:tr>
      <w:tr>
        <w:tc>
          <w:tcPr>
            <w:tcW w:type="dxa" w:w="2200"/>
            <w:tcMar>
              <w:top w:type="dxa" w:w="60"/>
              <w:left w:type="dxa" w:w="100"/>
              <w:bottom w:type="dxa" w:w="60"/>
              <w:right w:type="dxa" w:w="100"/>
            </w:tcMar>
          </w:tcPr>
          <w:p>
            <w:r>
              <w:rPr>
                <w:b w:val="false"/>
                <w:bCs w:val="false"/>
                <w:color w:val="262626"/>
                <w:sz w:val="19"/>
                <w:szCs w:val="19"/>
              </w:rPr>
              <w:t xml:space="preserve">Event Backbone</w:t>
            </w:r>
          </w:p>
        </w:tc>
        <w:tc>
          <w:tcPr>
            <w:tcW w:type="dxa" w:w="3300"/>
            <w:tcMar>
              <w:top w:type="dxa" w:w="60"/>
              <w:left w:type="dxa" w:w="100"/>
              <w:bottom w:type="dxa" w:w="60"/>
              <w:right w:type="dxa" w:w="100"/>
            </w:tcMar>
          </w:tcPr>
          <w:p>
            <w:r>
              <w:rPr>
                <w:b w:val="false"/>
                <w:bCs w:val="false"/>
                <w:color w:val="262626"/>
                <w:sz w:val="19"/>
                <w:szCs w:val="19"/>
              </w:rPr>
              <w:t xml:space="preserve">Event Hubs Standard/Premium, hub inventory-events, 8 partitions, 7-day retention, Capture on</w:t>
            </w:r>
          </w:p>
        </w:tc>
        <w:tc>
          <w:tcPr>
            <w:tcW w:type="dxa" w:w="4100"/>
            <w:tcMar>
              <w:top w:type="dxa" w:w="60"/>
              <w:left w:type="dxa" w:w="100"/>
              <w:bottom w:type="dxa" w:w="60"/>
              <w:right w:type="dxa" w:w="100"/>
            </w:tcMar>
          </w:tcPr>
          <w:p>
            <w:r>
              <w:rPr>
                <w:b w:val="false"/>
                <w:bCs w:val="false"/>
                <w:color w:val="262626"/>
                <w:sz w:val="19"/>
                <w:szCs w:val="19"/>
              </w:rPr>
              <w:t xml:space="preserve">Durable ordered log; fan-out via consumer groups cg-d365 and cg-datahub; schema group inventory-cdm.</w:t>
            </w:r>
          </w:p>
        </w:tc>
      </w:tr>
      <w:tr>
        <w:tc>
          <w:tcPr>
            <w:tcW w:type="dxa" w:w="2200"/>
            <w:tcMar>
              <w:top w:type="dxa" w:w="60"/>
              <w:left w:type="dxa" w:w="100"/>
              <w:bottom w:type="dxa" w:w="60"/>
              <w:right w:type="dxa" w:w="100"/>
            </w:tcMar>
          </w:tcPr>
          <w:p>
            <w:r>
              <w:rPr>
                <w:b w:val="false"/>
                <w:bCs w:val="false"/>
                <w:color w:val="262626"/>
                <w:sz w:val="19"/>
                <w:szCs w:val="19"/>
              </w:rPr>
              <w:t xml:space="preserve">D365 Outbound Adapter</w:t>
            </w:r>
          </w:p>
        </w:tc>
        <w:tc>
          <w:tcPr>
            <w:tcW w:type="dxa" w:w="3300"/>
            <w:tcMar>
              <w:top w:type="dxa" w:w="60"/>
              <w:left w:type="dxa" w:w="100"/>
              <w:bottom w:type="dxa" w:w="60"/>
              <w:right w:type="dxa" w:w="100"/>
            </w:tcMar>
          </w:tcPr>
          <w:p>
            <w:r>
              <w:rPr>
                <w:b w:val="false"/>
                <w:bCs w:val="false"/>
                <w:color w:val="262626"/>
                <w:sz w:val="19"/>
                <w:szCs w:val="19"/>
              </w:rPr>
              <w:t xml:space="preserve">Container App (ca-d365-adapter)</w:t>
            </w:r>
          </w:p>
        </w:tc>
        <w:tc>
          <w:tcPr>
            <w:tcW w:type="dxa" w:w="4100"/>
            <w:tcMar>
              <w:top w:type="dxa" w:w="60"/>
              <w:left w:type="dxa" w:w="100"/>
              <w:bottom w:type="dxa" w:w="60"/>
              <w:right w:type="dxa" w:w="100"/>
            </w:tcMar>
          </w:tcPr>
          <w:p>
            <w:r>
              <w:rPr>
                <w:b w:val="false"/>
                <w:bCs w:val="false"/>
                <w:color w:val="262626"/>
                <w:sz w:val="19"/>
                <w:szCs w:val="19"/>
              </w:rPr>
              <w:t xml:space="preserve">Consume cg-d365; CDM → D365 mapping; retry with backoff; DLQ escalation; replay and dead-letter APIs.</w:t>
            </w:r>
          </w:p>
        </w:tc>
      </w:tr>
      <w:tr>
        <w:tc>
          <w:tcPr>
            <w:tcW w:type="dxa" w:w="2200"/>
            <w:tcMar>
              <w:top w:type="dxa" w:w="60"/>
              <w:left w:type="dxa" w:w="100"/>
              <w:bottom w:type="dxa" w:w="60"/>
              <w:right w:type="dxa" w:w="100"/>
            </w:tcMar>
          </w:tcPr>
          <w:p>
            <w:r>
              <w:rPr>
                <w:b w:val="false"/>
                <w:bCs w:val="false"/>
                <w:color w:val="262626"/>
                <w:sz w:val="19"/>
                <w:szCs w:val="19"/>
              </w:rPr>
              <w:t xml:space="preserve">DataHub Outbound Adapter</w:t>
            </w:r>
          </w:p>
        </w:tc>
        <w:tc>
          <w:tcPr>
            <w:tcW w:type="dxa" w:w="3300"/>
            <w:tcMar>
              <w:top w:type="dxa" w:w="60"/>
              <w:left w:type="dxa" w:w="100"/>
              <w:bottom w:type="dxa" w:w="60"/>
              <w:right w:type="dxa" w:w="100"/>
            </w:tcMar>
          </w:tcPr>
          <w:p>
            <w:r>
              <w:rPr>
                <w:b w:val="false"/>
                <w:bCs w:val="false"/>
                <w:color w:val="262626"/>
                <w:sz w:val="19"/>
                <w:szCs w:val="19"/>
              </w:rPr>
              <w:t xml:space="preserve">Container App (ca-datahub-adapter)</w:t>
            </w:r>
          </w:p>
        </w:tc>
        <w:tc>
          <w:tcPr>
            <w:tcW w:type="dxa" w:w="4100"/>
            <w:tcMar>
              <w:top w:type="dxa" w:w="60"/>
              <w:left w:type="dxa" w:w="100"/>
              <w:bottom w:type="dxa" w:w="60"/>
              <w:right w:type="dxa" w:w="100"/>
            </w:tcMar>
          </w:tcPr>
          <w:p>
            <w:r>
              <w:rPr>
                <w:b w:val="false"/>
                <w:bCs w:val="false"/>
                <w:color w:val="262626"/>
                <w:sz w:val="19"/>
                <w:szCs w:val="19"/>
              </w:rPr>
              <w:t xml:space="preserve">Consume cg-datahub; bronze landing to ADLS; quarantine on schema drift; backfill from Capture archive.</w:t>
            </w:r>
          </w:p>
        </w:tc>
      </w:tr>
      <w:tr>
        <w:tc>
          <w:tcPr>
            <w:tcW w:type="dxa" w:w="2200"/>
            <w:tcMar>
              <w:top w:type="dxa" w:w="60"/>
              <w:left w:type="dxa" w:w="100"/>
              <w:bottom w:type="dxa" w:w="60"/>
              <w:right w:type="dxa" w:w="100"/>
            </w:tcMar>
          </w:tcPr>
          <w:p>
            <w:r>
              <w:rPr>
                <w:b w:val="false"/>
                <w:bCs w:val="false"/>
                <w:color w:val="262626"/>
                <w:sz w:val="19"/>
                <w:szCs w:val="19"/>
              </w:rPr>
              <w:t xml:space="preserve">API Facade</w:t>
            </w:r>
          </w:p>
        </w:tc>
        <w:tc>
          <w:tcPr>
            <w:tcW w:type="dxa" w:w="3300"/>
            <w:tcMar>
              <w:top w:type="dxa" w:w="60"/>
              <w:left w:type="dxa" w:w="100"/>
              <w:bottom w:type="dxa" w:w="60"/>
              <w:right w:type="dxa" w:w="100"/>
            </w:tcMar>
          </w:tcPr>
          <w:p>
            <w:r>
              <w:rPr>
                <w:b w:val="false"/>
                <w:bCs w:val="false"/>
                <w:color w:val="262626"/>
                <w:sz w:val="19"/>
                <w:szCs w:val="19"/>
              </w:rPr>
              <w:t xml:space="preserve">API Management (apim-modint-*)</w:t>
            </w:r>
          </w:p>
        </w:tc>
        <w:tc>
          <w:tcPr>
            <w:tcW w:type="dxa" w:w="4100"/>
            <w:tcMar>
              <w:top w:type="dxa" w:w="60"/>
              <w:left w:type="dxa" w:w="100"/>
              <w:bottom w:type="dxa" w:w="60"/>
              <w:right w:type="dxa" w:w="100"/>
            </w:tcMar>
          </w:tcPr>
          <w:p>
            <w:r>
              <w:rPr>
                <w:b w:val="false"/>
                <w:bCs w:val="false"/>
                <w:color w:val="262626"/>
                <w:sz w:val="19"/>
                <w:szCs w:val="19"/>
              </w:rPr>
              <w:t xml:space="preserve">OAuth2/JWT validation, rate limiting, correlation-id header, per-adapter API import from OpenAPI.</w:t>
            </w:r>
          </w:p>
        </w:tc>
      </w:tr>
      <w:tr>
        <w:tc>
          <w:tcPr>
            <w:tcW w:type="dxa" w:w="2200"/>
            <w:tcMar>
              <w:top w:type="dxa" w:w="60"/>
              <w:left w:type="dxa" w:w="100"/>
              <w:bottom w:type="dxa" w:w="60"/>
              <w:right w:type="dxa" w:w="100"/>
            </w:tcMar>
          </w:tcPr>
          <w:p>
            <w:r>
              <w:rPr>
                <w:b w:val="false"/>
                <w:bCs w:val="false"/>
                <w:color w:val="262626"/>
                <w:sz w:val="19"/>
                <w:szCs w:val="19"/>
              </w:rPr>
              <w:t xml:space="preserve">Dead-Letter Store</w:t>
            </w:r>
          </w:p>
        </w:tc>
        <w:tc>
          <w:tcPr>
            <w:tcW w:type="dxa" w:w="3300"/>
            <w:tcMar>
              <w:top w:type="dxa" w:w="60"/>
              <w:left w:type="dxa" w:w="100"/>
              <w:bottom w:type="dxa" w:w="60"/>
              <w:right w:type="dxa" w:w="100"/>
            </w:tcMar>
          </w:tcPr>
          <w:p>
            <w:r>
              <w:rPr>
                <w:b w:val="false"/>
                <w:bCs w:val="false"/>
                <w:color w:val="262626"/>
                <w:sz w:val="19"/>
                <w:szCs w:val="19"/>
              </w:rPr>
              <w:t xml:space="preserve">Service Bus queues dlq-d365, dlq-datahub</w:t>
            </w:r>
          </w:p>
        </w:tc>
        <w:tc>
          <w:tcPr>
            <w:tcW w:type="dxa" w:w="4100"/>
            <w:tcMar>
              <w:top w:type="dxa" w:w="60"/>
              <w:left w:type="dxa" w:w="100"/>
              <w:bottom w:type="dxa" w:w="60"/>
              <w:right w:type="dxa" w:w="100"/>
            </w:tcMar>
          </w:tcPr>
          <w:p>
            <w:r>
              <w:rPr>
                <w:b w:val="false"/>
                <w:bCs w:val="false"/>
                <w:color w:val="262626"/>
                <w:sz w:val="19"/>
                <w:szCs w:val="19"/>
              </w:rPr>
              <w:t xml:space="preserve">Durable parking for poison messages; 14-day TTL; operator retry/discard.</w:t>
            </w:r>
          </w:p>
        </w:tc>
      </w:tr>
      <w:tr>
        <w:tc>
          <w:tcPr>
            <w:tcW w:type="dxa" w:w="2200"/>
            <w:tcMar>
              <w:top w:type="dxa" w:w="60"/>
              <w:left w:type="dxa" w:w="100"/>
              <w:bottom w:type="dxa" w:w="60"/>
              <w:right w:type="dxa" w:w="100"/>
            </w:tcMar>
          </w:tcPr>
          <w:p>
            <w:r>
              <w:rPr>
                <w:b w:val="false"/>
                <w:bCs w:val="false"/>
                <w:color w:val="262626"/>
                <w:sz w:val="19"/>
                <w:szCs w:val="19"/>
              </w:rPr>
              <w:t xml:space="preserve">Storage</w:t>
            </w:r>
          </w:p>
        </w:tc>
        <w:tc>
          <w:tcPr>
            <w:tcW w:type="dxa" w:w="3300"/>
            <w:tcMar>
              <w:top w:type="dxa" w:w="60"/>
              <w:left w:type="dxa" w:w="100"/>
              <w:bottom w:type="dxa" w:w="60"/>
              <w:right w:type="dxa" w:w="100"/>
            </w:tcMar>
          </w:tcPr>
          <w:p>
            <w:r>
              <w:rPr>
                <w:b w:val="false"/>
                <w:bCs w:val="false"/>
                <w:color w:val="262626"/>
                <w:sz w:val="19"/>
                <w:szCs w:val="19"/>
              </w:rPr>
              <w:t xml:space="preserve">ADLS Gen2 (st*) containers: eventhub-capture, checkpoints, bronze, quarantine</w:t>
            </w:r>
          </w:p>
        </w:tc>
        <w:tc>
          <w:tcPr>
            <w:tcW w:type="dxa" w:w="4100"/>
            <w:tcMar>
              <w:top w:type="dxa" w:w="60"/>
              <w:left w:type="dxa" w:w="100"/>
              <w:bottom w:type="dxa" w:w="60"/>
              <w:right w:type="dxa" w:w="100"/>
            </w:tcMar>
          </w:tcPr>
          <w:p>
            <w:r>
              <w:rPr>
                <w:b w:val="false"/>
                <w:bCs w:val="false"/>
                <w:color w:val="262626"/>
                <w:sz w:val="19"/>
                <w:szCs w:val="19"/>
              </w:rPr>
              <w:t xml:space="preserve">Capture archive, consumer checkpoints, analytics landing, invalid-message quarantine.</w:t>
            </w:r>
          </w:p>
        </w:tc>
      </w:tr>
      <w:tr>
        <w:tc>
          <w:tcPr>
            <w:tcW w:type="dxa" w:w="2200"/>
            <w:tcMar>
              <w:top w:type="dxa" w:w="60"/>
              <w:left w:type="dxa" w:w="100"/>
              <w:bottom w:type="dxa" w:w="60"/>
              <w:right w:type="dxa" w:w="100"/>
            </w:tcMar>
          </w:tcPr>
          <w:p>
            <w:r>
              <w:rPr>
                <w:b w:val="false"/>
                <w:bCs w:val="false"/>
                <w:color w:val="262626"/>
                <w:sz w:val="19"/>
                <w:szCs w:val="19"/>
              </w:rPr>
              <w:t xml:space="preserve">Secrets</w:t>
            </w:r>
          </w:p>
        </w:tc>
        <w:tc>
          <w:tcPr>
            <w:tcW w:type="dxa" w:w="3300"/>
            <w:tcMar>
              <w:top w:type="dxa" w:w="60"/>
              <w:left w:type="dxa" w:w="100"/>
              <w:bottom w:type="dxa" w:w="60"/>
              <w:right w:type="dxa" w:w="100"/>
            </w:tcMar>
          </w:tcPr>
          <w:p>
            <w:r>
              <w:rPr>
                <w:b w:val="false"/>
                <w:bCs w:val="false"/>
                <w:color w:val="262626"/>
                <w:sz w:val="19"/>
                <w:szCs w:val="19"/>
              </w:rPr>
              <w:t xml:space="preserve">Key Vault (kv-modint-*)</w:t>
            </w:r>
          </w:p>
        </w:tc>
        <w:tc>
          <w:tcPr>
            <w:tcW w:type="dxa" w:w="4100"/>
            <w:tcMar>
              <w:top w:type="dxa" w:w="60"/>
              <w:left w:type="dxa" w:w="100"/>
              <w:bottom w:type="dxa" w:w="60"/>
              <w:right w:type="dxa" w:w="100"/>
            </w:tcMar>
          </w:tcPr>
          <w:p>
            <w:r>
              <w:rPr>
                <w:b w:val="false"/>
                <w:bCs w:val="false"/>
                <w:color w:val="262626"/>
                <w:sz w:val="19"/>
                <w:szCs w:val="19"/>
              </w:rPr>
              <w:t xml:space="preserve">External credentials only (Modula API, D365 service principal); RBAC-authorized.</w:t>
            </w:r>
          </w:p>
        </w:tc>
      </w:tr>
      <w:tr>
        <w:tc>
          <w:tcPr>
            <w:tcW w:type="dxa" w:w="2200"/>
            <w:tcMar>
              <w:top w:type="dxa" w:w="60"/>
              <w:left w:type="dxa" w:w="100"/>
              <w:bottom w:type="dxa" w:w="60"/>
              <w:right w:type="dxa" w:w="100"/>
            </w:tcMar>
          </w:tcPr>
          <w:p>
            <w:r>
              <w:rPr>
                <w:b w:val="false"/>
                <w:bCs w:val="false"/>
                <w:color w:val="262626"/>
                <w:sz w:val="19"/>
                <w:szCs w:val="19"/>
              </w:rPr>
              <w:t xml:space="preserve">Observability</w:t>
            </w:r>
          </w:p>
        </w:tc>
        <w:tc>
          <w:tcPr>
            <w:tcW w:type="dxa" w:w="3300"/>
            <w:tcMar>
              <w:top w:type="dxa" w:w="60"/>
              <w:left w:type="dxa" w:w="100"/>
              <w:bottom w:type="dxa" w:w="60"/>
              <w:right w:type="dxa" w:w="100"/>
            </w:tcMar>
          </w:tcPr>
          <w:p>
            <w:r>
              <w:rPr>
                <w:b w:val="false"/>
                <w:bCs w:val="false"/>
                <w:color w:val="262626"/>
                <w:sz w:val="19"/>
                <w:szCs w:val="19"/>
              </w:rPr>
              <w:t xml:space="preserve">App Insights + Log Analytics</w:t>
            </w:r>
          </w:p>
        </w:tc>
        <w:tc>
          <w:tcPr>
            <w:tcW w:type="dxa" w:w="4100"/>
            <w:tcMar>
              <w:top w:type="dxa" w:w="60"/>
              <w:left w:type="dxa" w:w="100"/>
              <w:bottom w:type="dxa" w:w="60"/>
              <w:right w:type="dxa" w:w="100"/>
            </w:tcMar>
          </w:tcPr>
          <w:p>
            <w:r>
              <w:rPr>
                <w:b w:val="false"/>
                <w:bCs w:val="false"/>
                <w:color w:val="262626"/>
                <w:sz w:val="19"/>
                <w:szCs w:val="19"/>
              </w:rPr>
              <w:t xml:space="preserve">End-to-end distributed tracing keyed on correlationId; consumer-lag metrics; alerting via action group.</w:t>
            </w:r>
          </w:p>
        </w:tc>
      </w:tr>
      <w:tr>
        <w:tc>
          <w:tcPr>
            <w:tcW w:type="dxa" w:w="2200"/>
            <w:tcMar>
              <w:top w:type="dxa" w:w="60"/>
              <w:left w:type="dxa" w:w="100"/>
              <w:bottom w:type="dxa" w:w="60"/>
              <w:right w:type="dxa" w:w="100"/>
            </w:tcMar>
          </w:tcPr>
          <w:p>
            <w:r>
              <w:rPr>
                <w:b w:val="false"/>
                <w:bCs w:val="false"/>
                <w:color w:val="262626"/>
                <w:sz w:val="19"/>
                <w:szCs w:val="19"/>
              </w:rPr>
              <w:t xml:space="preserve">Network (prod)</w:t>
            </w:r>
          </w:p>
        </w:tc>
        <w:tc>
          <w:tcPr>
            <w:tcW w:type="dxa" w:w="3300"/>
            <w:tcMar>
              <w:top w:type="dxa" w:w="60"/>
              <w:left w:type="dxa" w:w="100"/>
              <w:bottom w:type="dxa" w:w="60"/>
              <w:right w:type="dxa" w:w="100"/>
            </w:tcMar>
          </w:tcPr>
          <w:p>
            <w:r>
              <w:rPr>
                <w:b w:val="false"/>
                <w:bCs w:val="false"/>
                <w:color w:val="262626"/>
                <w:sz w:val="19"/>
                <w:szCs w:val="19"/>
              </w:rPr>
              <w:t xml:space="preserve">VNet 10.40.0.0/22, private endpoints + private DNS</w:t>
            </w:r>
          </w:p>
        </w:tc>
        <w:tc>
          <w:tcPr>
            <w:tcW w:type="dxa" w:w="4100"/>
            <w:tcMar>
              <w:top w:type="dxa" w:w="60"/>
              <w:left w:type="dxa" w:w="100"/>
              <w:bottom w:type="dxa" w:w="60"/>
              <w:right w:type="dxa" w:w="100"/>
            </w:tcMar>
          </w:tcPr>
          <w:p>
            <w:r>
              <w:rPr>
                <w:b w:val="false"/>
                <w:bCs w:val="false"/>
                <w:color w:val="262626"/>
                <w:sz w:val="19"/>
                <w:szCs w:val="19"/>
              </w:rPr>
              <w:t xml:space="preserve">Private connectivity to Event Hubs, Key Vault, Storage; public network access disabled in prod.</w:t>
            </w:r>
          </w:p>
        </w:tc>
      </w:tr>
    </w:tbl>
    <w:p>
      <w:pPr>
        <w:pStyle w:val="Heading2"/>
        <w:spacing w:after="120" w:before="280"/>
      </w:pPr>
      <w:r>
        <w:t xml:space="preserve">2.3 Loose Coupling Model</w:t>
      </w:r>
    </w:p>
    <w:p>
      <w:pPr>
        <w:pStyle w:val="ListParagraph"/>
        <w:numPr>
          <w:ilvl w:val="0"/>
          <w:numId w:val="2"/>
        </w:numPr>
        <w:spacing w:after="60"/>
      </w:pPr>
      <w:r>
        <w:rPr>
          <w:b/>
          <w:bCs/>
        </w:rPr>
        <w:t xml:space="preserve">Contract coupling only. </w:t>
      </w:r>
      <w:r>
        <w:t xml:space="preserve">Producer and consumers share nothing but the versioned CDM envelope. No shared database, no synchronous calls between adapters, no knowledge of each other’s existence.</w:t>
      </w:r>
    </w:p>
    <w:p>
      <w:pPr>
        <w:pStyle w:val="ListParagraph"/>
        <w:numPr>
          <w:ilvl w:val="0"/>
          <w:numId w:val="2"/>
        </w:numPr>
        <w:spacing w:after="60"/>
      </w:pPr>
      <w:r>
        <w:rPr>
          <w:b/>
          <w:bCs/>
        </w:rPr>
        <w:t xml:space="preserve">Independent consumption. </w:t>
      </w:r>
      <w:r>
        <w:t xml:space="preserve">Each target owns a consumer group and its own checkpoints. D365 downtime does not affect DataHub landing and vice versa; each catches up at its own pace.</w:t>
      </w:r>
    </w:p>
    <w:p>
      <w:pPr>
        <w:pStyle w:val="ListParagraph"/>
        <w:numPr>
          <w:ilvl w:val="0"/>
          <w:numId w:val="2"/>
        </w:numPr>
        <w:spacing w:after="60"/>
      </w:pPr>
      <w:r>
        <w:rPr>
          <w:b/>
          <w:bCs/>
        </w:rPr>
        <w:t xml:space="preserve">Additive extensibility. </w:t>
      </w:r>
      <w:r>
        <w:t xml:space="preserve">A new consumer (e.g., a quality or labor system) is a new consumer group plus a new adapter — zero changes to the producer or existing consumers. The payload also carries an open extensions bag that consumers ignore unless relevant.</w:t>
      </w:r>
    </w:p>
    <w:p>
      <w:pPr>
        <w:pStyle w:val="ListParagraph"/>
        <w:numPr>
          <w:ilvl w:val="0"/>
          <w:numId w:val="2"/>
        </w:numPr>
        <w:spacing w:after="60"/>
      </w:pPr>
      <w:r>
        <w:rPr>
          <w:b/>
          <w:bCs/>
        </w:rPr>
        <w:t xml:space="preserve">Temporal decoupling. </w:t>
      </w:r>
      <w:r>
        <w:t xml:space="preserve">Seven days of Event Hub retention plus indefinite Capture archive means consumers can be offline, replayed, or rebuilt without producer participation.</w:t>
      </w:r>
    </w:p>
    <w:p>
      <w:pPr>
        <w:pStyle w:val="Heading2"/>
        <w:spacing w:after="120" w:before="280"/>
      </w:pPr>
      <w:r>
        <w:t xml:space="preserve">2.4 Ordering, Idempotency, and Delivery Semantics</w:t>
      </w:r>
    </w:p>
    <w:p>
      <w:pPr>
        <w:pStyle w:val="ListParagraph"/>
        <w:numPr>
          <w:ilvl w:val="0"/>
          <w:numId w:val="2"/>
        </w:numPr>
        <w:spacing w:after="60"/>
      </w:pPr>
      <w:r>
        <w:rPr>
          <w:b/>
          <w:bCs/>
        </w:rPr>
        <w:t xml:space="preserve">Ordering: </w:t>
      </w:r>
      <w:r>
        <w:t xml:space="preserve">partitionKey = warehouseId + itemId guarantees all events for a given item in a warehouse land on one partition and are consumed in order — the property that matters for inventory correctness.</w:t>
      </w:r>
    </w:p>
    <w:p>
      <w:pPr>
        <w:pStyle w:val="ListParagraph"/>
        <w:numPr>
          <w:ilvl w:val="0"/>
          <w:numId w:val="2"/>
        </w:numPr>
        <w:spacing w:after="60"/>
      </w:pPr>
      <w:r>
        <w:rPr>
          <w:b/>
          <w:bCs/>
        </w:rPr>
        <w:t xml:space="preserve">Idempotency: </w:t>
      </w:r>
      <w:r>
        <w:t xml:space="preserve">controlMessage.messageId is the idempotency key. The Modula adapter rejects duplicates at ingress (HTTP 409); consumers keep a short-window dedupe store so at-least-once delivery from Event Hubs becomes effectively-once processing.</w:t>
      </w:r>
    </w:p>
    <w:p>
      <w:pPr>
        <w:pStyle w:val="ListParagraph"/>
        <w:numPr>
          <w:ilvl w:val="0"/>
          <w:numId w:val="2"/>
        </w:numPr>
        <w:spacing w:after="60"/>
      </w:pPr>
      <w:r>
        <w:rPr>
          <w:b/>
          <w:bCs/>
        </w:rPr>
        <w:t xml:space="preserve">Compensation: </w:t>
      </w:r>
      <w:r>
        <w:t xml:space="preserve">operation = REVERSAL with causationId pointing at the original messageId lets Modula (or an operator) back out an earlier transaction; the D365 adapter posts a compensating journal.</w:t>
      </w:r>
    </w:p>
    <w:p>
      <w:r>
        <w:br w:type="page"/>
      </w:r>
    </w:p>
    <w:p>
      <w:pPr>
        <w:pStyle w:val="Heading1"/>
        <w:spacing w:after="160" w:before="360"/>
      </w:pPr>
      <w:r>
        <w:t xml:space="preserve">3. Common Data Model</w:t>
      </w:r>
    </w:p>
    <w:p>
      <w:pPr>
        <w:spacing w:after="120"/>
      </w:pPr>
      <w:r>
        <w:t xml:space="preserve">The CDM is a JSON Schema (draft 2020-12), registered in the Event Hubs schema group inventory-cdm with Backward compatibility. Source of truth: cdm/inventory-event-cdm.schema.json, id https://tffi.com/schemas/integration/inventory-event/v1.0.0.</w:t>
      </w:r>
    </w:p>
    <w:p>
      <w:pPr>
        <w:pStyle w:val="Heading2"/>
        <w:spacing w:after="120" w:before="280"/>
      </w:pPr>
      <w:r>
        <w:t xml:space="preserve">3.1 Control Message</w:t>
      </w:r>
    </w:p>
    <w:p>
      <w:pPr>
        <w:spacing w:after="120"/>
      </w:pPr>
      <w:r>
        <w:t xml:space="preserve">The control message defines what a consumer must do; consumers never route on payload contents.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550"/>
        <w:gridCol w:w="6250"/>
      </w:tblGrid>
      <w:tr>
        <w:trPr>
          <w:tblHeader/>
        </w:trPr>
        <w:tc>
          <w:tcPr>
            <w:tcW w:type="dxa" w:w="1700"/>
            <w:shd w:fill="1F4E79" w:val="clear"/>
            <w:tcMar>
              <w:top w:type="dxa" w:w="60"/>
              <w:left w:type="dxa" w:w="100"/>
              <w:bottom w:type="dxa" w:w="60"/>
              <w:right w:type="dxa" w:w="100"/>
            </w:tcMar>
          </w:tcPr>
          <w:p>
            <w:r>
              <w:rPr>
                <w:b/>
                <w:bCs/>
                <w:color w:val="FFFFFF"/>
                <w:sz w:val="19"/>
                <w:szCs w:val="19"/>
              </w:rPr>
              <w:t xml:space="preserve">Field</w:t>
            </w:r>
          </w:p>
        </w:tc>
        <w:tc>
          <w:tcPr>
            <w:tcW w:type="dxa" w:w="1100"/>
            <w:shd w:fill="1F4E79" w:val="clear"/>
            <w:tcMar>
              <w:top w:type="dxa" w:w="60"/>
              <w:left w:type="dxa" w:w="100"/>
              <w:bottom w:type="dxa" w:w="60"/>
              <w:right w:type="dxa" w:w="100"/>
            </w:tcMar>
          </w:tcPr>
          <w:p>
            <w:r>
              <w:rPr>
                <w:b/>
                <w:bCs/>
                <w:color w:val="FFFFFF"/>
                <w:sz w:val="19"/>
                <w:szCs w:val="19"/>
              </w:rPr>
              <w:t xml:space="preserve">Type</w:t>
            </w:r>
          </w:p>
        </w:tc>
        <w:tc>
          <w:tcPr>
            <w:tcW w:type="dxa" w:w="550"/>
            <w:shd w:fill="1F4E79" w:val="clear"/>
            <w:tcMar>
              <w:top w:type="dxa" w:w="60"/>
              <w:left w:type="dxa" w:w="100"/>
              <w:bottom w:type="dxa" w:w="60"/>
              <w:right w:type="dxa" w:w="100"/>
            </w:tcMar>
          </w:tcPr>
          <w:p>
            <w:r>
              <w:rPr>
                <w:b/>
                <w:bCs/>
                <w:color w:val="FFFFFF"/>
                <w:sz w:val="19"/>
                <w:szCs w:val="19"/>
              </w:rPr>
              <w:t xml:space="preserve">Req</w:t>
            </w:r>
          </w:p>
        </w:tc>
        <w:tc>
          <w:tcPr>
            <w:tcW w:type="dxa" w:w="6250"/>
            <w:shd w:fill="1F4E79" w:val="clear"/>
            <w:tcMar>
              <w:top w:type="dxa" w:w="60"/>
              <w:left w:type="dxa" w:w="100"/>
              <w:bottom w:type="dxa" w:w="60"/>
              <w:right w:type="dxa" w:w="100"/>
            </w:tcMar>
          </w:tcPr>
          <w:p>
            <w:r>
              <w:rPr>
                <w:b/>
                <w:bCs/>
                <w:color w:val="FFFFFF"/>
                <w:sz w:val="19"/>
                <w:szCs w:val="19"/>
              </w:rPr>
              <w:t xml:space="preserve">Purpose</w:t>
            </w:r>
          </w:p>
        </w:tc>
      </w:tr>
      <w:tr>
        <w:tc>
          <w:tcPr>
            <w:tcW w:type="dxa" w:w="1700"/>
            <w:tcMar>
              <w:top w:type="dxa" w:w="60"/>
              <w:left w:type="dxa" w:w="100"/>
              <w:bottom w:type="dxa" w:w="60"/>
              <w:right w:type="dxa" w:w="100"/>
            </w:tcMar>
          </w:tcPr>
          <w:p>
            <w:r>
              <w:rPr>
                <w:b w:val="false"/>
                <w:bCs w:val="false"/>
                <w:color w:val="262626"/>
                <w:sz w:val="19"/>
                <w:szCs w:val="19"/>
              </w:rPr>
              <w:t xml:space="preserve">messageId</w:t>
            </w:r>
          </w:p>
        </w:tc>
        <w:tc>
          <w:tcPr>
            <w:tcW w:type="dxa" w:w="1100"/>
            <w:tcMar>
              <w:top w:type="dxa" w:w="60"/>
              <w:left w:type="dxa" w:w="100"/>
              <w:bottom w:type="dxa" w:w="60"/>
              <w:right w:type="dxa" w:w="100"/>
            </w:tcMar>
          </w:tcPr>
          <w:p>
            <w:r>
              <w:rPr>
                <w:b w:val="false"/>
                <w:bCs w:val="false"/>
                <w:color w:val="262626"/>
                <w:sz w:val="19"/>
                <w:szCs w:val="19"/>
              </w:rPr>
              <w:t xml:space="preserve">uuid</w:t>
            </w:r>
          </w:p>
        </w:tc>
        <w:tc>
          <w:tcPr>
            <w:tcW w:type="dxa" w:w="550"/>
            <w:tcMar>
              <w:top w:type="dxa" w:w="60"/>
              <w:left w:type="dxa" w:w="100"/>
              <w:bottom w:type="dxa" w:w="60"/>
              <w:right w:type="dxa" w:w="100"/>
            </w:tcMar>
          </w:tcPr>
          <w:p>
            <w:r>
              <w:rPr>
                <w:b w:val="false"/>
                <w:bCs w:val="false"/>
                <w:color w:val="262626"/>
                <w:sz w:val="19"/>
                <w:szCs w:val="19"/>
              </w:rPr>
              <w:t xml:space="preserve">Y</w:t>
            </w:r>
          </w:p>
        </w:tc>
        <w:tc>
          <w:tcPr>
            <w:tcW w:type="dxa" w:w="6250"/>
            <w:tcMar>
              <w:top w:type="dxa" w:w="60"/>
              <w:left w:type="dxa" w:w="100"/>
              <w:bottom w:type="dxa" w:w="60"/>
              <w:right w:type="dxa" w:w="100"/>
            </w:tcMar>
          </w:tcPr>
          <w:p>
            <w:r>
              <w:rPr>
                <w:b w:val="false"/>
                <w:bCs w:val="false"/>
                <w:color w:val="262626"/>
                <w:sz w:val="19"/>
                <w:szCs w:val="19"/>
              </w:rPr>
              <w:t xml:space="preserve">Unique per message; idempotency key.</w:t>
            </w:r>
          </w:p>
        </w:tc>
      </w:tr>
      <w:tr>
        <w:tc>
          <w:tcPr>
            <w:tcW w:type="dxa" w:w="1700"/>
            <w:tcMar>
              <w:top w:type="dxa" w:w="60"/>
              <w:left w:type="dxa" w:w="100"/>
              <w:bottom w:type="dxa" w:w="60"/>
              <w:right w:type="dxa" w:w="100"/>
            </w:tcMar>
          </w:tcPr>
          <w:p>
            <w:r>
              <w:rPr>
                <w:b w:val="false"/>
                <w:bCs w:val="false"/>
                <w:color w:val="262626"/>
                <w:sz w:val="19"/>
                <w:szCs w:val="19"/>
              </w:rPr>
              <w:t xml:space="preserve">correlationId</w:t>
            </w:r>
          </w:p>
        </w:tc>
        <w:tc>
          <w:tcPr>
            <w:tcW w:type="dxa" w:w="1100"/>
            <w:tcMar>
              <w:top w:type="dxa" w:w="60"/>
              <w:left w:type="dxa" w:w="100"/>
              <w:bottom w:type="dxa" w:w="60"/>
              <w:right w:type="dxa" w:w="100"/>
            </w:tcMar>
          </w:tcPr>
          <w:p>
            <w:r>
              <w:rPr>
                <w:b w:val="false"/>
                <w:bCs w:val="false"/>
                <w:color w:val="262626"/>
                <w:sz w:val="19"/>
                <w:szCs w:val="19"/>
              </w:rPr>
              <w:t xml:space="preserve">uuid</w:t>
            </w:r>
          </w:p>
        </w:tc>
        <w:tc>
          <w:tcPr>
            <w:tcW w:type="dxa" w:w="550"/>
            <w:tcMar>
              <w:top w:type="dxa" w:w="60"/>
              <w:left w:type="dxa" w:w="100"/>
              <w:bottom w:type="dxa" w:w="60"/>
              <w:right w:type="dxa" w:w="100"/>
            </w:tcMar>
          </w:tcPr>
          <w:p>
            <w:r>
              <w:rPr>
                <w:b w:val="false"/>
                <w:bCs w:val="false"/>
                <w:color w:val="262626"/>
                <w:sz w:val="19"/>
                <w:szCs w:val="19"/>
              </w:rPr>
              <w:t xml:space="preserve">Y</w:t>
            </w:r>
          </w:p>
        </w:tc>
        <w:tc>
          <w:tcPr>
            <w:tcW w:type="dxa" w:w="6250"/>
            <w:tcMar>
              <w:top w:type="dxa" w:w="60"/>
              <w:left w:type="dxa" w:w="100"/>
              <w:bottom w:type="dxa" w:w="60"/>
              <w:right w:type="dxa" w:w="100"/>
            </w:tcMar>
          </w:tcPr>
          <w:p>
            <w:r>
              <w:rPr>
                <w:b w:val="false"/>
                <w:bCs w:val="false"/>
                <w:color w:val="262626"/>
                <w:sz w:val="19"/>
                <w:szCs w:val="19"/>
              </w:rPr>
              <w:t xml:space="preserve">End-to-end trace id across all hops and App Insights.</w:t>
            </w:r>
          </w:p>
        </w:tc>
      </w:tr>
      <w:tr>
        <w:tc>
          <w:tcPr>
            <w:tcW w:type="dxa" w:w="1700"/>
            <w:tcMar>
              <w:top w:type="dxa" w:w="60"/>
              <w:left w:type="dxa" w:w="100"/>
              <w:bottom w:type="dxa" w:w="60"/>
              <w:right w:type="dxa" w:w="100"/>
            </w:tcMar>
          </w:tcPr>
          <w:p>
            <w:r>
              <w:rPr>
                <w:b w:val="false"/>
                <w:bCs w:val="false"/>
                <w:color w:val="262626"/>
                <w:sz w:val="19"/>
                <w:szCs w:val="19"/>
              </w:rPr>
              <w:t xml:space="preserve">causationId</w:t>
            </w:r>
          </w:p>
        </w:tc>
        <w:tc>
          <w:tcPr>
            <w:tcW w:type="dxa" w:w="1100"/>
            <w:tcMar>
              <w:top w:type="dxa" w:w="60"/>
              <w:left w:type="dxa" w:w="100"/>
              <w:bottom w:type="dxa" w:w="60"/>
              <w:right w:type="dxa" w:w="100"/>
            </w:tcMar>
          </w:tcPr>
          <w:p>
            <w:r>
              <w:rPr>
                <w:b w:val="false"/>
                <w:bCs w:val="false"/>
                <w:color w:val="262626"/>
                <w:sz w:val="19"/>
                <w:szCs w:val="19"/>
              </w:rPr>
              <w:t xml:space="preserve">uuid</w:t>
            </w:r>
          </w:p>
        </w:tc>
        <w:tc>
          <w:tcPr>
            <w:tcW w:type="dxa" w:w="550"/>
            <w:tcMar>
              <w:top w:type="dxa" w:w="60"/>
              <w:left w:type="dxa" w:w="100"/>
              <w:bottom w:type="dxa" w:w="60"/>
              <w:right w:type="dxa" w:w="100"/>
            </w:tcMar>
          </w:tcPr>
          <w:p>
            <w:r>
              <w:rPr>
                <w:b w:val="false"/>
                <w:bCs w:val="false"/>
                <w:color w:val="262626"/>
                <w:sz w:val="19"/>
                <w:szCs w:val="19"/>
              </w:rPr>
              <w:t xml:space="preserve">N</w:t>
            </w:r>
          </w:p>
        </w:tc>
        <w:tc>
          <w:tcPr>
            <w:tcW w:type="dxa" w:w="6250"/>
            <w:tcMar>
              <w:top w:type="dxa" w:w="60"/>
              <w:left w:type="dxa" w:w="100"/>
              <w:bottom w:type="dxa" w:w="60"/>
              <w:right w:type="dxa" w:w="100"/>
            </w:tcMar>
          </w:tcPr>
          <w:p>
            <w:r>
              <w:rPr>
                <w:b w:val="false"/>
                <w:bCs w:val="false"/>
                <w:color w:val="262626"/>
                <w:sz w:val="19"/>
                <w:szCs w:val="19"/>
              </w:rPr>
              <w:t xml:space="preserve">messageId of the causing message (replay / REVERSAL chains).</w:t>
            </w:r>
          </w:p>
        </w:tc>
      </w:tr>
      <w:tr>
        <w:tc>
          <w:tcPr>
            <w:tcW w:type="dxa" w:w="1700"/>
            <w:tcMar>
              <w:top w:type="dxa" w:w="60"/>
              <w:left w:type="dxa" w:w="100"/>
              <w:bottom w:type="dxa" w:w="60"/>
              <w:right w:type="dxa" w:w="100"/>
            </w:tcMar>
          </w:tcPr>
          <w:p>
            <w:r>
              <w:rPr>
                <w:b w:val="false"/>
                <w:bCs w:val="false"/>
                <w:color w:val="262626"/>
                <w:sz w:val="19"/>
                <w:szCs w:val="19"/>
              </w:rPr>
              <w:t xml:space="preserve">eventType</w:t>
            </w:r>
          </w:p>
        </w:tc>
        <w:tc>
          <w:tcPr>
            <w:tcW w:type="dxa" w:w="1100"/>
            <w:tcMar>
              <w:top w:type="dxa" w:w="60"/>
              <w:left w:type="dxa" w:w="100"/>
              <w:bottom w:type="dxa" w:w="60"/>
              <w:right w:type="dxa" w:w="100"/>
            </w:tcMar>
          </w:tcPr>
          <w:p>
            <w:r>
              <w:rPr>
                <w:b w:val="false"/>
                <w:bCs w:val="false"/>
                <w:color w:val="262626"/>
                <w:sz w:val="19"/>
                <w:szCs w:val="19"/>
              </w:rPr>
              <w:t xml:space="preserve">enum</w:t>
            </w:r>
          </w:p>
        </w:tc>
        <w:tc>
          <w:tcPr>
            <w:tcW w:type="dxa" w:w="550"/>
            <w:tcMar>
              <w:top w:type="dxa" w:w="60"/>
              <w:left w:type="dxa" w:w="100"/>
              <w:bottom w:type="dxa" w:w="60"/>
              <w:right w:type="dxa" w:w="100"/>
            </w:tcMar>
          </w:tcPr>
          <w:p>
            <w:r>
              <w:rPr>
                <w:b w:val="false"/>
                <w:bCs w:val="false"/>
                <w:color w:val="262626"/>
                <w:sz w:val="19"/>
                <w:szCs w:val="19"/>
              </w:rPr>
              <w:t xml:space="preserve">Y</w:t>
            </w:r>
          </w:p>
        </w:tc>
        <w:tc>
          <w:tcPr>
            <w:tcW w:type="dxa" w:w="6250"/>
            <w:tcMar>
              <w:top w:type="dxa" w:w="60"/>
              <w:left w:type="dxa" w:w="100"/>
              <w:bottom w:type="dxa" w:w="60"/>
              <w:right w:type="dxa" w:w="100"/>
            </w:tcMar>
          </w:tcPr>
          <w:p>
            <w:r>
              <w:rPr>
                <w:b w:val="false"/>
                <w:bCs w:val="false"/>
                <w:color w:val="262626"/>
                <w:sz w:val="19"/>
                <w:szCs w:val="19"/>
              </w:rPr>
              <w:t xml:space="preserve">InventoryMovement, InventoryAdjustment, CycleCount, PutAway, Pick, StockOnHandSnapshot.</w:t>
            </w:r>
          </w:p>
        </w:tc>
      </w:tr>
      <w:tr>
        <w:tc>
          <w:tcPr>
            <w:tcW w:type="dxa" w:w="1700"/>
            <w:tcMar>
              <w:top w:type="dxa" w:w="60"/>
              <w:left w:type="dxa" w:w="100"/>
              <w:bottom w:type="dxa" w:w="60"/>
              <w:right w:type="dxa" w:w="100"/>
            </w:tcMar>
          </w:tcPr>
          <w:p>
            <w:r>
              <w:rPr>
                <w:b w:val="false"/>
                <w:bCs w:val="false"/>
                <w:color w:val="262626"/>
                <w:sz w:val="19"/>
                <w:szCs w:val="19"/>
              </w:rPr>
              <w:t xml:space="preserve">operation</w:t>
            </w:r>
          </w:p>
        </w:tc>
        <w:tc>
          <w:tcPr>
            <w:tcW w:type="dxa" w:w="1100"/>
            <w:tcMar>
              <w:top w:type="dxa" w:w="60"/>
              <w:left w:type="dxa" w:w="100"/>
              <w:bottom w:type="dxa" w:w="60"/>
              <w:right w:type="dxa" w:w="100"/>
            </w:tcMar>
          </w:tcPr>
          <w:p>
            <w:r>
              <w:rPr>
                <w:b w:val="false"/>
                <w:bCs w:val="false"/>
                <w:color w:val="262626"/>
                <w:sz w:val="19"/>
                <w:szCs w:val="19"/>
              </w:rPr>
              <w:t xml:space="preserve">enum</w:t>
            </w:r>
          </w:p>
        </w:tc>
        <w:tc>
          <w:tcPr>
            <w:tcW w:type="dxa" w:w="550"/>
            <w:tcMar>
              <w:top w:type="dxa" w:w="60"/>
              <w:left w:type="dxa" w:w="100"/>
              <w:bottom w:type="dxa" w:w="60"/>
              <w:right w:type="dxa" w:w="100"/>
            </w:tcMar>
          </w:tcPr>
          <w:p>
            <w:r>
              <w:rPr>
                <w:b w:val="false"/>
                <w:bCs w:val="false"/>
                <w:color w:val="262626"/>
                <w:sz w:val="19"/>
                <w:szCs w:val="19"/>
              </w:rPr>
              <w:t xml:space="preserve">Y</w:t>
            </w:r>
          </w:p>
        </w:tc>
        <w:tc>
          <w:tcPr>
            <w:tcW w:type="dxa" w:w="6250"/>
            <w:tcMar>
              <w:top w:type="dxa" w:w="60"/>
              <w:left w:type="dxa" w:w="100"/>
              <w:bottom w:type="dxa" w:w="60"/>
              <w:right w:type="dxa" w:w="100"/>
            </w:tcMar>
          </w:tcPr>
          <w:p>
            <w:r>
              <w:rPr>
                <w:b w:val="false"/>
                <w:bCs w:val="false"/>
                <w:color w:val="262626"/>
                <w:sz w:val="19"/>
                <w:szCs w:val="19"/>
              </w:rPr>
              <w:t xml:space="preserve">CREATE, UPDATE, DELETE, UPSERT, SNAPSHOT, REVERSAL — the action the consumer performs.</w:t>
            </w:r>
          </w:p>
        </w:tc>
      </w:tr>
      <w:tr>
        <w:tc>
          <w:tcPr>
            <w:tcW w:type="dxa" w:w="1700"/>
            <w:tcMar>
              <w:top w:type="dxa" w:w="60"/>
              <w:left w:type="dxa" w:w="100"/>
              <w:bottom w:type="dxa" w:w="60"/>
              <w:right w:type="dxa" w:w="100"/>
            </w:tcMar>
          </w:tcPr>
          <w:p>
            <w:r>
              <w:rPr>
                <w:b w:val="false"/>
                <w:bCs w:val="false"/>
                <w:color w:val="262626"/>
                <w:sz w:val="19"/>
                <w:szCs w:val="19"/>
              </w:rPr>
              <w:t xml:space="preserve">sourceSystem</w:t>
            </w:r>
          </w:p>
        </w:tc>
        <w:tc>
          <w:tcPr>
            <w:tcW w:type="dxa" w:w="1100"/>
            <w:tcMar>
              <w:top w:type="dxa" w:w="60"/>
              <w:left w:type="dxa" w:w="100"/>
              <w:bottom w:type="dxa" w:w="60"/>
              <w:right w:type="dxa" w:w="100"/>
            </w:tcMar>
          </w:tcPr>
          <w:p>
            <w:r>
              <w:rPr>
                <w:b w:val="false"/>
                <w:bCs w:val="false"/>
                <w:color w:val="262626"/>
                <w:sz w:val="19"/>
                <w:szCs w:val="19"/>
              </w:rPr>
              <w:t xml:space="preserve">enum</w:t>
            </w:r>
          </w:p>
        </w:tc>
        <w:tc>
          <w:tcPr>
            <w:tcW w:type="dxa" w:w="550"/>
            <w:tcMar>
              <w:top w:type="dxa" w:w="60"/>
              <w:left w:type="dxa" w:w="100"/>
              <w:bottom w:type="dxa" w:w="60"/>
              <w:right w:type="dxa" w:w="100"/>
            </w:tcMar>
          </w:tcPr>
          <w:p>
            <w:r>
              <w:rPr>
                <w:b w:val="false"/>
                <w:bCs w:val="false"/>
                <w:color w:val="262626"/>
                <w:sz w:val="19"/>
                <w:szCs w:val="19"/>
              </w:rPr>
              <w:t xml:space="preserve">Y</w:t>
            </w:r>
          </w:p>
        </w:tc>
        <w:tc>
          <w:tcPr>
            <w:tcW w:type="dxa" w:w="6250"/>
            <w:tcMar>
              <w:top w:type="dxa" w:w="60"/>
              <w:left w:type="dxa" w:w="100"/>
              <w:bottom w:type="dxa" w:w="60"/>
              <w:right w:type="dxa" w:w="100"/>
            </w:tcMar>
          </w:tcPr>
          <w:p>
            <w:r>
              <w:rPr>
                <w:b w:val="false"/>
                <w:bCs w:val="false"/>
                <w:color w:val="262626"/>
                <w:sz w:val="19"/>
                <w:szCs w:val="19"/>
              </w:rPr>
              <w:t xml:space="preserve">MODULA (system of record for the event).</w:t>
            </w:r>
          </w:p>
        </w:tc>
      </w:tr>
      <w:tr>
        <w:tc>
          <w:tcPr>
            <w:tcW w:type="dxa" w:w="1700"/>
            <w:tcMar>
              <w:top w:type="dxa" w:w="60"/>
              <w:left w:type="dxa" w:w="100"/>
              <w:bottom w:type="dxa" w:w="60"/>
              <w:right w:type="dxa" w:w="100"/>
            </w:tcMar>
          </w:tcPr>
          <w:p>
            <w:r>
              <w:rPr>
                <w:b w:val="false"/>
                <w:bCs w:val="false"/>
                <w:color w:val="262626"/>
                <w:sz w:val="19"/>
                <w:szCs w:val="19"/>
              </w:rPr>
              <w:t xml:space="preserve">targetSystems</w:t>
            </w:r>
          </w:p>
        </w:tc>
        <w:tc>
          <w:tcPr>
            <w:tcW w:type="dxa" w:w="1100"/>
            <w:tcMar>
              <w:top w:type="dxa" w:w="60"/>
              <w:left w:type="dxa" w:w="100"/>
              <w:bottom w:type="dxa" w:w="60"/>
              <w:right w:type="dxa" w:w="100"/>
            </w:tcMar>
          </w:tcPr>
          <w:p>
            <w:r>
              <w:rPr>
                <w:b w:val="false"/>
                <w:bCs w:val="false"/>
                <w:color w:val="262626"/>
                <w:sz w:val="19"/>
                <w:szCs w:val="19"/>
              </w:rPr>
              <w:t xml:space="preserve">array</w:t>
            </w:r>
          </w:p>
        </w:tc>
        <w:tc>
          <w:tcPr>
            <w:tcW w:type="dxa" w:w="550"/>
            <w:tcMar>
              <w:top w:type="dxa" w:w="60"/>
              <w:left w:type="dxa" w:w="100"/>
              <w:bottom w:type="dxa" w:w="60"/>
              <w:right w:type="dxa" w:w="100"/>
            </w:tcMar>
          </w:tcPr>
          <w:p>
            <w:r>
              <w:rPr>
                <w:b w:val="false"/>
                <w:bCs w:val="false"/>
                <w:color w:val="262626"/>
                <w:sz w:val="19"/>
                <w:szCs w:val="19"/>
              </w:rPr>
              <w:t xml:space="preserve">N</w:t>
            </w:r>
          </w:p>
        </w:tc>
        <w:tc>
          <w:tcPr>
            <w:tcW w:type="dxa" w:w="6250"/>
            <w:tcMar>
              <w:top w:type="dxa" w:w="60"/>
              <w:left w:type="dxa" w:w="100"/>
              <w:bottom w:type="dxa" w:w="60"/>
              <w:right w:type="dxa" w:w="100"/>
            </w:tcMar>
          </w:tcPr>
          <w:p>
            <w:r>
              <w:rPr>
                <w:b w:val="false"/>
                <w:bCs w:val="false"/>
                <w:color w:val="262626"/>
                <w:sz w:val="19"/>
                <w:szCs w:val="19"/>
              </w:rPr>
              <w:t xml:space="preserve">Routing hint: D365, DATAHUB, ALL (default ALL); consumers skip messages not addressed to them.</w:t>
            </w:r>
          </w:p>
        </w:tc>
      </w:tr>
      <w:tr>
        <w:tc>
          <w:tcPr>
            <w:tcW w:type="dxa" w:w="1700"/>
            <w:tcMar>
              <w:top w:type="dxa" w:w="60"/>
              <w:left w:type="dxa" w:w="100"/>
              <w:bottom w:type="dxa" w:w="60"/>
              <w:right w:type="dxa" w:w="100"/>
            </w:tcMar>
          </w:tcPr>
          <w:p>
            <w:r>
              <w:rPr>
                <w:b w:val="false"/>
                <w:bCs w:val="false"/>
                <w:color w:val="262626"/>
                <w:sz w:val="19"/>
                <w:szCs w:val="19"/>
              </w:rPr>
              <w:t xml:space="preserve">schemaVersion</w:t>
            </w:r>
          </w:p>
        </w:tc>
        <w:tc>
          <w:tcPr>
            <w:tcW w:type="dxa" w:w="1100"/>
            <w:tcMar>
              <w:top w:type="dxa" w:w="60"/>
              <w:left w:type="dxa" w:w="100"/>
              <w:bottom w:type="dxa" w:w="60"/>
              <w:right w:type="dxa" w:w="100"/>
            </w:tcMar>
          </w:tcPr>
          <w:p>
            <w:r>
              <w:rPr>
                <w:b w:val="false"/>
                <w:bCs w:val="false"/>
                <w:color w:val="262626"/>
                <w:sz w:val="19"/>
                <w:szCs w:val="19"/>
              </w:rPr>
              <w:t xml:space="preserve">semver</w:t>
            </w:r>
          </w:p>
        </w:tc>
        <w:tc>
          <w:tcPr>
            <w:tcW w:type="dxa" w:w="550"/>
            <w:tcMar>
              <w:top w:type="dxa" w:w="60"/>
              <w:left w:type="dxa" w:w="100"/>
              <w:bottom w:type="dxa" w:w="60"/>
              <w:right w:type="dxa" w:w="100"/>
            </w:tcMar>
          </w:tcPr>
          <w:p>
            <w:r>
              <w:rPr>
                <w:b w:val="false"/>
                <w:bCs w:val="false"/>
                <w:color w:val="262626"/>
                <w:sz w:val="19"/>
                <w:szCs w:val="19"/>
              </w:rPr>
              <w:t xml:space="preserve">Y</w:t>
            </w:r>
          </w:p>
        </w:tc>
        <w:tc>
          <w:tcPr>
            <w:tcW w:type="dxa" w:w="6250"/>
            <w:tcMar>
              <w:top w:type="dxa" w:w="60"/>
              <w:left w:type="dxa" w:w="100"/>
              <w:bottom w:type="dxa" w:w="60"/>
              <w:right w:type="dxa" w:w="100"/>
            </w:tcMar>
          </w:tcPr>
          <w:p>
            <w:r>
              <w:rPr>
                <w:b w:val="false"/>
                <w:bCs w:val="false"/>
                <w:color w:val="262626"/>
                <w:sz w:val="19"/>
                <w:szCs w:val="19"/>
              </w:rPr>
              <w:t xml:space="preserve">CDM version of this message; enforced by schema registry.</w:t>
            </w:r>
          </w:p>
        </w:tc>
      </w:tr>
      <w:tr>
        <w:tc>
          <w:tcPr>
            <w:tcW w:type="dxa" w:w="1700"/>
            <w:tcMar>
              <w:top w:type="dxa" w:w="60"/>
              <w:left w:type="dxa" w:w="100"/>
              <w:bottom w:type="dxa" w:w="60"/>
              <w:right w:type="dxa" w:w="100"/>
            </w:tcMar>
          </w:tcPr>
          <w:p>
            <w:r>
              <w:rPr>
                <w:b w:val="false"/>
                <w:bCs w:val="false"/>
                <w:color w:val="262626"/>
                <w:sz w:val="19"/>
                <w:szCs w:val="19"/>
              </w:rPr>
              <w:t xml:space="preserve">eventTimestamp</w:t>
            </w:r>
          </w:p>
        </w:tc>
        <w:tc>
          <w:tcPr>
            <w:tcW w:type="dxa" w:w="1100"/>
            <w:tcMar>
              <w:top w:type="dxa" w:w="60"/>
              <w:left w:type="dxa" w:w="100"/>
              <w:bottom w:type="dxa" w:w="60"/>
              <w:right w:type="dxa" w:w="100"/>
            </w:tcMar>
          </w:tcPr>
          <w:p>
            <w:r>
              <w:rPr>
                <w:b w:val="false"/>
                <w:bCs w:val="false"/>
                <w:color w:val="262626"/>
                <w:sz w:val="19"/>
                <w:szCs w:val="19"/>
              </w:rPr>
              <w:t xml:space="preserve">date-time</w:t>
            </w:r>
          </w:p>
        </w:tc>
        <w:tc>
          <w:tcPr>
            <w:tcW w:type="dxa" w:w="550"/>
            <w:tcMar>
              <w:top w:type="dxa" w:w="60"/>
              <w:left w:type="dxa" w:w="100"/>
              <w:bottom w:type="dxa" w:w="60"/>
              <w:right w:type="dxa" w:w="100"/>
            </w:tcMar>
          </w:tcPr>
          <w:p>
            <w:r>
              <w:rPr>
                <w:b w:val="false"/>
                <w:bCs w:val="false"/>
                <w:color w:val="262626"/>
                <w:sz w:val="19"/>
                <w:szCs w:val="19"/>
              </w:rPr>
              <w:t xml:space="preserve">Y</w:t>
            </w:r>
          </w:p>
        </w:tc>
        <w:tc>
          <w:tcPr>
            <w:tcW w:type="dxa" w:w="6250"/>
            <w:tcMar>
              <w:top w:type="dxa" w:w="60"/>
              <w:left w:type="dxa" w:w="100"/>
              <w:bottom w:type="dxa" w:w="60"/>
              <w:right w:type="dxa" w:w="100"/>
            </w:tcMar>
          </w:tcPr>
          <w:p>
            <w:r>
              <w:rPr>
                <w:b w:val="false"/>
                <w:bCs w:val="false"/>
                <w:color w:val="262626"/>
                <w:sz w:val="19"/>
                <w:szCs w:val="19"/>
              </w:rPr>
              <w:t xml:space="preserve">When the event occurred in Modula (UTC).</w:t>
            </w:r>
          </w:p>
        </w:tc>
      </w:tr>
      <w:tr>
        <w:tc>
          <w:tcPr>
            <w:tcW w:type="dxa" w:w="1700"/>
            <w:tcMar>
              <w:top w:type="dxa" w:w="60"/>
              <w:left w:type="dxa" w:w="100"/>
              <w:bottom w:type="dxa" w:w="60"/>
              <w:right w:type="dxa" w:w="100"/>
            </w:tcMar>
          </w:tcPr>
          <w:p>
            <w:r>
              <w:rPr>
                <w:b w:val="false"/>
                <w:bCs w:val="false"/>
                <w:color w:val="262626"/>
                <w:sz w:val="19"/>
                <w:szCs w:val="19"/>
              </w:rPr>
              <w:t xml:space="preserve">publishTimestamp</w:t>
            </w:r>
          </w:p>
        </w:tc>
        <w:tc>
          <w:tcPr>
            <w:tcW w:type="dxa" w:w="1100"/>
            <w:tcMar>
              <w:top w:type="dxa" w:w="60"/>
              <w:left w:type="dxa" w:w="100"/>
              <w:bottom w:type="dxa" w:w="60"/>
              <w:right w:type="dxa" w:w="100"/>
            </w:tcMar>
          </w:tcPr>
          <w:p>
            <w:r>
              <w:rPr>
                <w:b w:val="false"/>
                <w:bCs w:val="false"/>
                <w:color w:val="262626"/>
                <w:sz w:val="19"/>
                <w:szCs w:val="19"/>
              </w:rPr>
              <w:t xml:space="preserve">date-time</w:t>
            </w:r>
          </w:p>
        </w:tc>
        <w:tc>
          <w:tcPr>
            <w:tcW w:type="dxa" w:w="550"/>
            <w:tcMar>
              <w:top w:type="dxa" w:w="60"/>
              <w:left w:type="dxa" w:w="100"/>
              <w:bottom w:type="dxa" w:w="60"/>
              <w:right w:type="dxa" w:w="100"/>
            </w:tcMar>
          </w:tcPr>
          <w:p>
            <w:r>
              <w:rPr>
                <w:b w:val="false"/>
                <w:bCs w:val="false"/>
                <w:color w:val="262626"/>
                <w:sz w:val="19"/>
                <w:szCs w:val="19"/>
              </w:rPr>
              <w:t xml:space="preserve">N</w:t>
            </w:r>
          </w:p>
        </w:tc>
        <w:tc>
          <w:tcPr>
            <w:tcW w:type="dxa" w:w="6250"/>
            <w:tcMar>
              <w:top w:type="dxa" w:w="60"/>
              <w:left w:type="dxa" w:w="100"/>
              <w:bottom w:type="dxa" w:w="60"/>
              <w:right w:type="dxa" w:w="100"/>
            </w:tcMar>
          </w:tcPr>
          <w:p>
            <w:r>
              <w:rPr>
                <w:b w:val="false"/>
                <w:bCs w:val="false"/>
                <w:color w:val="262626"/>
                <w:sz w:val="19"/>
                <w:szCs w:val="19"/>
              </w:rPr>
              <w:t xml:space="preserve">Set by the inbound adapter at publish.</w:t>
            </w:r>
          </w:p>
        </w:tc>
      </w:tr>
      <w:tr>
        <w:tc>
          <w:tcPr>
            <w:tcW w:type="dxa" w:w="1700"/>
            <w:tcMar>
              <w:top w:type="dxa" w:w="60"/>
              <w:left w:type="dxa" w:w="100"/>
              <w:bottom w:type="dxa" w:w="60"/>
              <w:right w:type="dxa" w:w="100"/>
            </w:tcMar>
          </w:tcPr>
          <w:p>
            <w:r>
              <w:rPr>
                <w:b w:val="false"/>
                <w:bCs w:val="false"/>
                <w:color w:val="262626"/>
                <w:sz w:val="19"/>
                <w:szCs w:val="19"/>
              </w:rPr>
              <w:t xml:space="preserve">priority</w:t>
            </w:r>
          </w:p>
        </w:tc>
        <w:tc>
          <w:tcPr>
            <w:tcW w:type="dxa" w:w="1100"/>
            <w:tcMar>
              <w:top w:type="dxa" w:w="60"/>
              <w:left w:type="dxa" w:w="100"/>
              <w:bottom w:type="dxa" w:w="60"/>
              <w:right w:type="dxa" w:w="100"/>
            </w:tcMar>
          </w:tcPr>
          <w:p>
            <w:r>
              <w:rPr>
                <w:b w:val="false"/>
                <w:bCs w:val="false"/>
                <w:color w:val="262626"/>
                <w:sz w:val="19"/>
                <w:szCs w:val="19"/>
              </w:rPr>
              <w:t xml:space="preserve">enum</w:t>
            </w:r>
          </w:p>
        </w:tc>
        <w:tc>
          <w:tcPr>
            <w:tcW w:type="dxa" w:w="550"/>
            <w:tcMar>
              <w:top w:type="dxa" w:w="60"/>
              <w:left w:type="dxa" w:w="100"/>
              <w:bottom w:type="dxa" w:w="60"/>
              <w:right w:type="dxa" w:w="100"/>
            </w:tcMar>
          </w:tcPr>
          <w:p>
            <w:r>
              <w:rPr>
                <w:b w:val="false"/>
                <w:bCs w:val="false"/>
                <w:color w:val="262626"/>
                <w:sz w:val="19"/>
                <w:szCs w:val="19"/>
              </w:rPr>
              <w:t xml:space="preserve">N</w:t>
            </w:r>
          </w:p>
        </w:tc>
        <w:tc>
          <w:tcPr>
            <w:tcW w:type="dxa" w:w="6250"/>
            <w:tcMar>
              <w:top w:type="dxa" w:w="60"/>
              <w:left w:type="dxa" w:w="100"/>
              <w:bottom w:type="dxa" w:w="60"/>
              <w:right w:type="dxa" w:w="100"/>
            </w:tcMar>
          </w:tcPr>
          <w:p>
            <w:r>
              <w:rPr>
                <w:b w:val="false"/>
                <w:bCs w:val="false"/>
                <w:color w:val="262626"/>
                <w:sz w:val="19"/>
                <w:szCs w:val="19"/>
              </w:rPr>
              <w:t xml:space="preserve">HIGH / NORMAL / LOW processing hint.</w:t>
            </w:r>
          </w:p>
        </w:tc>
      </w:tr>
      <w:tr>
        <w:tc>
          <w:tcPr>
            <w:tcW w:type="dxa" w:w="1700"/>
            <w:tcMar>
              <w:top w:type="dxa" w:w="60"/>
              <w:left w:type="dxa" w:w="100"/>
              <w:bottom w:type="dxa" w:w="60"/>
              <w:right w:type="dxa" w:w="100"/>
            </w:tcMar>
          </w:tcPr>
          <w:p>
            <w:r>
              <w:rPr>
                <w:b w:val="false"/>
                <w:bCs w:val="false"/>
                <w:color w:val="262626"/>
                <w:sz w:val="19"/>
                <w:szCs w:val="19"/>
              </w:rPr>
              <w:t xml:space="preserve">retryCount</w:t>
            </w:r>
          </w:p>
        </w:tc>
        <w:tc>
          <w:tcPr>
            <w:tcW w:type="dxa" w:w="1100"/>
            <w:tcMar>
              <w:top w:type="dxa" w:w="60"/>
              <w:left w:type="dxa" w:w="100"/>
              <w:bottom w:type="dxa" w:w="60"/>
              <w:right w:type="dxa" w:w="100"/>
            </w:tcMar>
          </w:tcPr>
          <w:p>
            <w:r>
              <w:rPr>
                <w:b w:val="false"/>
                <w:bCs w:val="false"/>
                <w:color w:val="262626"/>
                <w:sz w:val="19"/>
                <w:szCs w:val="19"/>
              </w:rPr>
              <w:t xml:space="preserve">int</w:t>
            </w:r>
          </w:p>
        </w:tc>
        <w:tc>
          <w:tcPr>
            <w:tcW w:type="dxa" w:w="550"/>
            <w:tcMar>
              <w:top w:type="dxa" w:w="60"/>
              <w:left w:type="dxa" w:w="100"/>
              <w:bottom w:type="dxa" w:w="60"/>
              <w:right w:type="dxa" w:w="100"/>
            </w:tcMar>
          </w:tcPr>
          <w:p>
            <w:r>
              <w:rPr>
                <w:b w:val="false"/>
                <w:bCs w:val="false"/>
                <w:color w:val="262626"/>
                <w:sz w:val="19"/>
                <w:szCs w:val="19"/>
              </w:rPr>
              <w:t xml:space="preserve">N</w:t>
            </w:r>
          </w:p>
        </w:tc>
        <w:tc>
          <w:tcPr>
            <w:tcW w:type="dxa" w:w="6250"/>
            <w:tcMar>
              <w:top w:type="dxa" w:w="60"/>
              <w:left w:type="dxa" w:w="100"/>
              <w:bottom w:type="dxa" w:w="60"/>
              <w:right w:type="dxa" w:w="100"/>
            </w:tcMar>
          </w:tcPr>
          <w:p>
            <w:r>
              <w:rPr>
                <w:b w:val="false"/>
                <w:bCs w:val="false"/>
                <w:color w:val="262626"/>
                <w:sz w:val="19"/>
                <w:szCs w:val="19"/>
              </w:rPr>
              <w:t xml:space="preserve">Incremented by consumers across retry attempts.</w:t>
            </w:r>
          </w:p>
        </w:tc>
      </w:tr>
      <w:tr>
        <w:tc>
          <w:tcPr>
            <w:tcW w:type="dxa" w:w="1700"/>
            <w:tcMar>
              <w:top w:type="dxa" w:w="60"/>
              <w:left w:type="dxa" w:w="100"/>
              <w:bottom w:type="dxa" w:w="60"/>
              <w:right w:type="dxa" w:w="100"/>
            </w:tcMar>
          </w:tcPr>
          <w:p>
            <w:r>
              <w:rPr>
                <w:b w:val="false"/>
                <w:bCs w:val="false"/>
                <w:color w:val="262626"/>
                <w:sz w:val="19"/>
                <w:szCs w:val="19"/>
              </w:rPr>
              <w:t xml:space="preserve">partitionKey</w:t>
            </w:r>
          </w:p>
        </w:tc>
        <w:tc>
          <w:tcPr>
            <w:tcW w:type="dxa" w:w="1100"/>
            <w:tcMar>
              <w:top w:type="dxa" w:w="60"/>
              <w:left w:type="dxa" w:w="100"/>
              <w:bottom w:type="dxa" w:w="60"/>
              <w:right w:type="dxa" w:w="100"/>
            </w:tcMar>
          </w:tcPr>
          <w:p>
            <w:r>
              <w:rPr>
                <w:b w:val="false"/>
                <w:bCs w:val="false"/>
                <w:color w:val="262626"/>
                <w:sz w:val="19"/>
                <w:szCs w:val="19"/>
              </w:rPr>
              <w:t xml:space="preserve">string</w:t>
            </w:r>
          </w:p>
        </w:tc>
        <w:tc>
          <w:tcPr>
            <w:tcW w:type="dxa" w:w="550"/>
            <w:tcMar>
              <w:top w:type="dxa" w:w="60"/>
              <w:left w:type="dxa" w:w="100"/>
              <w:bottom w:type="dxa" w:w="60"/>
              <w:right w:type="dxa" w:w="100"/>
            </w:tcMar>
          </w:tcPr>
          <w:p>
            <w:r>
              <w:rPr>
                <w:b w:val="false"/>
                <w:bCs w:val="false"/>
                <w:color w:val="262626"/>
                <w:sz w:val="19"/>
                <w:szCs w:val="19"/>
              </w:rPr>
              <w:t xml:space="preserve">N</w:t>
            </w:r>
          </w:p>
        </w:tc>
        <w:tc>
          <w:tcPr>
            <w:tcW w:type="dxa" w:w="6250"/>
            <w:tcMar>
              <w:top w:type="dxa" w:w="60"/>
              <w:left w:type="dxa" w:w="100"/>
              <w:bottom w:type="dxa" w:w="60"/>
              <w:right w:type="dxa" w:w="100"/>
            </w:tcMar>
          </w:tcPr>
          <w:p>
            <w:r>
              <w:rPr>
                <w:b w:val="false"/>
                <w:bCs w:val="false"/>
                <w:color w:val="262626"/>
                <w:sz w:val="19"/>
                <w:szCs w:val="19"/>
              </w:rPr>
              <w:t xml:space="preserve">warehouseId+itemId; per-item ordering.</w:t>
            </w:r>
          </w:p>
        </w:tc>
      </w:tr>
      <w:tr>
        <w:tc>
          <w:tcPr>
            <w:tcW w:type="dxa" w:w="1700"/>
            <w:tcMar>
              <w:top w:type="dxa" w:w="60"/>
              <w:left w:type="dxa" w:w="100"/>
              <w:bottom w:type="dxa" w:w="60"/>
              <w:right w:type="dxa" w:w="100"/>
            </w:tcMar>
          </w:tcPr>
          <w:p>
            <w:r>
              <w:rPr>
                <w:b w:val="false"/>
                <w:bCs w:val="false"/>
                <w:color w:val="262626"/>
                <w:sz w:val="19"/>
                <w:szCs w:val="19"/>
              </w:rPr>
              <w:t xml:space="preserve">tenant</w:t>
            </w:r>
          </w:p>
        </w:tc>
        <w:tc>
          <w:tcPr>
            <w:tcW w:type="dxa" w:w="1100"/>
            <w:tcMar>
              <w:top w:type="dxa" w:w="60"/>
              <w:left w:type="dxa" w:w="100"/>
              <w:bottom w:type="dxa" w:w="60"/>
              <w:right w:type="dxa" w:w="100"/>
            </w:tcMar>
          </w:tcPr>
          <w:p>
            <w:r>
              <w:rPr>
                <w:b w:val="false"/>
                <w:bCs w:val="false"/>
                <w:color w:val="262626"/>
                <w:sz w:val="19"/>
                <w:szCs w:val="19"/>
              </w:rPr>
              <w:t xml:space="preserve">string</w:t>
            </w:r>
          </w:p>
        </w:tc>
        <w:tc>
          <w:tcPr>
            <w:tcW w:type="dxa" w:w="550"/>
            <w:tcMar>
              <w:top w:type="dxa" w:w="60"/>
              <w:left w:type="dxa" w:w="100"/>
              <w:bottom w:type="dxa" w:w="60"/>
              <w:right w:type="dxa" w:w="100"/>
            </w:tcMar>
          </w:tcPr>
          <w:p>
            <w:r>
              <w:rPr>
                <w:b w:val="false"/>
                <w:bCs w:val="false"/>
                <w:color w:val="262626"/>
                <w:sz w:val="19"/>
                <w:szCs w:val="19"/>
              </w:rPr>
              <w:t xml:space="preserve">N</w:t>
            </w:r>
          </w:p>
        </w:tc>
        <w:tc>
          <w:tcPr>
            <w:tcW w:type="dxa" w:w="6250"/>
            <w:tcMar>
              <w:top w:type="dxa" w:w="60"/>
              <w:left w:type="dxa" w:w="100"/>
              <w:bottom w:type="dxa" w:w="60"/>
              <w:right w:type="dxa" w:w="100"/>
            </w:tcMar>
          </w:tcPr>
          <w:p>
            <w:r>
              <w:rPr>
                <w:b w:val="false"/>
                <w:bCs w:val="false"/>
                <w:color w:val="262626"/>
                <w:sz w:val="19"/>
                <w:szCs w:val="19"/>
              </w:rPr>
              <w:t xml:space="preserve">D365 legal entity / company code (e.g., TFFI).</w:t>
            </w:r>
          </w:p>
        </w:tc>
      </w:tr>
    </w:tbl>
    <w:p>
      <w:pPr>
        <w:pStyle w:val="Heading2"/>
        <w:spacing w:after="120" w:before="280"/>
      </w:pPr>
      <w:r>
        <w:t xml:space="preserve">3.2 Business Payload</w:t>
      </w:r>
    </w:p>
    <w:p>
      <w:pPr>
        <w:spacing w:after="120"/>
      </w:pPr>
      <w:r>
        <w:t xml:space="preserve">The payload is warehouse-transaction shaped: a header (warehouse, VLM unit, reference document, operator) plus one or more lines.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900"/>
      </w:tblGrid>
      <w:tr>
        <w:trPr>
          <w:tblHeader/>
        </w:trPr>
        <w:tc>
          <w:tcPr>
            <w:tcW w:type="dxa" w:w="2100"/>
            <w:shd w:fill="1F4E79" w:val="clear"/>
            <w:tcMar>
              <w:top w:type="dxa" w:w="60"/>
              <w:left w:type="dxa" w:w="100"/>
              <w:bottom w:type="dxa" w:w="60"/>
              <w:right w:type="dxa" w:w="100"/>
            </w:tcMar>
          </w:tcPr>
          <w:p>
            <w:r>
              <w:rPr>
                <w:b/>
                <w:bCs/>
                <w:color w:val="FFFFFF"/>
                <w:sz w:val="19"/>
                <w:szCs w:val="19"/>
              </w:rPr>
              <w:t xml:space="preserve">Field</w:t>
            </w:r>
          </w:p>
        </w:tc>
        <w:tc>
          <w:tcPr>
            <w:tcW w:type="dxa" w:w="1600"/>
            <w:shd w:fill="1F4E79" w:val="clear"/>
            <w:tcMar>
              <w:top w:type="dxa" w:w="60"/>
              <w:left w:type="dxa" w:w="100"/>
              <w:bottom w:type="dxa" w:w="60"/>
              <w:right w:type="dxa" w:w="100"/>
            </w:tcMar>
          </w:tcPr>
          <w:p>
            <w:r>
              <w:rPr>
                <w:b/>
                <w:bCs/>
                <w:color w:val="FFFFFF"/>
                <w:sz w:val="19"/>
                <w:szCs w:val="19"/>
              </w:rPr>
              <w:t xml:space="preserve">Type</w:t>
            </w:r>
          </w:p>
        </w:tc>
        <w:tc>
          <w:tcPr>
            <w:tcW w:type="dxa" w:w="5900"/>
            <w:shd w:fill="1F4E79" w:val="clear"/>
            <w:tcMar>
              <w:top w:type="dxa" w:w="60"/>
              <w:left w:type="dxa" w:w="100"/>
              <w:bottom w:type="dxa" w:w="60"/>
              <w:right w:type="dxa" w:w="100"/>
            </w:tcMar>
          </w:tcPr>
          <w:p>
            <w:r>
              <w:rPr>
                <w:b/>
                <w:bCs/>
                <w:color w:val="FFFFFF"/>
                <w:sz w:val="19"/>
                <w:szCs w:val="19"/>
              </w:rPr>
              <w:t xml:space="preserve">Notes</w:t>
            </w:r>
          </w:p>
        </w:tc>
      </w:tr>
      <w:tr>
        <w:tc>
          <w:tcPr>
            <w:tcW w:type="dxa" w:w="2100"/>
            <w:tcMar>
              <w:top w:type="dxa" w:w="60"/>
              <w:left w:type="dxa" w:w="100"/>
              <w:bottom w:type="dxa" w:w="60"/>
              <w:right w:type="dxa" w:w="100"/>
            </w:tcMar>
          </w:tcPr>
          <w:p>
            <w:r>
              <w:rPr>
                <w:b w:val="false"/>
                <w:bCs w:val="false"/>
                <w:color w:val="262626"/>
                <w:sz w:val="19"/>
                <w:szCs w:val="19"/>
              </w:rPr>
              <w:t xml:space="preserve">warehouseId</w:t>
            </w:r>
          </w:p>
        </w:tc>
        <w:tc>
          <w:tcPr>
            <w:tcW w:type="dxa" w:w="1600"/>
            <w:tcMar>
              <w:top w:type="dxa" w:w="60"/>
              <w:left w:type="dxa" w:w="100"/>
              <w:bottom w:type="dxa" w:w="60"/>
              <w:right w:type="dxa" w:w="100"/>
            </w:tcMar>
          </w:tcPr>
          <w:p>
            <w:r>
              <w:rPr>
                <w:b w:val="false"/>
                <w:bCs w:val="false"/>
                <w:color w:val="262626"/>
                <w:sz w:val="19"/>
                <w:szCs w:val="19"/>
              </w:rPr>
              <w:t xml:space="preserve">string (req)</w:t>
            </w:r>
          </w:p>
        </w:tc>
        <w:tc>
          <w:tcPr>
            <w:tcW w:type="dxa" w:w="5900"/>
            <w:tcMar>
              <w:top w:type="dxa" w:w="60"/>
              <w:left w:type="dxa" w:w="100"/>
              <w:bottom w:type="dxa" w:w="60"/>
              <w:right w:type="dxa" w:w="100"/>
            </w:tcMar>
          </w:tcPr>
          <w:p>
            <w:r>
              <w:rPr>
                <w:b w:val="false"/>
                <w:bCs w:val="false"/>
                <w:color w:val="262626"/>
                <w:sz w:val="19"/>
                <w:szCs w:val="19"/>
              </w:rPr>
              <w:t xml:space="preserve">Modula warehouse, mapped to a D365 warehouse.</w:t>
            </w:r>
          </w:p>
        </w:tc>
      </w:tr>
      <w:tr>
        <w:tc>
          <w:tcPr>
            <w:tcW w:type="dxa" w:w="2100"/>
            <w:tcMar>
              <w:top w:type="dxa" w:w="60"/>
              <w:left w:type="dxa" w:w="100"/>
              <w:bottom w:type="dxa" w:w="60"/>
              <w:right w:type="dxa" w:w="100"/>
            </w:tcMar>
          </w:tcPr>
          <w:p>
            <w:r>
              <w:rPr>
                <w:b w:val="false"/>
                <w:bCs w:val="false"/>
                <w:color w:val="262626"/>
                <w:sz w:val="19"/>
                <w:szCs w:val="19"/>
              </w:rPr>
              <w:t xml:space="preserve">vlmUnitId</w:t>
            </w:r>
          </w:p>
        </w:tc>
        <w:tc>
          <w:tcPr>
            <w:tcW w:type="dxa" w:w="1600"/>
            <w:tcMar>
              <w:top w:type="dxa" w:w="60"/>
              <w:left w:type="dxa" w:w="100"/>
              <w:bottom w:type="dxa" w:w="60"/>
              <w:right w:type="dxa" w:w="100"/>
            </w:tcMar>
          </w:tcPr>
          <w:p>
            <w:r>
              <w:rPr>
                <w:b w:val="false"/>
                <w:bCs w:val="false"/>
                <w:color w:val="262626"/>
                <w:sz w:val="19"/>
                <w:szCs w:val="19"/>
              </w:rPr>
              <w:t xml:space="preserve">string</w:t>
            </w:r>
          </w:p>
        </w:tc>
        <w:tc>
          <w:tcPr>
            <w:tcW w:type="dxa" w:w="5900"/>
            <w:tcMar>
              <w:top w:type="dxa" w:w="60"/>
              <w:left w:type="dxa" w:w="100"/>
              <w:bottom w:type="dxa" w:w="60"/>
              <w:right w:type="dxa" w:w="100"/>
            </w:tcMar>
          </w:tcPr>
          <w:p>
            <w:r>
              <w:rPr>
                <w:b w:val="false"/>
                <w:bCs w:val="false"/>
                <w:color w:val="262626"/>
                <w:sz w:val="19"/>
                <w:szCs w:val="19"/>
              </w:rPr>
              <w:t xml:space="preserve">Modula VLM machine identifier.</w:t>
            </w:r>
          </w:p>
        </w:tc>
      </w:tr>
      <w:tr>
        <w:tc>
          <w:tcPr>
            <w:tcW w:type="dxa" w:w="2100"/>
            <w:tcMar>
              <w:top w:type="dxa" w:w="60"/>
              <w:left w:type="dxa" w:w="100"/>
              <w:bottom w:type="dxa" w:w="60"/>
              <w:right w:type="dxa" w:w="100"/>
            </w:tcMar>
          </w:tcPr>
          <w:p>
            <w:r>
              <w:rPr>
                <w:b w:val="false"/>
                <w:bCs w:val="false"/>
                <w:color w:val="262626"/>
                <w:sz w:val="19"/>
                <w:szCs w:val="19"/>
              </w:rPr>
              <w:t xml:space="preserve">referenceDocument</w:t>
            </w:r>
          </w:p>
        </w:tc>
        <w:tc>
          <w:tcPr>
            <w:tcW w:type="dxa" w:w="1600"/>
            <w:tcMar>
              <w:top w:type="dxa" w:w="60"/>
              <w:left w:type="dxa" w:w="100"/>
              <w:bottom w:type="dxa" w:w="60"/>
              <w:right w:type="dxa" w:w="100"/>
            </w:tcMar>
          </w:tcPr>
          <w:p>
            <w:r>
              <w:rPr>
                <w:b w:val="false"/>
                <w:bCs w:val="false"/>
                <w:color w:val="262626"/>
                <w:sz w:val="19"/>
                <w:szCs w:val="19"/>
              </w:rPr>
              <w:t xml:space="preserve">object</w:t>
            </w:r>
          </w:p>
        </w:tc>
        <w:tc>
          <w:tcPr>
            <w:tcW w:type="dxa" w:w="5900"/>
            <w:tcMar>
              <w:top w:type="dxa" w:w="60"/>
              <w:left w:type="dxa" w:w="100"/>
              <w:bottom w:type="dxa" w:w="60"/>
              <w:right w:type="dxa" w:w="100"/>
            </w:tcMar>
          </w:tcPr>
          <w:p>
            <w:r>
              <w:rPr>
                <w:b w:val="false"/>
                <w:bCs w:val="false"/>
                <w:color w:val="262626"/>
                <w:sz w:val="19"/>
                <w:szCs w:val="19"/>
              </w:rPr>
              <w:t xml:space="preserve">documentType (TransferOrder, SalesOrder, PurchaseOrder, ProductionOrder, AdjustmentJournal, CountingJournal, None), documentNumber, documentLine.</w:t>
            </w:r>
          </w:p>
        </w:tc>
      </w:tr>
      <w:tr>
        <w:tc>
          <w:tcPr>
            <w:tcW w:type="dxa" w:w="2100"/>
            <w:tcMar>
              <w:top w:type="dxa" w:w="60"/>
              <w:left w:type="dxa" w:w="100"/>
              <w:bottom w:type="dxa" w:w="60"/>
              <w:right w:type="dxa" w:w="100"/>
            </w:tcMar>
          </w:tcPr>
          <w:p>
            <w:r>
              <w:rPr>
                <w:b w:val="false"/>
                <w:bCs w:val="false"/>
                <w:color w:val="262626"/>
                <w:sz w:val="19"/>
                <w:szCs w:val="19"/>
              </w:rPr>
              <w:t xml:space="preserve">operator</w:t>
            </w:r>
          </w:p>
        </w:tc>
        <w:tc>
          <w:tcPr>
            <w:tcW w:type="dxa" w:w="1600"/>
            <w:tcMar>
              <w:top w:type="dxa" w:w="60"/>
              <w:left w:type="dxa" w:w="100"/>
              <w:bottom w:type="dxa" w:w="60"/>
              <w:right w:type="dxa" w:w="100"/>
            </w:tcMar>
          </w:tcPr>
          <w:p>
            <w:r>
              <w:rPr>
                <w:b w:val="false"/>
                <w:bCs w:val="false"/>
                <w:color w:val="262626"/>
                <w:sz w:val="19"/>
                <w:szCs w:val="19"/>
              </w:rPr>
              <w:t xml:space="preserve">string</w:t>
            </w:r>
          </w:p>
        </w:tc>
        <w:tc>
          <w:tcPr>
            <w:tcW w:type="dxa" w:w="5900"/>
            <w:tcMar>
              <w:top w:type="dxa" w:w="60"/>
              <w:left w:type="dxa" w:w="100"/>
              <w:bottom w:type="dxa" w:w="60"/>
              <w:right w:type="dxa" w:w="100"/>
            </w:tcMar>
          </w:tcPr>
          <w:p>
            <w:r>
              <w:rPr>
                <w:b w:val="false"/>
                <w:bCs w:val="false"/>
                <w:color w:val="262626"/>
                <w:sz w:val="19"/>
                <w:szCs w:val="19"/>
              </w:rPr>
              <w:t xml:space="preserve">Warehouse operator who executed the transaction.</w:t>
            </w:r>
          </w:p>
        </w:tc>
      </w:tr>
      <w:tr>
        <w:tc>
          <w:tcPr>
            <w:tcW w:type="dxa" w:w="2100"/>
            <w:tcMar>
              <w:top w:type="dxa" w:w="60"/>
              <w:left w:type="dxa" w:w="100"/>
              <w:bottom w:type="dxa" w:w="60"/>
              <w:right w:type="dxa" w:w="100"/>
            </w:tcMar>
          </w:tcPr>
          <w:p>
            <w:r>
              <w:rPr>
                <w:b w:val="false"/>
                <w:bCs w:val="false"/>
                <w:color w:val="262626"/>
                <w:sz w:val="19"/>
                <w:szCs w:val="19"/>
              </w:rPr>
              <w:t xml:space="preserve">lines[]</w:t>
            </w:r>
          </w:p>
        </w:tc>
        <w:tc>
          <w:tcPr>
            <w:tcW w:type="dxa" w:w="1600"/>
            <w:tcMar>
              <w:top w:type="dxa" w:w="60"/>
              <w:left w:type="dxa" w:w="100"/>
              <w:bottom w:type="dxa" w:w="60"/>
              <w:right w:type="dxa" w:w="100"/>
            </w:tcMar>
          </w:tcPr>
          <w:p>
            <w:r>
              <w:rPr>
                <w:b w:val="false"/>
                <w:bCs w:val="false"/>
                <w:color w:val="262626"/>
                <w:sz w:val="19"/>
                <w:szCs w:val="19"/>
              </w:rPr>
              <w:t xml:space="preserve">array (req)</w:t>
            </w:r>
          </w:p>
        </w:tc>
        <w:tc>
          <w:tcPr>
            <w:tcW w:type="dxa" w:w="5900"/>
            <w:tcMar>
              <w:top w:type="dxa" w:w="60"/>
              <w:left w:type="dxa" w:w="100"/>
              <w:bottom w:type="dxa" w:w="60"/>
              <w:right w:type="dxa" w:w="100"/>
            </w:tcMar>
          </w:tcPr>
          <w:p>
            <w:r>
              <w:rPr>
                <w:b w:val="false"/>
                <w:bCs w:val="false"/>
                <w:color w:val="262626"/>
                <w:sz w:val="19"/>
                <w:szCs w:val="19"/>
              </w:rPr>
              <w:t xml:space="preserve">One entry per item movement — see line fields below.</w:t>
            </w:r>
          </w:p>
        </w:tc>
      </w:tr>
      <w:tr>
        <w:tc>
          <w:tcPr>
            <w:tcW w:type="dxa" w:w="2100"/>
            <w:tcMar>
              <w:top w:type="dxa" w:w="60"/>
              <w:left w:type="dxa" w:w="100"/>
              <w:bottom w:type="dxa" w:w="60"/>
              <w:right w:type="dxa" w:w="100"/>
            </w:tcMar>
          </w:tcPr>
          <w:p>
            <w:r>
              <w:rPr>
                <w:b w:val="false"/>
                <w:bCs w:val="false"/>
                <w:color w:val="262626"/>
                <w:sz w:val="19"/>
                <w:szCs w:val="19"/>
              </w:rPr>
              <w:t xml:space="preserve">extensions</w:t>
            </w:r>
          </w:p>
        </w:tc>
        <w:tc>
          <w:tcPr>
            <w:tcW w:type="dxa" w:w="1600"/>
            <w:tcMar>
              <w:top w:type="dxa" w:w="60"/>
              <w:left w:type="dxa" w:w="100"/>
              <w:bottom w:type="dxa" w:w="60"/>
              <w:right w:type="dxa" w:w="100"/>
            </w:tcMar>
          </w:tcPr>
          <w:p>
            <w:r>
              <w:rPr>
                <w:b w:val="false"/>
                <w:bCs w:val="false"/>
                <w:color w:val="262626"/>
                <w:sz w:val="19"/>
                <w:szCs w:val="19"/>
              </w:rPr>
              <w:t xml:space="preserve">object</w:t>
            </w:r>
          </w:p>
        </w:tc>
        <w:tc>
          <w:tcPr>
            <w:tcW w:type="dxa" w:w="5900"/>
            <w:tcMar>
              <w:top w:type="dxa" w:w="60"/>
              <w:left w:type="dxa" w:w="100"/>
              <w:bottom w:type="dxa" w:w="60"/>
              <w:right w:type="dxa" w:w="100"/>
            </w:tcMar>
          </w:tcPr>
          <w:p>
            <w:r>
              <w:rPr>
                <w:b w:val="false"/>
                <w:bCs w:val="false"/>
                <w:color w:val="262626"/>
                <w:sz w:val="19"/>
                <w:szCs w:val="19"/>
              </w:rPr>
              <w:t xml:space="preserve">Open bag for target-specific attributes; unknown keys ignored by consumers.</w:t>
            </w:r>
          </w:p>
        </w:tc>
      </w:tr>
    </w:tbl>
    <w:p>
      <w:pPr>
        <w:pStyle w:val="Heading3"/>
        <w:spacing w:after="100" w:before="200"/>
      </w:pPr>
      <w:r>
        <w:t xml:space="preserve">Line fields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4E79" w:val="clear"/>
            <w:tcMar>
              <w:top w:type="dxa" w:w="60"/>
              <w:left w:type="dxa" w:w="100"/>
              <w:bottom w:type="dxa" w:w="60"/>
              <w:right w:type="dxa" w:w="100"/>
            </w:tcMar>
          </w:tcPr>
          <w:p>
            <w:r>
              <w:rPr>
                <w:b/>
                <w:bCs/>
                <w:color w:val="FFFFFF"/>
                <w:sz w:val="19"/>
                <w:szCs w:val="19"/>
              </w:rPr>
              <w:t xml:space="preserve">Field</w:t>
            </w:r>
          </w:p>
        </w:tc>
        <w:tc>
          <w:tcPr>
            <w:tcW w:type="dxa" w:w="6000"/>
            <w:shd w:fill="1F4E79" w:val="clear"/>
            <w:tcMar>
              <w:top w:type="dxa" w:w="60"/>
              <w:left w:type="dxa" w:w="100"/>
              <w:bottom w:type="dxa" w:w="60"/>
              <w:right w:type="dxa" w:w="100"/>
            </w:tcMar>
          </w:tcPr>
          <w:p>
            <w:r>
              <w:rPr>
                <w:b/>
                <w:bCs/>
                <w:color w:val="FFFFFF"/>
                <w:sz w:val="19"/>
                <w:szCs w:val="19"/>
              </w:rPr>
              <w:t xml:space="preserve">Notes</w:t>
            </w:r>
          </w:p>
        </w:tc>
      </w:tr>
      <w:tr>
        <w:tc>
          <w:tcPr>
            <w:tcW w:type="dxa" w:w="3600"/>
            <w:tcMar>
              <w:top w:type="dxa" w:w="60"/>
              <w:left w:type="dxa" w:w="100"/>
              <w:bottom w:type="dxa" w:w="60"/>
              <w:right w:type="dxa" w:w="100"/>
            </w:tcMar>
          </w:tcPr>
          <w:p>
            <w:r>
              <w:rPr>
                <w:b w:val="false"/>
                <w:bCs w:val="false"/>
                <w:color w:val="262626"/>
                <w:sz w:val="19"/>
                <w:szCs w:val="19"/>
              </w:rPr>
              <w:t xml:space="preserve">lineNumber, itemId, quantity, unitOfMeasure, transactionType</w:t>
            </w:r>
          </w:p>
        </w:tc>
        <w:tc>
          <w:tcPr>
            <w:tcW w:type="dxa" w:w="6000"/>
            <w:tcMar>
              <w:top w:type="dxa" w:w="60"/>
              <w:left w:type="dxa" w:w="100"/>
              <w:bottom w:type="dxa" w:w="60"/>
              <w:right w:type="dxa" w:w="100"/>
            </w:tcMar>
          </w:tcPr>
          <w:p>
            <w:r>
              <w:rPr>
                <w:b w:val="false"/>
                <w:bCs w:val="false"/>
                <w:color w:val="262626"/>
                <w:sz w:val="19"/>
                <w:szCs w:val="19"/>
              </w:rPr>
              <w:t xml:space="preserve">Required. Quantity sign convention: positive = receipt/increase, negative = issue/decrease. transactionType: RECEIPT, ISSUE, ADJUSTMENT_IN, ADJUSTMENT_OUT, COUNT, TRANSFER.</w:t>
            </w:r>
          </w:p>
        </w:tc>
      </w:tr>
      <w:tr>
        <w:tc>
          <w:tcPr>
            <w:tcW w:type="dxa" w:w="3600"/>
            <w:tcMar>
              <w:top w:type="dxa" w:w="60"/>
              <w:left w:type="dxa" w:w="100"/>
              <w:bottom w:type="dxa" w:w="60"/>
              <w:right w:type="dxa" w:w="100"/>
            </w:tcMar>
          </w:tcPr>
          <w:p>
            <w:r>
              <w:rPr>
                <w:b w:val="false"/>
                <w:bCs w:val="false"/>
                <w:color w:val="262626"/>
                <w:sz w:val="19"/>
                <w:szCs w:val="19"/>
              </w:rPr>
              <w:t xml:space="preserve">fromLocation / toLocation</w:t>
            </w:r>
          </w:p>
        </w:tc>
        <w:tc>
          <w:tcPr>
            <w:tcW w:type="dxa" w:w="6000"/>
            <w:tcMar>
              <w:top w:type="dxa" w:w="60"/>
              <w:left w:type="dxa" w:w="100"/>
              <w:bottom w:type="dxa" w:w="60"/>
              <w:right w:type="dxa" w:w="100"/>
            </w:tcMar>
          </w:tcPr>
          <w:p>
            <w:r>
              <w:rPr>
                <w:b w:val="false"/>
                <w:bCs w:val="false"/>
                <w:color w:val="262626"/>
                <w:sz w:val="19"/>
                <w:szCs w:val="19"/>
              </w:rPr>
              <w:t xml:space="preserve">locationId, trayId, cellId — VLM tray/cell granularity retained for analytics.</w:t>
            </w:r>
          </w:p>
        </w:tc>
      </w:tr>
      <w:tr>
        <w:tc>
          <w:tcPr>
            <w:tcW w:type="dxa" w:w="3600"/>
            <w:tcMar>
              <w:top w:type="dxa" w:w="60"/>
              <w:left w:type="dxa" w:w="100"/>
              <w:bottom w:type="dxa" w:w="60"/>
              <w:right w:type="dxa" w:w="100"/>
            </w:tcMar>
          </w:tcPr>
          <w:p>
            <w:r>
              <w:rPr>
                <w:b w:val="false"/>
                <w:bCs w:val="false"/>
                <w:color w:val="262626"/>
                <w:sz w:val="19"/>
                <w:szCs w:val="19"/>
              </w:rPr>
              <w:t xml:space="preserve">tracking</w:t>
            </w:r>
          </w:p>
        </w:tc>
        <w:tc>
          <w:tcPr>
            <w:tcW w:type="dxa" w:w="6000"/>
            <w:tcMar>
              <w:top w:type="dxa" w:w="60"/>
              <w:left w:type="dxa" w:w="100"/>
              <w:bottom w:type="dxa" w:w="60"/>
              <w:right w:type="dxa" w:w="100"/>
            </w:tcMar>
          </w:tcPr>
          <w:p>
            <w:r>
              <w:rPr>
                <w:b w:val="false"/>
                <w:bCs w:val="false"/>
                <w:color w:val="262626"/>
                <w:sz w:val="19"/>
                <w:szCs w:val="19"/>
              </w:rPr>
              <w:t xml:space="preserve">batchNumber, serialNumber, expirationDate — mapped to D365 tracking dimensions.</w:t>
            </w:r>
          </w:p>
        </w:tc>
      </w:tr>
      <w:tr>
        <w:tc>
          <w:tcPr>
            <w:tcW w:type="dxa" w:w="3600"/>
            <w:tcMar>
              <w:top w:type="dxa" w:w="60"/>
              <w:left w:type="dxa" w:w="100"/>
              <w:bottom w:type="dxa" w:w="60"/>
              <w:right w:type="dxa" w:w="100"/>
            </w:tcMar>
          </w:tcPr>
          <w:p>
            <w:r>
              <w:rPr>
                <w:b w:val="false"/>
                <w:bCs w:val="false"/>
                <w:color w:val="262626"/>
                <w:sz w:val="19"/>
                <w:szCs w:val="19"/>
              </w:rPr>
              <w:t xml:space="preserve">countedQuantity / expectedQuantity</w:t>
            </w:r>
          </w:p>
        </w:tc>
        <w:tc>
          <w:tcPr>
            <w:tcW w:type="dxa" w:w="6000"/>
            <w:tcMar>
              <w:top w:type="dxa" w:w="60"/>
              <w:left w:type="dxa" w:w="100"/>
              <w:bottom w:type="dxa" w:w="60"/>
              <w:right w:type="dxa" w:w="100"/>
            </w:tcMar>
          </w:tcPr>
          <w:p>
            <w:r>
              <w:rPr>
                <w:b w:val="false"/>
                <w:bCs w:val="false"/>
                <w:color w:val="262626"/>
                <w:sz w:val="19"/>
                <w:szCs w:val="19"/>
              </w:rPr>
              <w:t xml:space="preserve">CycleCount events only; the delta drives the D365 counting journal.</w:t>
            </w:r>
          </w:p>
        </w:tc>
      </w:tr>
      <w:tr>
        <w:tc>
          <w:tcPr>
            <w:tcW w:type="dxa" w:w="3600"/>
            <w:tcMar>
              <w:top w:type="dxa" w:w="60"/>
              <w:left w:type="dxa" w:w="100"/>
              <w:bottom w:type="dxa" w:w="60"/>
              <w:right w:type="dxa" w:w="100"/>
            </w:tcMar>
          </w:tcPr>
          <w:p>
            <w:r>
              <w:rPr>
                <w:b w:val="false"/>
                <w:bCs w:val="false"/>
                <w:color w:val="262626"/>
                <w:sz w:val="19"/>
                <w:szCs w:val="19"/>
              </w:rPr>
              <w:t xml:space="preserve">reasonCode</w:t>
            </w:r>
          </w:p>
        </w:tc>
        <w:tc>
          <w:tcPr>
            <w:tcW w:type="dxa" w:w="6000"/>
            <w:tcMar>
              <w:top w:type="dxa" w:w="60"/>
              <w:left w:type="dxa" w:w="100"/>
              <w:bottom w:type="dxa" w:w="60"/>
              <w:right w:type="dxa" w:w="100"/>
            </w:tcMar>
          </w:tcPr>
          <w:p>
            <w:r>
              <w:rPr>
                <w:b w:val="false"/>
                <w:bCs w:val="false"/>
                <w:color w:val="262626"/>
                <w:sz w:val="19"/>
                <w:szCs w:val="19"/>
              </w:rPr>
              <w:t xml:space="preserve">Adjustment reason, mapped to D365 counting reason codes.</w:t>
            </w:r>
          </w:p>
        </w:tc>
      </w:tr>
      <w:tr>
        <w:tc>
          <w:tcPr>
            <w:tcW w:type="dxa" w:w="3600"/>
            <w:tcMar>
              <w:top w:type="dxa" w:w="60"/>
              <w:left w:type="dxa" w:w="100"/>
              <w:bottom w:type="dxa" w:w="60"/>
              <w:right w:type="dxa" w:w="100"/>
            </w:tcMar>
          </w:tcPr>
          <w:p>
            <w:r>
              <w:rPr>
                <w:b w:val="false"/>
                <w:bCs w:val="false"/>
                <w:color w:val="262626"/>
                <w:sz w:val="19"/>
                <w:szCs w:val="19"/>
              </w:rPr>
              <w:t xml:space="preserve">unitCost, currency</w:t>
            </w:r>
          </w:p>
        </w:tc>
        <w:tc>
          <w:tcPr>
            <w:tcW w:type="dxa" w:w="6000"/>
            <w:tcMar>
              <w:top w:type="dxa" w:w="60"/>
              <w:left w:type="dxa" w:w="100"/>
              <w:bottom w:type="dxa" w:w="60"/>
              <w:right w:type="dxa" w:w="100"/>
            </w:tcMar>
          </w:tcPr>
          <w:p>
            <w:r>
              <w:rPr>
                <w:b w:val="false"/>
                <w:bCs w:val="false"/>
                <w:color w:val="262626"/>
                <w:sz w:val="19"/>
                <w:szCs w:val="19"/>
              </w:rPr>
              <w:t xml:space="preserve">Optional costing data for analytics.</w:t>
            </w:r>
          </w:p>
        </w:tc>
      </w:tr>
    </w:tbl>
    <w:p>
      <w:pPr>
        <w:pStyle w:val="Heading2"/>
        <w:spacing w:after="120" w:before="280"/>
      </w:pPr>
      <w:r>
        <w:t xml:space="preserve">3.3 Versioning Rules</w:t>
      </w:r>
    </w:p>
    <w:p>
      <w:pPr>
        <w:pStyle w:val="ListParagraph"/>
        <w:numPr>
          <w:ilvl w:val="0"/>
          <w:numId w:val="2"/>
        </w:numPr>
        <w:spacing w:after="60"/>
      </w:pPr>
      <w:r>
        <w:t xml:space="preserve">Additive optional fields = minor version bump; consumers must ignore unknown fields (enforced in adapter deserialization).</w:t>
      </w:r>
    </w:p>
    <w:p>
      <w:pPr>
        <w:pStyle w:val="ListParagraph"/>
        <w:numPr>
          <w:ilvl w:val="0"/>
          <w:numId w:val="2"/>
        </w:numPr>
        <w:spacing w:after="60"/>
      </w:pPr>
      <w:r>
        <w:t xml:space="preserve">Any breaking change (removed/renamed field, changed enum semantics) = major version, published to a new schema and, if run in parallel, a suffixed hub (inventory-events-v2).</w:t>
      </w:r>
    </w:p>
    <w:p>
      <w:pPr>
        <w:pStyle w:val="ListParagraph"/>
        <w:numPr>
          <w:ilvl w:val="0"/>
          <w:numId w:val="2"/>
        </w:numPr>
        <w:spacing w:after="60"/>
      </w:pPr>
      <w:r>
        <w:t xml:space="preserve">schemaVersion in every control message allows consumers to branch mapping logic during migration windows.</w:t>
      </w:r>
    </w:p>
    <w:p>
      <w:r>
        <w:br w:type="page"/>
      </w:r>
    </w:p>
    <w:p>
      <w:pPr>
        <w:pStyle w:val="Heading1"/>
        <w:spacing w:after="160" w:before="360"/>
      </w:pPr>
      <w:r>
        <w:t xml:space="preserve">4. API Design</w:t>
      </w:r>
    </w:p>
    <w:p>
      <w:pPr>
        <w:spacing w:after="120"/>
      </w:pPr>
      <w:r>
        <w:t xml:space="preserve">Three OpenAPI 3.0 specifications are delivered (apis/ folder) and imported into API Management by the pipeline. All secured with OAuth2 client credentials against Entra ID; scopes: inventory.publish (producer) and inventory.operate (operations surfaces). All APIs expose an anonymous /health probe used by Container Apps liveness/readiness and by APIM backend health.</w:t>
      </w:r>
    </w:p>
    <w:p>
      <w:pPr>
        <w:pStyle w:val="Heading2"/>
        <w:spacing w:after="120" w:before="280"/>
      </w:pPr>
      <w:r>
        <w:t xml:space="preserve">4.1 Modula Inbound Adapter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500"/>
      </w:tblGrid>
      <w:tr>
        <w:trPr>
          <w:tblHeader/>
        </w:trPr>
        <w:tc>
          <w:tcPr>
            <w:tcW w:type="dxa" w:w="3200"/>
            <w:shd w:fill="1F4E79" w:val="clear"/>
            <w:tcMar>
              <w:top w:type="dxa" w:w="60"/>
              <w:left w:type="dxa" w:w="100"/>
              <w:bottom w:type="dxa" w:w="60"/>
              <w:right w:type="dxa" w:w="100"/>
            </w:tcMar>
          </w:tcPr>
          <w:p>
            <w:r>
              <w:rPr>
                <w:b/>
                <w:bCs/>
                <w:color w:val="FFFFFF"/>
                <w:sz w:val="19"/>
                <w:szCs w:val="19"/>
              </w:rPr>
              <w:t xml:space="preserve">Endpoint</w:t>
            </w:r>
          </w:p>
        </w:tc>
        <w:tc>
          <w:tcPr>
            <w:tcW w:type="dxa" w:w="900"/>
            <w:shd w:fill="1F4E79" w:val="clear"/>
            <w:tcMar>
              <w:top w:type="dxa" w:w="60"/>
              <w:left w:type="dxa" w:w="100"/>
              <w:bottom w:type="dxa" w:w="60"/>
              <w:right w:type="dxa" w:w="100"/>
            </w:tcMar>
          </w:tcPr>
          <w:p>
            <w:r>
              <w:rPr>
                <w:b/>
                <w:bCs/>
                <w:color w:val="FFFFFF"/>
                <w:sz w:val="19"/>
                <w:szCs w:val="19"/>
              </w:rPr>
              <w:t xml:space="preserve">Method</w:t>
            </w:r>
          </w:p>
        </w:tc>
        <w:tc>
          <w:tcPr>
            <w:tcW w:type="dxa" w:w="5500"/>
            <w:shd w:fill="1F4E79" w:val="clear"/>
            <w:tcMar>
              <w:top w:type="dxa" w:w="60"/>
              <w:left w:type="dxa" w:w="100"/>
              <w:bottom w:type="dxa" w:w="60"/>
              <w:right w:type="dxa" w:w="100"/>
            </w:tcMar>
          </w:tcPr>
          <w:p>
            <w:r>
              <w:rPr>
                <w:b/>
                <w:bCs/>
                <w:color w:val="FFFFFF"/>
                <w:sz w:val="19"/>
                <w:szCs w:val="19"/>
              </w:rPr>
              <w:t xml:space="preserve">Purpose</w:t>
            </w:r>
          </w:p>
        </w:tc>
      </w:tr>
      <w:tr>
        <w:tc>
          <w:tcPr>
            <w:tcW w:type="dxa" w:w="3200"/>
            <w:tcMar>
              <w:top w:type="dxa" w:w="60"/>
              <w:left w:type="dxa" w:w="100"/>
              <w:bottom w:type="dxa" w:w="60"/>
              <w:right w:type="dxa" w:w="100"/>
            </w:tcMar>
          </w:tcPr>
          <w:p>
            <w:r>
              <w:rPr>
                <w:b w:val="false"/>
                <w:bCs w:val="false"/>
                <w:color w:val="262626"/>
                <w:sz w:val="19"/>
                <w:szCs w:val="19"/>
              </w:rPr>
              <w:t xml:space="preserve">/inventory/events</w:t>
            </w:r>
          </w:p>
        </w:tc>
        <w:tc>
          <w:tcPr>
            <w:tcW w:type="dxa" w:w="900"/>
            <w:tcMar>
              <w:top w:type="dxa" w:w="60"/>
              <w:left w:type="dxa" w:w="100"/>
              <w:bottom w:type="dxa" w:w="60"/>
              <w:right w:type="dxa" w:w="100"/>
            </w:tcMar>
          </w:tcPr>
          <w:p>
            <w:r>
              <w:rPr>
                <w:b w:val="false"/>
                <w:bCs w:val="false"/>
                <w:color w:val="262626"/>
                <w:sz w:val="19"/>
                <w:szCs w:val="19"/>
              </w:rPr>
              <w:t xml:space="preserve">POST</w:t>
            </w:r>
          </w:p>
        </w:tc>
        <w:tc>
          <w:tcPr>
            <w:tcW w:type="dxa" w:w="5500"/>
            <w:tcMar>
              <w:top w:type="dxa" w:w="60"/>
              <w:left w:type="dxa" w:w="100"/>
              <w:bottom w:type="dxa" w:w="60"/>
              <w:right w:type="dxa" w:w="100"/>
            </w:tcMar>
          </w:tcPr>
          <w:p>
            <w:r>
              <w:rPr>
                <w:b w:val="false"/>
                <w:bCs w:val="false"/>
                <w:color w:val="262626"/>
                <w:sz w:val="19"/>
                <w:szCs w:val="19"/>
              </w:rPr>
              <w:t xml:space="preserve">Publish one CDM envelope. 202 with partition/offset ack; 400 on schema failure; 409 on duplicate messageId; 503 signals retry with backoff.</w:t>
            </w:r>
          </w:p>
        </w:tc>
      </w:tr>
      <w:tr>
        <w:tc>
          <w:tcPr>
            <w:tcW w:type="dxa" w:w="3200"/>
            <w:tcMar>
              <w:top w:type="dxa" w:w="60"/>
              <w:left w:type="dxa" w:w="100"/>
              <w:bottom w:type="dxa" w:w="60"/>
              <w:right w:type="dxa" w:w="100"/>
            </w:tcMar>
          </w:tcPr>
          <w:p>
            <w:r>
              <w:rPr>
                <w:b w:val="false"/>
                <w:bCs w:val="false"/>
                <w:color w:val="262626"/>
                <w:sz w:val="19"/>
                <w:szCs w:val="19"/>
              </w:rPr>
              <w:t xml:space="preserve">/inventory/events/batch</w:t>
            </w:r>
          </w:p>
        </w:tc>
        <w:tc>
          <w:tcPr>
            <w:tcW w:type="dxa" w:w="900"/>
            <w:tcMar>
              <w:top w:type="dxa" w:w="60"/>
              <w:left w:type="dxa" w:w="100"/>
              <w:bottom w:type="dxa" w:w="60"/>
              <w:right w:type="dxa" w:w="100"/>
            </w:tcMar>
          </w:tcPr>
          <w:p>
            <w:r>
              <w:rPr>
                <w:b w:val="false"/>
                <w:bCs w:val="false"/>
                <w:color w:val="262626"/>
                <w:sz w:val="19"/>
                <w:szCs w:val="19"/>
              </w:rPr>
              <w:t xml:space="preserve">POST</w:t>
            </w:r>
          </w:p>
        </w:tc>
        <w:tc>
          <w:tcPr>
            <w:tcW w:type="dxa" w:w="5500"/>
            <w:tcMar>
              <w:top w:type="dxa" w:w="60"/>
              <w:left w:type="dxa" w:w="100"/>
              <w:bottom w:type="dxa" w:w="60"/>
              <w:right w:type="dxa" w:w="100"/>
            </w:tcMar>
          </w:tcPr>
          <w:p>
            <w:r>
              <w:rPr>
                <w:b w:val="false"/>
                <w:bCs w:val="false"/>
                <w:color w:val="262626"/>
                <w:sz w:val="19"/>
                <w:szCs w:val="19"/>
              </w:rPr>
              <w:t xml:space="preserve">Up to 100 envelopes as one Event Hub batch; per-item accept/reject results.</w:t>
            </w:r>
          </w:p>
        </w:tc>
      </w:tr>
      <w:tr>
        <w:tc>
          <w:tcPr>
            <w:tcW w:type="dxa" w:w="3200"/>
            <w:tcMar>
              <w:top w:type="dxa" w:w="60"/>
              <w:left w:type="dxa" w:w="100"/>
              <w:bottom w:type="dxa" w:w="60"/>
              <w:right w:type="dxa" w:w="100"/>
            </w:tcMar>
          </w:tcPr>
          <w:p>
            <w:r>
              <w:rPr>
                <w:b w:val="false"/>
                <w:bCs w:val="false"/>
                <w:color w:val="262626"/>
                <w:sz w:val="19"/>
                <w:szCs w:val="19"/>
              </w:rPr>
              <w:t xml:space="preserve">/inventory/events/{messageId}/status</w:t>
            </w:r>
          </w:p>
        </w:tc>
        <w:tc>
          <w:tcPr>
            <w:tcW w:type="dxa" w:w="900"/>
            <w:tcMar>
              <w:top w:type="dxa" w:w="60"/>
              <w:left w:type="dxa" w:w="100"/>
              <w:bottom w:type="dxa" w:w="60"/>
              <w:right w:type="dxa" w:w="100"/>
            </w:tcMar>
          </w:tcPr>
          <w:p>
            <w:r>
              <w:rPr>
                <w:b w:val="false"/>
                <w:bCs w:val="false"/>
                <w:color w:val="262626"/>
                <w:sz w:val="19"/>
                <w:szCs w:val="19"/>
              </w:rPr>
              <w:t xml:space="preserve">GET</w:t>
            </w:r>
          </w:p>
        </w:tc>
        <w:tc>
          <w:tcPr>
            <w:tcW w:type="dxa" w:w="5500"/>
            <w:tcMar>
              <w:top w:type="dxa" w:w="60"/>
              <w:left w:type="dxa" w:w="100"/>
              <w:bottom w:type="dxa" w:w="60"/>
              <w:right w:type="dxa" w:w="100"/>
            </w:tcMar>
          </w:tcPr>
          <w:p>
            <w:r>
              <w:rPr>
                <w:b w:val="false"/>
                <w:bCs w:val="false"/>
                <w:color w:val="262626"/>
                <w:sz w:val="19"/>
                <w:szCs w:val="19"/>
              </w:rPr>
              <w:t xml:space="preserve">Delivery status per target (PENDING, DELIVERED, FAILED, DEADLETTERED) — the producer-side view of the whole pipe.</w:t>
            </w:r>
          </w:p>
        </w:tc>
      </w:tr>
      <w:tr>
        <w:tc>
          <w:tcPr>
            <w:tcW w:type="dxa" w:w="3200"/>
            <w:tcMar>
              <w:top w:type="dxa" w:w="60"/>
              <w:left w:type="dxa" w:w="100"/>
              <w:bottom w:type="dxa" w:w="60"/>
              <w:right w:type="dxa" w:w="100"/>
            </w:tcMar>
          </w:tcPr>
          <w:p>
            <w:r>
              <w:rPr>
                <w:b w:val="false"/>
                <w:bCs w:val="false"/>
                <w:color w:val="262626"/>
                <w:sz w:val="19"/>
                <w:szCs w:val="19"/>
              </w:rPr>
              <w:t xml:space="preserve">/health</w:t>
            </w:r>
          </w:p>
        </w:tc>
        <w:tc>
          <w:tcPr>
            <w:tcW w:type="dxa" w:w="900"/>
            <w:tcMar>
              <w:top w:type="dxa" w:w="60"/>
              <w:left w:type="dxa" w:w="100"/>
              <w:bottom w:type="dxa" w:w="60"/>
              <w:right w:type="dxa" w:w="100"/>
            </w:tcMar>
          </w:tcPr>
          <w:p>
            <w:r>
              <w:rPr>
                <w:b w:val="false"/>
                <w:bCs w:val="false"/>
                <w:color w:val="262626"/>
                <w:sz w:val="19"/>
                <w:szCs w:val="19"/>
              </w:rPr>
              <w:t xml:space="preserve">GET</w:t>
            </w:r>
          </w:p>
        </w:tc>
        <w:tc>
          <w:tcPr>
            <w:tcW w:type="dxa" w:w="5500"/>
            <w:tcMar>
              <w:top w:type="dxa" w:w="60"/>
              <w:left w:type="dxa" w:w="100"/>
              <w:bottom w:type="dxa" w:w="60"/>
              <w:right w:type="dxa" w:w="100"/>
            </w:tcMar>
          </w:tcPr>
          <w:p>
            <w:r>
              <w:rPr>
                <w:b w:val="false"/>
                <w:bCs w:val="false"/>
                <w:color w:val="262626"/>
                <w:sz w:val="19"/>
                <w:szCs w:val="19"/>
              </w:rPr>
              <w:t xml:space="preserve">Liveness/readiness.</w:t>
            </w:r>
          </w:p>
        </w:tc>
      </w:tr>
    </w:tbl>
    <w:p>
      <w:pPr>
        <w:pStyle w:val="Heading2"/>
        <w:spacing w:after="120" w:before="280"/>
      </w:pPr>
      <w:r>
        <w:t xml:space="preserve">4.2 D365 Outbound Adapter API</w:t>
      </w:r>
    </w:p>
    <w:p>
      <w:pPr>
        <w:spacing w:after="120"/>
      </w:pPr>
      <w:r>
        <w:t xml:space="preserve">Primarily an Event Hub consumer; the REST surface is operational.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500"/>
      </w:tblGrid>
      <w:tr>
        <w:trPr>
          <w:tblHeader/>
        </w:trPr>
        <w:tc>
          <w:tcPr>
            <w:tcW w:type="dxa" w:w="3200"/>
            <w:shd w:fill="1F4E79" w:val="clear"/>
            <w:tcMar>
              <w:top w:type="dxa" w:w="60"/>
              <w:left w:type="dxa" w:w="100"/>
              <w:bottom w:type="dxa" w:w="60"/>
              <w:right w:type="dxa" w:w="100"/>
            </w:tcMar>
          </w:tcPr>
          <w:p>
            <w:r>
              <w:rPr>
                <w:b/>
                <w:bCs/>
                <w:color w:val="FFFFFF"/>
                <w:sz w:val="19"/>
                <w:szCs w:val="19"/>
              </w:rPr>
              <w:t xml:space="preserve">Endpoint</w:t>
            </w:r>
          </w:p>
        </w:tc>
        <w:tc>
          <w:tcPr>
            <w:tcW w:type="dxa" w:w="900"/>
            <w:shd w:fill="1F4E79" w:val="clear"/>
            <w:tcMar>
              <w:top w:type="dxa" w:w="60"/>
              <w:left w:type="dxa" w:w="100"/>
              <w:bottom w:type="dxa" w:w="60"/>
              <w:right w:type="dxa" w:w="100"/>
            </w:tcMar>
          </w:tcPr>
          <w:p>
            <w:r>
              <w:rPr>
                <w:b/>
                <w:bCs/>
                <w:color w:val="FFFFFF"/>
                <w:sz w:val="19"/>
                <w:szCs w:val="19"/>
              </w:rPr>
              <w:t xml:space="preserve">Method</w:t>
            </w:r>
          </w:p>
        </w:tc>
        <w:tc>
          <w:tcPr>
            <w:tcW w:type="dxa" w:w="5500"/>
            <w:shd w:fill="1F4E79" w:val="clear"/>
            <w:tcMar>
              <w:top w:type="dxa" w:w="60"/>
              <w:left w:type="dxa" w:w="100"/>
              <w:bottom w:type="dxa" w:w="60"/>
              <w:right w:type="dxa" w:w="100"/>
            </w:tcMar>
          </w:tcPr>
          <w:p>
            <w:r>
              <w:rPr>
                <w:b/>
                <w:bCs/>
                <w:color w:val="FFFFFF"/>
                <w:sz w:val="19"/>
                <w:szCs w:val="19"/>
              </w:rPr>
              <w:t xml:space="preserve">Purpose</w:t>
            </w:r>
          </w:p>
        </w:tc>
      </w:tr>
      <w:tr>
        <w:tc>
          <w:tcPr>
            <w:tcW w:type="dxa" w:w="3200"/>
            <w:tcMar>
              <w:top w:type="dxa" w:w="60"/>
              <w:left w:type="dxa" w:w="100"/>
              <w:bottom w:type="dxa" w:w="60"/>
              <w:right w:type="dxa" w:w="100"/>
            </w:tcMar>
          </w:tcPr>
          <w:p>
            <w:r>
              <w:rPr>
                <w:b w:val="false"/>
                <w:bCs w:val="false"/>
                <w:color w:val="262626"/>
                <w:sz w:val="19"/>
                <w:szCs w:val="19"/>
              </w:rPr>
              <w:t xml:space="preserve">/processing/replay</w:t>
            </w:r>
          </w:p>
        </w:tc>
        <w:tc>
          <w:tcPr>
            <w:tcW w:type="dxa" w:w="900"/>
            <w:tcMar>
              <w:top w:type="dxa" w:w="60"/>
              <w:left w:type="dxa" w:w="100"/>
              <w:bottom w:type="dxa" w:w="60"/>
              <w:right w:type="dxa" w:w="100"/>
            </w:tcMar>
          </w:tcPr>
          <w:p>
            <w:r>
              <w:rPr>
                <w:b w:val="false"/>
                <w:bCs w:val="false"/>
                <w:color w:val="262626"/>
                <w:sz w:val="19"/>
                <w:szCs w:val="19"/>
              </w:rPr>
              <w:t xml:space="preserve">POST</w:t>
            </w:r>
          </w:p>
        </w:tc>
        <w:tc>
          <w:tcPr>
            <w:tcW w:type="dxa" w:w="5500"/>
            <w:tcMar>
              <w:top w:type="dxa" w:w="60"/>
              <w:left w:type="dxa" w:w="100"/>
              <w:bottom w:type="dxa" w:w="60"/>
              <w:right w:type="dxa" w:w="100"/>
            </w:tcMar>
          </w:tcPr>
          <w:p>
            <w:r>
              <w:rPr>
                <w:b w:val="false"/>
                <w:bCs w:val="false"/>
                <w:color w:val="262626"/>
                <w:sz w:val="19"/>
                <w:szCs w:val="19"/>
              </w:rPr>
              <w:t xml:space="preserve">Replay by messageId list, time range, or from DLQ; supports dryRun.</w:t>
            </w:r>
          </w:p>
        </w:tc>
      </w:tr>
      <w:tr>
        <w:tc>
          <w:tcPr>
            <w:tcW w:type="dxa" w:w="3200"/>
            <w:tcMar>
              <w:top w:type="dxa" w:w="60"/>
              <w:left w:type="dxa" w:w="100"/>
              <w:bottom w:type="dxa" w:w="60"/>
              <w:right w:type="dxa" w:w="100"/>
            </w:tcMar>
          </w:tcPr>
          <w:p>
            <w:r>
              <w:rPr>
                <w:b w:val="false"/>
                <w:bCs w:val="false"/>
                <w:color w:val="262626"/>
                <w:sz w:val="19"/>
                <w:szCs w:val="19"/>
              </w:rPr>
              <w:t xml:space="preserve">/processing/deadletters</w:t>
            </w:r>
          </w:p>
        </w:tc>
        <w:tc>
          <w:tcPr>
            <w:tcW w:type="dxa" w:w="900"/>
            <w:tcMar>
              <w:top w:type="dxa" w:w="60"/>
              <w:left w:type="dxa" w:w="100"/>
              <w:bottom w:type="dxa" w:w="60"/>
              <w:right w:type="dxa" w:w="100"/>
            </w:tcMar>
          </w:tcPr>
          <w:p>
            <w:r>
              <w:rPr>
                <w:b w:val="false"/>
                <w:bCs w:val="false"/>
                <w:color w:val="262626"/>
                <w:sz w:val="19"/>
                <w:szCs w:val="19"/>
              </w:rPr>
              <w:t xml:space="preserve">GET</w:t>
            </w:r>
          </w:p>
        </w:tc>
        <w:tc>
          <w:tcPr>
            <w:tcW w:type="dxa" w:w="5500"/>
            <w:tcMar>
              <w:top w:type="dxa" w:w="60"/>
              <w:left w:type="dxa" w:w="100"/>
              <w:bottom w:type="dxa" w:w="60"/>
              <w:right w:type="dxa" w:w="100"/>
            </w:tcMar>
          </w:tcPr>
          <w:p>
            <w:r>
              <w:rPr>
                <w:b w:val="false"/>
                <w:bCs w:val="false"/>
                <w:color w:val="262626"/>
                <w:sz w:val="19"/>
                <w:szCs w:val="19"/>
              </w:rPr>
              <w:t xml:space="preserve">List poison messages with D365 error detail.</w:t>
            </w:r>
          </w:p>
        </w:tc>
      </w:tr>
      <w:tr>
        <w:tc>
          <w:tcPr>
            <w:tcW w:type="dxa" w:w="3200"/>
            <w:tcMar>
              <w:top w:type="dxa" w:w="60"/>
              <w:left w:type="dxa" w:w="100"/>
              <w:bottom w:type="dxa" w:w="60"/>
              <w:right w:type="dxa" w:w="100"/>
            </w:tcMar>
          </w:tcPr>
          <w:p>
            <w:r>
              <w:rPr>
                <w:b w:val="false"/>
                <w:bCs w:val="false"/>
                <w:color w:val="262626"/>
                <w:sz w:val="19"/>
                <w:szCs w:val="19"/>
              </w:rPr>
              <w:t xml:space="preserve">/processing/deadletters/{messageId}</w:t>
            </w:r>
          </w:p>
        </w:tc>
        <w:tc>
          <w:tcPr>
            <w:tcW w:type="dxa" w:w="900"/>
            <w:tcMar>
              <w:top w:type="dxa" w:w="60"/>
              <w:left w:type="dxa" w:w="100"/>
              <w:bottom w:type="dxa" w:w="60"/>
              <w:right w:type="dxa" w:w="100"/>
            </w:tcMar>
          </w:tcPr>
          <w:p>
            <w:r>
              <w:rPr>
                <w:b w:val="false"/>
                <w:bCs w:val="false"/>
                <w:color w:val="262626"/>
                <w:sz w:val="19"/>
                <w:szCs w:val="19"/>
              </w:rPr>
              <w:t xml:space="preserve">POST</w:t>
            </w:r>
          </w:p>
        </w:tc>
        <w:tc>
          <w:tcPr>
            <w:tcW w:type="dxa" w:w="5500"/>
            <w:tcMar>
              <w:top w:type="dxa" w:w="60"/>
              <w:left w:type="dxa" w:w="100"/>
              <w:bottom w:type="dxa" w:w="60"/>
              <w:right w:type="dxa" w:w="100"/>
            </w:tcMar>
          </w:tcPr>
          <w:p>
            <w:r>
              <w:rPr>
                <w:b w:val="false"/>
                <w:bCs w:val="false"/>
                <w:color w:val="262626"/>
                <w:sz w:val="19"/>
                <w:szCs w:val="19"/>
              </w:rPr>
              <w:t xml:space="preserve">RETRY or DISCARD with an audit note.</w:t>
            </w:r>
          </w:p>
        </w:tc>
      </w:tr>
      <w:tr>
        <w:tc>
          <w:tcPr>
            <w:tcW w:type="dxa" w:w="3200"/>
            <w:tcMar>
              <w:top w:type="dxa" w:w="60"/>
              <w:left w:type="dxa" w:w="100"/>
              <w:bottom w:type="dxa" w:w="60"/>
              <w:right w:type="dxa" w:w="100"/>
            </w:tcMar>
          </w:tcPr>
          <w:p>
            <w:r>
              <w:rPr>
                <w:b w:val="false"/>
                <w:bCs w:val="false"/>
                <w:color w:val="262626"/>
                <w:sz w:val="19"/>
                <w:szCs w:val="19"/>
              </w:rPr>
              <w:t xml:space="preserve">/d365/push</w:t>
            </w:r>
          </w:p>
        </w:tc>
        <w:tc>
          <w:tcPr>
            <w:tcW w:type="dxa" w:w="900"/>
            <w:tcMar>
              <w:top w:type="dxa" w:w="60"/>
              <w:left w:type="dxa" w:w="100"/>
              <w:bottom w:type="dxa" w:w="60"/>
              <w:right w:type="dxa" w:w="100"/>
            </w:tcMar>
          </w:tcPr>
          <w:p>
            <w:r>
              <w:rPr>
                <w:b w:val="false"/>
                <w:bCs w:val="false"/>
                <w:color w:val="262626"/>
                <w:sz w:val="19"/>
                <w:szCs w:val="19"/>
              </w:rPr>
              <w:t xml:space="preserve">POST</w:t>
            </w:r>
          </w:p>
        </w:tc>
        <w:tc>
          <w:tcPr>
            <w:tcW w:type="dxa" w:w="5500"/>
            <w:tcMar>
              <w:top w:type="dxa" w:w="60"/>
              <w:left w:type="dxa" w:w="100"/>
              <w:bottom w:type="dxa" w:w="60"/>
              <w:right w:type="dxa" w:w="100"/>
            </w:tcMar>
          </w:tcPr>
          <w:p>
            <w:r>
              <w:rPr>
                <w:b w:val="false"/>
                <w:bCs w:val="false"/>
                <w:color w:val="262626"/>
                <w:sz w:val="19"/>
                <w:szCs w:val="19"/>
              </w:rPr>
              <w:t xml:space="preserve">Manual push of a CDM envelope for reconciliation/support; returns journal id and posting status.</w:t>
            </w:r>
          </w:p>
        </w:tc>
      </w:tr>
      <w:tr>
        <w:tc>
          <w:tcPr>
            <w:tcW w:type="dxa" w:w="3200"/>
            <w:tcMar>
              <w:top w:type="dxa" w:w="60"/>
              <w:left w:type="dxa" w:w="100"/>
              <w:bottom w:type="dxa" w:w="60"/>
              <w:right w:type="dxa" w:w="100"/>
            </w:tcMar>
          </w:tcPr>
          <w:p>
            <w:r>
              <w:rPr>
                <w:b w:val="false"/>
                <w:bCs w:val="false"/>
                <w:color w:val="262626"/>
                <w:sz w:val="19"/>
                <w:szCs w:val="19"/>
              </w:rPr>
              <w:t xml:space="preserve">/mappings/items/{itemId}</w:t>
            </w:r>
          </w:p>
        </w:tc>
        <w:tc>
          <w:tcPr>
            <w:tcW w:type="dxa" w:w="900"/>
            <w:tcMar>
              <w:top w:type="dxa" w:w="60"/>
              <w:left w:type="dxa" w:w="100"/>
              <w:bottom w:type="dxa" w:w="60"/>
              <w:right w:type="dxa" w:w="100"/>
            </w:tcMar>
          </w:tcPr>
          <w:p>
            <w:r>
              <w:rPr>
                <w:b w:val="false"/>
                <w:bCs w:val="false"/>
                <w:color w:val="262626"/>
                <w:sz w:val="19"/>
                <w:szCs w:val="19"/>
              </w:rPr>
              <w:t xml:space="preserve">GET</w:t>
            </w:r>
          </w:p>
        </w:tc>
        <w:tc>
          <w:tcPr>
            <w:tcW w:type="dxa" w:w="5500"/>
            <w:tcMar>
              <w:top w:type="dxa" w:w="60"/>
              <w:left w:type="dxa" w:w="100"/>
              <w:bottom w:type="dxa" w:w="60"/>
              <w:right w:type="dxa" w:w="100"/>
            </w:tcMar>
          </w:tcPr>
          <w:p>
            <w:r>
              <w:rPr>
                <w:b w:val="false"/>
                <w:bCs w:val="false"/>
                <w:color w:val="262626"/>
                <w:sz w:val="19"/>
                <w:szCs w:val="19"/>
              </w:rPr>
              <w:t xml:space="preserve">Resolve Modula item → D365 released product mapping; 404 flags an item that will dead-letter at runtime.</w:t>
            </w:r>
          </w:p>
        </w:tc>
      </w:tr>
      <w:tr>
        <w:tc>
          <w:tcPr>
            <w:tcW w:type="dxa" w:w="3200"/>
            <w:tcMar>
              <w:top w:type="dxa" w:w="60"/>
              <w:left w:type="dxa" w:w="100"/>
              <w:bottom w:type="dxa" w:w="60"/>
              <w:right w:type="dxa" w:w="100"/>
            </w:tcMar>
          </w:tcPr>
          <w:p>
            <w:r>
              <w:rPr>
                <w:b w:val="false"/>
                <w:bCs w:val="false"/>
                <w:color w:val="262626"/>
                <w:sz w:val="19"/>
                <w:szCs w:val="19"/>
              </w:rPr>
              <w:t xml:space="preserve">/health</w:t>
            </w:r>
          </w:p>
        </w:tc>
        <w:tc>
          <w:tcPr>
            <w:tcW w:type="dxa" w:w="900"/>
            <w:tcMar>
              <w:top w:type="dxa" w:w="60"/>
              <w:left w:type="dxa" w:w="100"/>
              <w:bottom w:type="dxa" w:w="60"/>
              <w:right w:type="dxa" w:w="100"/>
            </w:tcMar>
          </w:tcPr>
          <w:p>
            <w:r>
              <w:rPr>
                <w:b w:val="false"/>
                <w:bCs w:val="false"/>
                <w:color w:val="262626"/>
                <w:sz w:val="19"/>
                <w:szCs w:val="19"/>
              </w:rPr>
              <w:t xml:space="preserve">GET</w:t>
            </w:r>
          </w:p>
        </w:tc>
        <w:tc>
          <w:tcPr>
            <w:tcW w:type="dxa" w:w="5500"/>
            <w:tcMar>
              <w:top w:type="dxa" w:w="60"/>
              <w:left w:type="dxa" w:w="100"/>
              <w:bottom w:type="dxa" w:w="60"/>
              <w:right w:type="dxa" w:w="100"/>
            </w:tcMar>
          </w:tcPr>
          <w:p>
            <w:r>
              <w:rPr>
                <w:b w:val="false"/>
                <w:bCs w:val="false"/>
                <w:color w:val="262626"/>
                <w:sz w:val="19"/>
                <w:szCs w:val="19"/>
              </w:rPr>
              <w:t xml:space="preserve">Includes Event Hub lag (cg-d365) and D365 reachability.</w:t>
            </w:r>
          </w:p>
        </w:tc>
      </w:tr>
    </w:tbl>
    <w:p>
      <w:pPr>
        <w:pStyle w:val="Heading3"/>
        <w:spacing w:after="100" w:before="200"/>
      </w:pPr>
      <w:r>
        <w:t xml:space="preserve">CDM-to-D365 mapping contract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4E79" w:val="clear"/>
            <w:tcMar>
              <w:top w:type="dxa" w:w="60"/>
              <w:left w:type="dxa" w:w="100"/>
              <w:bottom w:type="dxa" w:w="60"/>
              <w:right w:type="dxa" w:w="100"/>
            </w:tcMar>
          </w:tcPr>
          <w:p>
            <w:r>
              <w:rPr>
                <w:b/>
                <w:bCs/>
                <w:color w:val="FFFFFF"/>
                <w:sz w:val="19"/>
                <w:szCs w:val="19"/>
              </w:rPr>
              <w:t xml:space="preserve">eventType / transaction</w:t>
            </w:r>
          </w:p>
        </w:tc>
        <w:tc>
          <w:tcPr>
            <w:tcW w:type="dxa" w:w="6000"/>
            <w:shd w:fill="1F4E79" w:val="clear"/>
            <w:tcMar>
              <w:top w:type="dxa" w:w="60"/>
              <w:left w:type="dxa" w:w="100"/>
              <w:bottom w:type="dxa" w:w="60"/>
              <w:right w:type="dxa" w:w="100"/>
            </w:tcMar>
          </w:tcPr>
          <w:p>
            <w:r>
              <w:rPr>
                <w:b/>
                <w:bCs/>
                <w:color w:val="FFFFFF"/>
                <w:sz w:val="19"/>
                <w:szCs w:val="19"/>
              </w:rPr>
              <w:t xml:space="preserve">D365 target</w:t>
            </w:r>
          </w:p>
        </w:tc>
      </w:tr>
      <w:tr>
        <w:tc>
          <w:tcPr>
            <w:tcW w:type="dxa" w:w="3600"/>
            <w:tcMar>
              <w:top w:type="dxa" w:w="60"/>
              <w:left w:type="dxa" w:w="100"/>
              <w:bottom w:type="dxa" w:w="60"/>
              <w:right w:type="dxa" w:w="100"/>
            </w:tcMar>
          </w:tcPr>
          <w:p>
            <w:r>
              <w:rPr>
                <w:b w:val="false"/>
                <w:bCs w:val="false"/>
                <w:color w:val="262626"/>
                <w:sz w:val="19"/>
                <w:szCs w:val="19"/>
              </w:rPr>
              <w:t xml:space="preserve">Pick / ISSUE</w:t>
            </w:r>
          </w:p>
        </w:tc>
        <w:tc>
          <w:tcPr>
            <w:tcW w:type="dxa" w:w="6000"/>
            <w:tcMar>
              <w:top w:type="dxa" w:w="60"/>
              <w:left w:type="dxa" w:w="100"/>
              <w:bottom w:type="dxa" w:w="60"/>
              <w:right w:type="dxa" w:w="100"/>
            </w:tcMar>
          </w:tcPr>
          <w:p>
            <w:r>
              <w:rPr>
                <w:b w:val="false"/>
                <w:bCs w:val="false"/>
                <w:color w:val="262626"/>
                <w:sz w:val="19"/>
                <w:szCs w:val="19"/>
              </w:rPr>
              <w:t xml:space="preserve">Inventory Visibility on-hand change (issue).</w:t>
            </w:r>
          </w:p>
        </w:tc>
      </w:tr>
      <w:tr>
        <w:tc>
          <w:tcPr>
            <w:tcW w:type="dxa" w:w="3600"/>
            <w:tcMar>
              <w:top w:type="dxa" w:w="60"/>
              <w:left w:type="dxa" w:w="100"/>
              <w:bottom w:type="dxa" w:w="60"/>
              <w:right w:type="dxa" w:w="100"/>
            </w:tcMar>
          </w:tcPr>
          <w:p>
            <w:r>
              <w:rPr>
                <w:b w:val="false"/>
                <w:bCs w:val="false"/>
                <w:color w:val="262626"/>
                <w:sz w:val="19"/>
                <w:szCs w:val="19"/>
              </w:rPr>
              <w:t xml:space="preserve">PutAway / RECEIPT</w:t>
            </w:r>
          </w:p>
        </w:tc>
        <w:tc>
          <w:tcPr>
            <w:tcW w:type="dxa" w:w="6000"/>
            <w:tcMar>
              <w:top w:type="dxa" w:w="60"/>
              <w:left w:type="dxa" w:w="100"/>
              <w:bottom w:type="dxa" w:w="60"/>
              <w:right w:type="dxa" w:w="100"/>
            </w:tcMar>
          </w:tcPr>
          <w:p>
            <w:r>
              <w:rPr>
                <w:b w:val="false"/>
                <w:bCs w:val="false"/>
                <w:color w:val="262626"/>
                <w:sz w:val="19"/>
                <w:szCs w:val="19"/>
              </w:rPr>
              <w:t xml:space="preserve">Inventory Visibility on-hand change (receipt).</w:t>
            </w:r>
          </w:p>
        </w:tc>
      </w:tr>
      <w:tr>
        <w:tc>
          <w:tcPr>
            <w:tcW w:type="dxa" w:w="3600"/>
            <w:tcMar>
              <w:top w:type="dxa" w:w="60"/>
              <w:left w:type="dxa" w:w="100"/>
              <w:bottom w:type="dxa" w:w="60"/>
              <w:right w:type="dxa" w:w="100"/>
            </w:tcMar>
          </w:tcPr>
          <w:p>
            <w:r>
              <w:rPr>
                <w:b w:val="false"/>
                <w:bCs w:val="false"/>
                <w:color w:val="262626"/>
                <w:sz w:val="19"/>
                <w:szCs w:val="19"/>
              </w:rPr>
              <w:t xml:space="preserve">InventoryAdjustment</w:t>
            </w:r>
          </w:p>
        </w:tc>
        <w:tc>
          <w:tcPr>
            <w:tcW w:type="dxa" w:w="6000"/>
            <w:tcMar>
              <w:top w:type="dxa" w:w="60"/>
              <w:left w:type="dxa" w:w="100"/>
              <w:bottom w:type="dxa" w:w="60"/>
              <w:right w:type="dxa" w:w="100"/>
            </w:tcMar>
          </w:tcPr>
          <w:p>
            <w:r>
              <w:rPr>
                <w:b w:val="false"/>
                <w:bCs w:val="false"/>
                <w:color w:val="262626"/>
                <w:sz w:val="19"/>
                <w:szCs w:val="19"/>
              </w:rPr>
              <w:t xml:space="preserve">Movement/Adjustment journal (auto-post configurable).</w:t>
            </w:r>
          </w:p>
        </w:tc>
      </w:tr>
      <w:tr>
        <w:tc>
          <w:tcPr>
            <w:tcW w:type="dxa" w:w="3600"/>
            <w:tcMar>
              <w:top w:type="dxa" w:w="60"/>
              <w:left w:type="dxa" w:w="100"/>
              <w:bottom w:type="dxa" w:w="60"/>
              <w:right w:type="dxa" w:w="100"/>
            </w:tcMar>
          </w:tcPr>
          <w:p>
            <w:r>
              <w:rPr>
                <w:b w:val="false"/>
                <w:bCs w:val="false"/>
                <w:color w:val="262626"/>
                <w:sz w:val="19"/>
                <w:szCs w:val="19"/>
              </w:rPr>
              <w:t xml:space="preserve">CycleCount</w:t>
            </w:r>
          </w:p>
        </w:tc>
        <w:tc>
          <w:tcPr>
            <w:tcW w:type="dxa" w:w="6000"/>
            <w:tcMar>
              <w:top w:type="dxa" w:w="60"/>
              <w:left w:type="dxa" w:w="100"/>
              <w:bottom w:type="dxa" w:w="60"/>
              <w:right w:type="dxa" w:w="100"/>
            </w:tcMar>
          </w:tcPr>
          <w:p>
            <w:r>
              <w:rPr>
                <w:b w:val="false"/>
                <w:bCs w:val="false"/>
                <w:color w:val="262626"/>
                <w:sz w:val="19"/>
                <w:szCs w:val="19"/>
              </w:rPr>
              <w:t xml:space="preserve">Counting journal line (counted vs expected drives the delta).</w:t>
            </w:r>
          </w:p>
        </w:tc>
      </w:tr>
      <w:tr>
        <w:tc>
          <w:tcPr>
            <w:tcW w:type="dxa" w:w="3600"/>
            <w:tcMar>
              <w:top w:type="dxa" w:w="60"/>
              <w:left w:type="dxa" w:w="100"/>
              <w:bottom w:type="dxa" w:w="60"/>
              <w:right w:type="dxa" w:w="100"/>
            </w:tcMar>
          </w:tcPr>
          <w:p>
            <w:r>
              <w:rPr>
                <w:b w:val="false"/>
                <w:bCs w:val="false"/>
                <w:color w:val="262626"/>
                <w:sz w:val="19"/>
                <w:szCs w:val="19"/>
              </w:rPr>
              <w:t xml:space="preserve">operation = REVERSAL</w:t>
            </w:r>
          </w:p>
        </w:tc>
        <w:tc>
          <w:tcPr>
            <w:tcW w:type="dxa" w:w="6000"/>
            <w:tcMar>
              <w:top w:type="dxa" w:w="60"/>
              <w:left w:type="dxa" w:w="100"/>
              <w:bottom w:type="dxa" w:w="60"/>
              <w:right w:type="dxa" w:w="100"/>
            </w:tcMar>
          </w:tcPr>
          <w:p>
            <w:r>
              <w:rPr>
                <w:b w:val="false"/>
                <w:bCs w:val="false"/>
                <w:color w:val="262626"/>
                <w:sz w:val="19"/>
                <w:szCs w:val="19"/>
              </w:rPr>
              <w:t xml:space="preserve">Compensating journal referencing causationId.</w:t>
            </w:r>
          </w:p>
        </w:tc>
      </w:tr>
    </w:tbl>
    <w:p>
      <w:pPr>
        <w:spacing w:after="120"/>
      </w:pPr>
      <w:r>
        <w:t xml:space="preserve">If the Inventory Visibility add-in is not licensed for the legal entity, on-hand changes route through journals instead; this is a mapping-layer configuration and does not alter the CDM contract.</w:t>
      </w:r>
    </w:p>
    <w:p>
      <w:pPr>
        <w:pStyle w:val="Heading2"/>
        <w:spacing w:after="120" w:before="280"/>
      </w:pPr>
      <w:r>
        <w:t xml:space="preserve">4.3 DataHub Outbound Adapter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500"/>
      </w:tblGrid>
      <w:tr>
        <w:trPr>
          <w:tblHeader/>
        </w:trPr>
        <w:tc>
          <w:tcPr>
            <w:tcW w:type="dxa" w:w="3200"/>
            <w:shd w:fill="1F4E79" w:val="clear"/>
            <w:tcMar>
              <w:top w:type="dxa" w:w="60"/>
              <w:left w:type="dxa" w:w="100"/>
              <w:bottom w:type="dxa" w:w="60"/>
              <w:right w:type="dxa" w:w="100"/>
            </w:tcMar>
          </w:tcPr>
          <w:p>
            <w:r>
              <w:rPr>
                <w:b/>
                <w:bCs/>
                <w:color w:val="FFFFFF"/>
                <w:sz w:val="19"/>
                <w:szCs w:val="19"/>
              </w:rPr>
              <w:t xml:space="preserve">Endpoint</w:t>
            </w:r>
          </w:p>
        </w:tc>
        <w:tc>
          <w:tcPr>
            <w:tcW w:type="dxa" w:w="900"/>
            <w:shd w:fill="1F4E79" w:val="clear"/>
            <w:tcMar>
              <w:top w:type="dxa" w:w="60"/>
              <w:left w:type="dxa" w:w="100"/>
              <w:bottom w:type="dxa" w:w="60"/>
              <w:right w:type="dxa" w:w="100"/>
            </w:tcMar>
          </w:tcPr>
          <w:p>
            <w:r>
              <w:rPr>
                <w:b/>
                <w:bCs/>
                <w:color w:val="FFFFFF"/>
                <w:sz w:val="19"/>
                <w:szCs w:val="19"/>
              </w:rPr>
              <w:t xml:space="preserve">Method</w:t>
            </w:r>
          </w:p>
        </w:tc>
        <w:tc>
          <w:tcPr>
            <w:tcW w:type="dxa" w:w="5500"/>
            <w:shd w:fill="1F4E79" w:val="clear"/>
            <w:tcMar>
              <w:top w:type="dxa" w:w="60"/>
              <w:left w:type="dxa" w:w="100"/>
              <w:bottom w:type="dxa" w:w="60"/>
              <w:right w:type="dxa" w:w="100"/>
            </w:tcMar>
          </w:tcPr>
          <w:p>
            <w:r>
              <w:rPr>
                <w:b/>
                <w:bCs/>
                <w:color w:val="FFFFFF"/>
                <w:sz w:val="19"/>
                <w:szCs w:val="19"/>
              </w:rPr>
              <w:t xml:space="preserve">Purpose</w:t>
            </w:r>
          </w:p>
        </w:tc>
      </w:tr>
      <w:tr>
        <w:tc>
          <w:tcPr>
            <w:tcW w:type="dxa" w:w="3200"/>
            <w:tcMar>
              <w:top w:type="dxa" w:w="60"/>
              <w:left w:type="dxa" w:w="100"/>
              <w:bottom w:type="dxa" w:w="60"/>
              <w:right w:type="dxa" w:w="100"/>
            </w:tcMar>
          </w:tcPr>
          <w:p>
            <w:r>
              <w:rPr>
                <w:b w:val="false"/>
                <w:bCs w:val="false"/>
                <w:color w:val="262626"/>
                <w:sz w:val="19"/>
                <w:szCs w:val="19"/>
              </w:rPr>
              <w:t xml:space="preserve">/landing/status</w:t>
            </w:r>
          </w:p>
        </w:tc>
        <w:tc>
          <w:tcPr>
            <w:tcW w:type="dxa" w:w="900"/>
            <w:tcMar>
              <w:top w:type="dxa" w:w="60"/>
              <w:left w:type="dxa" w:w="100"/>
              <w:bottom w:type="dxa" w:w="60"/>
              <w:right w:type="dxa" w:w="100"/>
            </w:tcMar>
          </w:tcPr>
          <w:p>
            <w:r>
              <w:rPr>
                <w:b w:val="false"/>
                <w:bCs w:val="false"/>
                <w:color w:val="262626"/>
                <w:sz w:val="19"/>
                <w:szCs w:val="19"/>
              </w:rPr>
              <w:t xml:space="preserve">GET</w:t>
            </w:r>
          </w:p>
        </w:tc>
        <w:tc>
          <w:tcPr>
            <w:tcW w:type="dxa" w:w="5500"/>
            <w:tcMar>
              <w:top w:type="dxa" w:w="60"/>
              <w:left w:type="dxa" w:w="100"/>
              <w:bottom w:type="dxa" w:w="60"/>
              <w:right w:type="dxa" w:w="100"/>
            </w:tcMar>
          </w:tcPr>
          <w:p>
            <w:r>
              <w:rPr>
                <w:b w:val="false"/>
                <w:bCs w:val="false"/>
                <w:color w:val="262626"/>
                <w:sz w:val="19"/>
                <w:szCs w:val="19"/>
              </w:rPr>
              <w:t xml:space="preserve">Consumer lag, last checkpoint, bronze path, landed counts per eventType.</w:t>
            </w:r>
          </w:p>
        </w:tc>
      </w:tr>
      <w:tr>
        <w:tc>
          <w:tcPr>
            <w:tcW w:type="dxa" w:w="3200"/>
            <w:tcMar>
              <w:top w:type="dxa" w:w="60"/>
              <w:left w:type="dxa" w:w="100"/>
              <w:bottom w:type="dxa" w:w="60"/>
              <w:right w:type="dxa" w:w="100"/>
            </w:tcMar>
          </w:tcPr>
          <w:p>
            <w:r>
              <w:rPr>
                <w:b w:val="false"/>
                <w:bCs w:val="false"/>
                <w:color w:val="262626"/>
                <w:sz w:val="19"/>
                <w:szCs w:val="19"/>
              </w:rPr>
              <w:t xml:space="preserve">/landing/backfill</w:t>
            </w:r>
          </w:p>
        </w:tc>
        <w:tc>
          <w:tcPr>
            <w:tcW w:type="dxa" w:w="900"/>
            <w:tcMar>
              <w:top w:type="dxa" w:w="60"/>
              <w:left w:type="dxa" w:w="100"/>
              <w:bottom w:type="dxa" w:w="60"/>
              <w:right w:type="dxa" w:w="100"/>
            </w:tcMar>
          </w:tcPr>
          <w:p>
            <w:r>
              <w:rPr>
                <w:b w:val="false"/>
                <w:bCs w:val="false"/>
                <w:color w:val="262626"/>
                <w:sz w:val="19"/>
                <w:szCs w:val="19"/>
              </w:rPr>
              <w:t xml:space="preserve">POST</w:t>
            </w:r>
          </w:p>
        </w:tc>
        <w:tc>
          <w:tcPr>
            <w:tcW w:type="dxa" w:w="5500"/>
            <w:tcMar>
              <w:top w:type="dxa" w:w="60"/>
              <w:left w:type="dxa" w:w="100"/>
              <w:bottom w:type="dxa" w:w="60"/>
              <w:right w:type="dxa" w:w="100"/>
            </w:tcMar>
          </w:tcPr>
          <w:p>
            <w:r>
              <w:rPr>
                <w:b w:val="false"/>
                <w:bCs w:val="false"/>
                <w:color w:val="262626"/>
                <w:sz w:val="19"/>
                <w:szCs w:val="19"/>
              </w:rPr>
              <w:t xml:space="preserve">Re-land a time range from the Event Hubs Capture archive into bronze; returns jobId.</w:t>
            </w:r>
          </w:p>
        </w:tc>
      </w:tr>
      <w:tr>
        <w:tc>
          <w:tcPr>
            <w:tcW w:type="dxa" w:w="3200"/>
            <w:tcMar>
              <w:top w:type="dxa" w:w="60"/>
              <w:left w:type="dxa" w:w="100"/>
              <w:bottom w:type="dxa" w:w="60"/>
              <w:right w:type="dxa" w:w="100"/>
            </w:tcMar>
          </w:tcPr>
          <w:p>
            <w:r>
              <w:rPr>
                <w:b w:val="false"/>
                <w:bCs w:val="false"/>
                <w:color w:val="262626"/>
                <w:sz w:val="19"/>
                <w:szCs w:val="19"/>
              </w:rPr>
              <w:t xml:space="preserve">/landing/backfill/{jobId}</w:t>
            </w:r>
          </w:p>
        </w:tc>
        <w:tc>
          <w:tcPr>
            <w:tcW w:type="dxa" w:w="900"/>
            <w:tcMar>
              <w:top w:type="dxa" w:w="60"/>
              <w:left w:type="dxa" w:w="100"/>
              <w:bottom w:type="dxa" w:w="60"/>
              <w:right w:type="dxa" w:w="100"/>
            </w:tcMar>
          </w:tcPr>
          <w:p>
            <w:r>
              <w:rPr>
                <w:b w:val="false"/>
                <w:bCs w:val="false"/>
                <w:color w:val="262626"/>
                <w:sz w:val="19"/>
                <w:szCs w:val="19"/>
              </w:rPr>
              <w:t xml:space="preserve">GET</w:t>
            </w:r>
          </w:p>
        </w:tc>
        <w:tc>
          <w:tcPr>
            <w:tcW w:type="dxa" w:w="5500"/>
            <w:tcMar>
              <w:top w:type="dxa" w:w="60"/>
              <w:left w:type="dxa" w:w="100"/>
              <w:bottom w:type="dxa" w:w="60"/>
              <w:right w:type="dxa" w:w="100"/>
            </w:tcMar>
          </w:tcPr>
          <w:p>
            <w:r>
              <w:rPr>
                <w:b w:val="false"/>
                <w:bCs w:val="false"/>
                <w:color w:val="262626"/>
                <w:sz w:val="19"/>
                <w:szCs w:val="19"/>
              </w:rPr>
              <w:t xml:space="preserve">Backfill job progress.</w:t>
            </w:r>
          </w:p>
        </w:tc>
      </w:tr>
      <w:tr>
        <w:tc>
          <w:tcPr>
            <w:tcW w:type="dxa" w:w="3200"/>
            <w:tcMar>
              <w:top w:type="dxa" w:w="60"/>
              <w:left w:type="dxa" w:w="100"/>
              <w:bottom w:type="dxa" w:w="60"/>
              <w:right w:type="dxa" w:w="100"/>
            </w:tcMar>
          </w:tcPr>
          <w:p>
            <w:r>
              <w:rPr>
                <w:b w:val="false"/>
                <w:bCs w:val="false"/>
                <w:color w:val="262626"/>
                <w:sz w:val="19"/>
                <w:szCs w:val="19"/>
              </w:rPr>
              <w:t xml:space="preserve">/checkpoints/reset</w:t>
            </w:r>
          </w:p>
        </w:tc>
        <w:tc>
          <w:tcPr>
            <w:tcW w:type="dxa" w:w="900"/>
            <w:tcMar>
              <w:top w:type="dxa" w:w="60"/>
              <w:left w:type="dxa" w:w="100"/>
              <w:bottom w:type="dxa" w:w="60"/>
              <w:right w:type="dxa" w:w="100"/>
            </w:tcMar>
          </w:tcPr>
          <w:p>
            <w:r>
              <w:rPr>
                <w:b w:val="false"/>
                <w:bCs w:val="false"/>
                <w:color w:val="262626"/>
                <w:sz w:val="19"/>
                <w:szCs w:val="19"/>
              </w:rPr>
              <w:t xml:space="preserve">POST</w:t>
            </w:r>
          </w:p>
        </w:tc>
        <w:tc>
          <w:tcPr>
            <w:tcW w:type="dxa" w:w="5500"/>
            <w:tcMar>
              <w:top w:type="dxa" w:w="60"/>
              <w:left w:type="dxa" w:w="100"/>
              <w:bottom w:type="dxa" w:w="60"/>
              <w:right w:type="dxa" w:w="100"/>
            </w:tcMar>
          </w:tcPr>
          <w:p>
            <w:r>
              <w:rPr>
                <w:b w:val="false"/>
                <w:bCs w:val="false"/>
                <w:color w:val="262626"/>
                <w:sz w:val="19"/>
                <w:szCs w:val="19"/>
              </w:rPr>
              <w:t xml:space="preserve">Admin-only checkpoint reset (forces reprocessing).</w:t>
            </w:r>
          </w:p>
        </w:tc>
      </w:tr>
      <w:tr>
        <w:tc>
          <w:tcPr>
            <w:tcW w:type="dxa" w:w="3200"/>
            <w:tcMar>
              <w:top w:type="dxa" w:w="60"/>
              <w:left w:type="dxa" w:w="100"/>
              <w:bottom w:type="dxa" w:w="60"/>
              <w:right w:type="dxa" w:w="100"/>
            </w:tcMar>
          </w:tcPr>
          <w:p>
            <w:r>
              <w:rPr>
                <w:b w:val="false"/>
                <w:bCs w:val="false"/>
                <w:color w:val="262626"/>
                <w:sz w:val="19"/>
                <w:szCs w:val="19"/>
              </w:rPr>
              <w:t xml:space="preserve">/schema/drift</w:t>
            </w:r>
          </w:p>
        </w:tc>
        <w:tc>
          <w:tcPr>
            <w:tcW w:type="dxa" w:w="900"/>
            <w:tcMar>
              <w:top w:type="dxa" w:w="60"/>
              <w:left w:type="dxa" w:w="100"/>
              <w:bottom w:type="dxa" w:w="60"/>
              <w:right w:type="dxa" w:w="100"/>
            </w:tcMar>
          </w:tcPr>
          <w:p>
            <w:r>
              <w:rPr>
                <w:b w:val="false"/>
                <w:bCs w:val="false"/>
                <w:color w:val="262626"/>
                <w:sz w:val="19"/>
                <w:szCs w:val="19"/>
              </w:rPr>
              <w:t xml:space="preserve">GET</w:t>
            </w:r>
          </w:p>
        </w:tc>
        <w:tc>
          <w:tcPr>
            <w:tcW w:type="dxa" w:w="5500"/>
            <w:tcMar>
              <w:top w:type="dxa" w:w="60"/>
              <w:left w:type="dxa" w:w="100"/>
              <w:bottom w:type="dxa" w:w="60"/>
              <w:right w:type="dxa" w:w="100"/>
            </w:tcMar>
          </w:tcPr>
          <w:p>
            <w:r>
              <w:rPr>
                <w:b w:val="false"/>
                <w:bCs w:val="false"/>
                <w:color w:val="262626"/>
                <w:sz w:val="19"/>
                <w:szCs w:val="19"/>
              </w:rPr>
              <w:t xml:space="preserve">Messages that failed CDM validation on landing, with quarantine paths.</w:t>
            </w:r>
          </w:p>
        </w:tc>
      </w:tr>
      <w:tr>
        <w:tc>
          <w:tcPr>
            <w:tcW w:type="dxa" w:w="3200"/>
            <w:tcMar>
              <w:top w:type="dxa" w:w="60"/>
              <w:left w:type="dxa" w:w="100"/>
              <w:bottom w:type="dxa" w:w="60"/>
              <w:right w:type="dxa" w:w="100"/>
            </w:tcMar>
          </w:tcPr>
          <w:p>
            <w:r>
              <w:rPr>
                <w:b w:val="false"/>
                <w:bCs w:val="false"/>
                <w:color w:val="262626"/>
                <w:sz w:val="19"/>
                <w:szCs w:val="19"/>
              </w:rPr>
              <w:t xml:space="preserve">/health</w:t>
            </w:r>
          </w:p>
        </w:tc>
        <w:tc>
          <w:tcPr>
            <w:tcW w:type="dxa" w:w="900"/>
            <w:tcMar>
              <w:top w:type="dxa" w:w="60"/>
              <w:left w:type="dxa" w:w="100"/>
              <w:bottom w:type="dxa" w:w="60"/>
              <w:right w:type="dxa" w:w="100"/>
            </w:tcMar>
          </w:tcPr>
          <w:p>
            <w:r>
              <w:rPr>
                <w:b w:val="false"/>
                <w:bCs w:val="false"/>
                <w:color w:val="262626"/>
                <w:sz w:val="19"/>
                <w:szCs w:val="19"/>
              </w:rPr>
              <w:t xml:space="preserve">GET</w:t>
            </w:r>
          </w:p>
        </w:tc>
        <w:tc>
          <w:tcPr>
            <w:tcW w:type="dxa" w:w="5500"/>
            <w:tcMar>
              <w:top w:type="dxa" w:w="60"/>
              <w:left w:type="dxa" w:w="100"/>
              <w:bottom w:type="dxa" w:w="60"/>
              <w:right w:type="dxa" w:w="100"/>
            </w:tcMar>
          </w:tcPr>
          <w:p>
            <w:r>
              <w:rPr>
                <w:b w:val="false"/>
                <w:bCs w:val="false"/>
                <w:color w:val="262626"/>
                <w:sz w:val="19"/>
                <w:szCs w:val="19"/>
              </w:rPr>
              <w:t xml:space="preserve">Includes Event Hub lag (cg-datahub), ADLS and Databricks reachability.</w:t>
            </w:r>
          </w:p>
        </w:tc>
      </w:tr>
    </w:tbl>
    <w:p>
      <w:pPr>
        <w:pStyle w:val="Heading2"/>
        <w:spacing w:after="120" w:before="280"/>
      </w:pPr>
      <w:r>
        <w:t xml:space="preserve">4.4 Cross-Cutting API Policies (APIM)</w:t>
      </w:r>
    </w:p>
    <w:p>
      <w:pPr>
        <w:pStyle w:val="ListParagraph"/>
        <w:numPr>
          <w:ilvl w:val="0"/>
          <w:numId w:val="2"/>
        </w:numPr>
        <w:spacing w:after="60"/>
      </w:pPr>
      <w:r>
        <w:t xml:space="preserve">validate-jwt against Entra ID with audience api://modula-integration; 401 on failure.</w:t>
      </w:r>
    </w:p>
    <w:p>
      <w:pPr>
        <w:pStyle w:val="ListParagraph"/>
        <w:numPr>
          <w:ilvl w:val="0"/>
          <w:numId w:val="2"/>
        </w:numPr>
        <w:spacing w:after="60"/>
      </w:pPr>
      <w:r>
        <w:t xml:space="preserve">Rate limit 1,000 calls/60s per subscription (tunable per API).</w:t>
      </w:r>
    </w:p>
    <w:p>
      <w:pPr>
        <w:pStyle w:val="ListParagraph"/>
        <w:numPr>
          <w:ilvl w:val="0"/>
          <w:numId w:val="2"/>
        </w:numPr>
        <w:spacing w:after="60"/>
      </w:pPr>
      <w:r>
        <w:t xml:space="preserve">x-correlation-id injected when absent; adapters copy it into controlMessage.correlationId if the caller did not set one.</w:t>
      </w:r>
    </w:p>
    <w:p>
      <w:r>
        <w:br w:type="page"/>
      </w:r>
    </w:p>
    <w:p>
      <w:pPr>
        <w:pStyle w:val="Heading1"/>
        <w:spacing w:after="160" w:before="360"/>
      </w:pPr>
      <w:r>
        <w:t xml:space="preserve">5. Security Architecture</w:t>
      </w:r>
    </w:p>
    <w:p>
      <w:pPr>
        <w:pStyle w:val="Heading2"/>
        <w:spacing w:after="120" w:before="280"/>
      </w:pPr>
      <w:r>
        <w:t xml:space="preserve">5.1 Identity and Access</w:t>
      </w:r>
    </w:p>
    <w:p>
      <w:pPr>
        <w:pStyle w:val="ListParagraph"/>
        <w:numPr>
          <w:ilvl w:val="0"/>
          <w:numId w:val="2"/>
        </w:numPr>
        <w:spacing w:after="60"/>
      </w:pPr>
      <w:r>
        <w:t xml:space="preserve">All external callers authenticate via OAuth2 client credentials (Entra ID app registrations); APIM validates JWTs at the edge.</w:t>
      </w:r>
    </w:p>
    <w:p>
      <w:pPr>
        <w:pStyle w:val="ListParagraph"/>
        <w:numPr>
          <w:ilvl w:val="0"/>
          <w:numId w:val="2"/>
        </w:numPr>
        <w:spacing w:after="60"/>
      </w:pPr>
      <w:r>
        <w:t xml:space="preserve">All three Container Apps run with system-assigned managed identities. RBAC (Bicep rbac module): Modula adapter = Event Hubs Data Sender; D365 and DataHub adapters = Event Hubs Data Receiver; all three = Key Vault Secrets User and Storage Blob Data Contributor (checkpoints, bronze, quarantine).</w:t>
      </w:r>
    </w:p>
    <w:p>
      <w:pPr>
        <w:pStyle w:val="ListParagraph"/>
        <w:numPr>
          <w:ilvl w:val="0"/>
          <w:numId w:val="2"/>
        </w:numPr>
        <w:spacing w:after="60"/>
      </w:pPr>
      <w:r>
        <w:t xml:space="preserve">D365 access uses a dedicated service principal stored in Key Vault, scoped to the integration data entities; Databricks access is granted to the DataHub adapter identity via Unity Catalog external location on the bronze container.</w:t>
      </w:r>
    </w:p>
    <w:p>
      <w:pPr>
        <w:pStyle w:val="Heading2"/>
        <w:spacing w:after="120" w:before="280"/>
      </w:pPr>
      <w:r>
        <w:t xml:space="preserve">5.2 Network</w:t>
      </w:r>
    </w:p>
    <w:p>
      <w:pPr>
        <w:pStyle w:val="ListParagraph"/>
        <w:numPr>
          <w:ilvl w:val="0"/>
          <w:numId w:val="2"/>
        </w:numPr>
        <w:spacing w:after="60"/>
      </w:pPr>
      <w:r>
        <w:t xml:space="preserve">Production: Event Hubs (Premium), Key Vault, and Storage have public network access disabled and are reachable only via private endpoints in snet-private-endpoints; private DNS zones resolve privatelink FQDNs.</w:t>
      </w:r>
    </w:p>
    <w:p>
      <w:pPr>
        <w:pStyle w:val="ListParagraph"/>
        <w:numPr>
          <w:ilvl w:val="0"/>
          <w:numId w:val="2"/>
        </w:numPr>
        <w:spacing w:after="60"/>
      </w:pPr>
      <w:r>
        <w:t xml:space="preserve">Container Apps environment is VNet-injected (snet-aca-infra, delegated); APIM is the only public ingress.</w:t>
      </w:r>
    </w:p>
    <w:p>
      <w:pPr>
        <w:pStyle w:val="ListParagraph"/>
        <w:numPr>
          <w:ilvl w:val="0"/>
          <w:numId w:val="2"/>
        </w:numPr>
        <w:spacing w:after="60"/>
      </w:pPr>
      <w:r>
        <w:t xml:space="preserve">TLS 1.2 minimum everywhere; no SAS tokens or shared keys on intra-Azure hops.</w:t>
      </w:r>
    </w:p>
    <w:p>
      <w:pPr>
        <w:pStyle w:val="Heading2"/>
        <w:spacing w:after="120" w:before="280"/>
      </w:pPr>
      <w:r>
        <w:t xml:space="preserve">5.3 Data Protection &amp; Audit</w:t>
      </w:r>
    </w:p>
    <w:p>
      <w:pPr>
        <w:pStyle w:val="ListParagraph"/>
        <w:numPr>
          <w:ilvl w:val="0"/>
          <w:numId w:val="2"/>
        </w:numPr>
        <w:spacing w:after="60"/>
      </w:pPr>
      <w:r>
        <w:t xml:space="preserve">Encryption at rest on Event Hubs, Storage, and Service Bus (platform-managed keys; CMK possible via Key Vault if compliance requires).</w:t>
      </w:r>
    </w:p>
    <w:p>
      <w:pPr>
        <w:pStyle w:val="ListParagraph"/>
        <w:numPr>
          <w:ilvl w:val="0"/>
          <w:numId w:val="2"/>
        </w:numPr>
        <w:spacing w:after="60"/>
      </w:pPr>
      <w:r>
        <w:t xml:space="preserve">Capture archive provides an immutable audit trail of every event as published; quarantine container preserves rejected messages for forensics.</w:t>
      </w:r>
    </w:p>
    <w:p>
      <w:pPr>
        <w:pStyle w:val="ListParagraph"/>
        <w:numPr>
          <w:ilvl w:val="0"/>
          <w:numId w:val="2"/>
        </w:numPr>
        <w:spacing w:after="60"/>
      </w:pPr>
      <w:r>
        <w:t xml:space="preserve">Key Vault has purge protection and soft delete enabled; access is RBAC-authorized, no access policies.</w:t>
      </w:r>
    </w:p>
    <w:p>
      <w:pPr>
        <w:pStyle w:val="Heading1"/>
        <w:spacing w:after="160" w:before="360"/>
      </w:pPr>
      <w:r>
        <w:t xml:space="preserve">6. Resilience &amp; Error Handling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4E79" w:val="clear"/>
            <w:tcMar>
              <w:top w:type="dxa" w:w="60"/>
              <w:left w:type="dxa" w:w="100"/>
              <w:bottom w:type="dxa" w:w="60"/>
              <w:right w:type="dxa" w:w="100"/>
            </w:tcMar>
          </w:tcPr>
          <w:p>
            <w:r>
              <w:rPr>
                <w:b/>
                <w:bCs/>
                <w:color w:val="FFFFFF"/>
                <w:sz w:val="19"/>
                <w:szCs w:val="19"/>
              </w:rPr>
              <w:t xml:space="preserve">Failure</w:t>
            </w:r>
          </w:p>
        </w:tc>
        <w:tc>
          <w:tcPr>
            <w:tcW w:type="dxa" w:w="6200"/>
            <w:shd w:fill="1F4E79" w:val="clear"/>
            <w:tcMar>
              <w:top w:type="dxa" w:w="60"/>
              <w:left w:type="dxa" w:w="100"/>
              <w:bottom w:type="dxa" w:w="60"/>
              <w:right w:type="dxa" w:w="100"/>
            </w:tcMar>
          </w:tcPr>
          <w:p>
            <w:r>
              <w:rPr>
                <w:b/>
                <w:bCs/>
                <w:color w:val="FFFFFF"/>
                <w:sz w:val="19"/>
                <w:szCs w:val="19"/>
              </w:rPr>
              <w:t xml:space="preserve">Behavior</w:t>
            </w:r>
          </w:p>
        </w:tc>
      </w:tr>
      <w:tr>
        <w:tc>
          <w:tcPr>
            <w:tcW w:type="dxa" w:w="3400"/>
            <w:tcMar>
              <w:top w:type="dxa" w:w="60"/>
              <w:left w:type="dxa" w:w="100"/>
              <w:bottom w:type="dxa" w:w="60"/>
              <w:right w:type="dxa" w:w="100"/>
            </w:tcMar>
          </w:tcPr>
          <w:p>
            <w:r>
              <w:rPr>
                <w:b w:val="false"/>
                <w:bCs w:val="false"/>
                <w:color w:val="262626"/>
                <w:sz w:val="19"/>
                <w:szCs w:val="19"/>
              </w:rPr>
              <w:t xml:space="preserve">Modula → adapter call fails</w:t>
            </w:r>
          </w:p>
        </w:tc>
        <w:tc>
          <w:tcPr>
            <w:tcW w:type="dxa" w:w="6200"/>
            <w:tcMar>
              <w:top w:type="dxa" w:w="60"/>
              <w:left w:type="dxa" w:w="100"/>
              <w:bottom w:type="dxa" w:w="60"/>
              <w:right w:type="dxa" w:w="100"/>
            </w:tcMar>
          </w:tcPr>
          <w:p>
            <w:r>
              <w:rPr>
                <w:b w:val="false"/>
                <w:bCs w:val="false"/>
                <w:color w:val="262626"/>
                <w:sz w:val="19"/>
                <w:szCs w:val="19"/>
              </w:rPr>
              <w:t xml:space="preserve">Modula/middleware retries with exponential backoff against the 503; idempotency key makes retries safe.</w:t>
            </w:r>
          </w:p>
        </w:tc>
      </w:tr>
      <w:tr>
        <w:tc>
          <w:tcPr>
            <w:tcW w:type="dxa" w:w="3400"/>
            <w:tcMar>
              <w:top w:type="dxa" w:w="60"/>
              <w:left w:type="dxa" w:w="100"/>
              <w:bottom w:type="dxa" w:w="60"/>
              <w:right w:type="dxa" w:w="100"/>
            </w:tcMar>
          </w:tcPr>
          <w:p>
            <w:r>
              <w:rPr>
                <w:b w:val="false"/>
                <w:bCs w:val="false"/>
                <w:color w:val="262626"/>
                <w:sz w:val="19"/>
                <w:szCs w:val="19"/>
              </w:rPr>
              <w:t xml:space="preserve">Schema validation failure at ingress</w:t>
            </w:r>
          </w:p>
        </w:tc>
        <w:tc>
          <w:tcPr>
            <w:tcW w:type="dxa" w:w="6200"/>
            <w:tcMar>
              <w:top w:type="dxa" w:w="60"/>
              <w:left w:type="dxa" w:w="100"/>
              <w:bottom w:type="dxa" w:w="60"/>
              <w:right w:type="dxa" w:w="100"/>
            </w:tcMar>
          </w:tcPr>
          <w:p>
            <w:r>
              <w:rPr>
                <w:b w:val="false"/>
                <w:bCs w:val="false"/>
                <w:color w:val="262626"/>
                <w:sz w:val="19"/>
                <w:szCs w:val="19"/>
              </w:rPr>
              <w:t xml:space="preserve">400 with field-level errors; nothing enters the pipe. Drift at the consumer lands in quarantine and surfaces via /schema/drift.</w:t>
            </w:r>
          </w:p>
        </w:tc>
      </w:tr>
      <w:tr>
        <w:tc>
          <w:tcPr>
            <w:tcW w:type="dxa" w:w="3400"/>
            <w:tcMar>
              <w:top w:type="dxa" w:w="60"/>
              <w:left w:type="dxa" w:w="100"/>
              <w:bottom w:type="dxa" w:w="60"/>
              <w:right w:type="dxa" w:w="100"/>
            </w:tcMar>
          </w:tcPr>
          <w:p>
            <w:r>
              <w:rPr>
                <w:b w:val="false"/>
                <w:bCs w:val="false"/>
                <w:color w:val="262626"/>
                <w:sz w:val="19"/>
                <w:szCs w:val="19"/>
              </w:rPr>
              <w:t xml:space="preserve">Event Hub unavailable</w:t>
            </w:r>
          </w:p>
        </w:tc>
        <w:tc>
          <w:tcPr>
            <w:tcW w:type="dxa" w:w="6200"/>
            <w:tcMar>
              <w:top w:type="dxa" w:w="60"/>
              <w:left w:type="dxa" w:w="100"/>
              <w:bottom w:type="dxa" w:w="60"/>
              <w:right w:type="dxa" w:w="100"/>
            </w:tcMar>
          </w:tcPr>
          <w:p>
            <w:r>
              <w:rPr>
                <w:b w:val="false"/>
                <w:bCs w:val="false"/>
                <w:color w:val="262626"/>
                <w:sz w:val="19"/>
                <w:szCs w:val="19"/>
              </w:rPr>
              <w:t xml:space="preserve">Adapter returns 503; caller retries. Premium tier is zone-redundant in prod.</w:t>
            </w:r>
          </w:p>
        </w:tc>
      </w:tr>
      <w:tr>
        <w:tc>
          <w:tcPr>
            <w:tcW w:type="dxa" w:w="3400"/>
            <w:tcMar>
              <w:top w:type="dxa" w:w="60"/>
              <w:left w:type="dxa" w:w="100"/>
              <w:bottom w:type="dxa" w:w="60"/>
              <w:right w:type="dxa" w:w="100"/>
            </w:tcMar>
          </w:tcPr>
          <w:p>
            <w:r>
              <w:rPr>
                <w:b w:val="false"/>
                <w:bCs w:val="false"/>
                <w:color w:val="262626"/>
                <w:sz w:val="19"/>
                <w:szCs w:val="19"/>
              </w:rPr>
              <w:t xml:space="preserve">D365 transient error (throttle, timeout)</w:t>
            </w:r>
          </w:p>
        </w:tc>
        <w:tc>
          <w:tcPr>
            <w:tcW w:type="dxa" w:w="6200"/>
            <w:tcMar>
              <w:top w:type="dxa" w:w="60"/>
              <w:left w:type="dxa" w:w="100"/>
              <w:bottom w:type="dxa" w:w="60"/>
              <w:right w:type="dxa" w:w="100"/>
            </w:tcMar>
          </w:tcPr>
          <w:p>
            <w:r>
              <w:rPr>
                <w:b w:val="false"/>
                <w:bCs w:val="false"/>
                <w:color w:val="262626"/>
                <w:sz w:val="19"/>
                <w:szCs w:val="19"/>
              </w:rPr>
              <w:t xml:space="preserve">Consumer retries with exponential backoff + jitter; retryCount incremented; checkpoint held so no loss.</w:t>
            </w:r>
          </w:p>
        </w:tc>
      </w:tr>
      <w:tr>
        <w:tc>
          <w:tcPr>
            <w:tcW w:type="dxa" w:w="3400"/>
            <w:tcMar>
              <w:top w:type="dxa" w:w="60"/>
              <w:left w:type="dxa" w:w="100"/>
              <w:bottom w:type="dxa" w:w="60"/>
              <w:right w:type="dxa" w:w="100"/>
            </w:tcMar>
          </w:tcPr>
          <w:p>
            <w:r>
              <w:rPr>
                <w:b w:val="false"/>
                <w:bCs w:val="false"/>
                <w:color w:val="262626"/>
                <w:sz w:val="19"/>
                <w:szCs w:val="19"/>
              </w:rPr>
              <w:t xml:space="preserve">D365 permanent error (unmapped item, validation)</w:t>
            </w:r>
          </w:p>
        </w:tc>
        <w:tc>
          <w:tcPr>
            <w:tcW w:type="dxa" w:w="6200"/>
            <w:tcMar>
              <w:top w:type="dxa" w:w="60"/>
              <w:left w:type="dxa" w:w="100"/>
              <w:bottom w:type="dxa" w:w="60"/>
              <w:right w:type="dxa" w:w="100"/>
            </w:tcMar>
          </w:tcPr>
          <w:p>
            <w:r>
              <w:rPr>
                <w:b w:val="false"/>
                <w:bCs w:val="false"/>
                <w:color w:val="262626"/>
                <w:sz w:val="19"/>
                <w:szCs w:val="19"/>
              </w:rPr>
              <w:t xml:space="preserve">Message escalates to Service Bus dlq-d365 with error detail; operator resolves via dead-letter API (RETRY/DISCARD); ordering for that partition key resumes after resolution or discard.</w:t>
            </w:r>
          </w:p>
        </w:tc>
      </w:tr>
      <w:tr>
        <w:tc>
          <w:tcPr>
            <w:tcW w:type="dxa" w:w="3400"/>
            <w:tcMar>
              <w:top w:type="dxa" w:w="60"/>
              <w:left w:type="dxa" w:w="100"/>
              <w:bottom w:type="dxa" w:w="60"/>
              <w:right w:type="dxa" w:w="100"/>
            </w:tcMar>
          </w:tcPr>
          <w:p>
            <w:r>
              <w:rPr>
                <w:b w:val="false"/>
                <w:bCs w:val="false"/>
                <w:color w:val="262626"/>
                <w:sz w:val="19"/>
                <w:szCs w:val="19"/>
              </w:rPr>
              <w:t xml:space="preserve">DataHub landing failure</w:t>
            </w:r>
          </w:p>
        </w:tc>
        <w:tc>
          <w:tcPr>
            <w:tcW w:type="dxa" w:w="6200"/>
            <w:tcMar>
              <w:top w:type="dxa" w:w="60"/>
              <w:left w:type="dxa" w:w="100"/>
              <w:bottom w:type="dxa" w:w="60"/>
              <w:right w:type="dxa" w:w="100"/>
            </w:tcMar>
          </w:tcPr>
          <w:p>
            <w:r>
              <w:rPr>
                <w:b w:val="false"/>
                <w:bCs w:val="false"/>
                <w:color w:val="262626"/>
                <w:sz w:val="19"/>
                <w:szCs w:val="19"/>
              </w:rPr>
              <w:t xml:space="preserve">Same pattern via dlq-datahub; checkpoint store guarantees no gaps or duplicates in bronze.</w:t>
            </w:r>
          </w:p>
        </w:tc>
      </w:tr>
      <w:tr>
        <w:tc>
          <w:tcPr>
            <w:tcW w:type="dxa" w:w="3400"/>
            <w:tcMar>
              <w:top w:type="dxa" w:w="60"/>
              <w:left w:type="dxa" w:w="100"/>
              <w:bottom w:type="dxa" w:w="60"/>
              <w:right w:type="dxa" w:w="100"/>
            </w:tcMar>
          </w:tcPr>
          <w:p>
            <w:r>
              <w:rPr>
                <w:b w:val="false"/>
                <w:bCs w:val="false"/>
                <w:color w:val="262626"/>
                <w:sz w:val="19"/>
                <w:szCs w:val="19"/>
              </w:rPr>
              <w:t xml:space="preserve">Consumer crash / redeploy</w:t>
            </w:r>
          </w:p>
        </w:tc>
        <w:tc>
          <w:tcPr>
            <w:tcW w:type="dxa" w:w="6200"/>
            <w:tcMar>
              <w:top w:type="dxa" w:w="60"/>
              <w:left w:type="dxa" w:w="100"/>
              <w:bottom w:type="dxa" w:w="60"/>
              <w:right w:type="dxa" w:w="100"/>
            </w:tcMar>
          </w:tcPr>
          <w:p>
            <w:r>
              <w:rPr>
                <w:b w:val="false"/>
                <w:bCs w:val="false"/>
                <w:color w:val="262626"/>
                <w:sz w:val="19"/>
                <w:szCs w:val="19"/>
              </w:rPr>
              <w:t xml:space="preserve">Checkpoints in ADLS mean the replacement replica resumes exactly where processing stopped.</w:t>
            </w:r>
          </w:p>
        </w:tc>
      </w:tr>
      <w:tr>
        <w:tc>
          <w:tcPr>
            <w:tcW w:type="dxa" w:w="3400"/>
            <w:tcMar>
              <w:top w:type="dxa" w:w="60"/>
              <w:left w:type="dxa" w:w="100"/>
              <w:bottom w:type="dxa" w:w="60"/>
              <w:right w:type="dxa" w:w="100"/>
            </w:tcMar>
          </w:tcPr>
          <w:p>
            <w:r>
              <w:rPr>
                <w:b w:val="false"/>
                <w:bCs w:val="false"/>
                <w:color w:val="262626"/>
                <w:sz w:val="19"/>
                <w:szCs w:val="19"/>
              </w:rPr>
              <w:t xml:space="preserve">Disaster / rebuild</w:t>
            </w:r>
          </w:p>
        </w:tc>
        <w:tc>
          <w:tcPr>
            <w:tcW w:type="dxa" w:w="6200"/>
            <w:tcMar>
              <w:top w:type="dxa" w:w="60"/>
              <w:left w:type="dxa" w:w="100"/>
              <w:bottom w:type="dxa" w:w="60"/>
              <w:right w:type="dxa" w:w="100"/>
            </w:tcMar>
          </w:tcPr>
          <w:p>
            <w:r>
              <w:rPr>
                <w:b w:val="false"/>
                <w:bCs w:val="false"/>
                <w:color w:val="262626"/>
                <w:sz w:val="19"/>
                <w:szCs w:val="19"/>
              </w:rPr>
              <w:t xml:space="preserve">Backfill API replays any time range from the Capture archive; D365 replay API supports the same by messageId or range.</w:t>
            </w:r>
          </w:p>
        </w:tc>
      </w:tr>
    </w:tbl>
    <w:p>
      <w:pPr>
        <w:spacing w:after="120"/>
      </w:pPr>
      <w:r>
        <w:t xml:space="preserve">Recovery objectives: RPO ≈ 0 for the pipe itself (Capture archives at publish); RTO for a single consumer is redeploy time plus catch-up, with the other consumer unaffected.</w:t>
      </w:r>
    </w:p>
    <w:p>
      <w:pPr>
        <w:pStyle w:val="Heading1"/>
        <w:spacing w:after="160" w:before="360"/>
      </w:pPr>
      <w:r>
        <w:t xml:space="preserve">7. Observability &amp; Operations</w:t>
      </w:r>
    </w:p>
    <w:p>
      <w:pPr>
        <w:pStyle w:val="ListParagraph"/>
        <w:numPr>
          <w:ilvl w:val="0"/>
          <w:numId w:val="2"/>
        </w:numPr>
        <w:spacing w:after="60"/>
      </w:pPr>
      <w:r>
        <w:t xml:space="preserve">Distributed tracing: correlationId flows Modula → APIM → producer → Event Hub (as an application property) → consumers → D365/ADLS, and is stamped on every App Insights telemetry item; one query reconstructs any transaction end to end.</w:t>
      </w:r>
    </w:p>
    <w:p>
      <w:pPr>
        <w:pStyle w:val="ListParagraph"/>
        <w:numPr>
          <w:ilvl w:val="0"/>
          <w:numId w:val="2"/>
        </w:numPr>
        <w:spacing w:after="60"/>
      </w:pPr>
      <w:r>
        <w:t xml:space="preserve">Metrics: consumer lag per consumer group (also the KEDA scale signal), publish/consume rates, D365 posting latency, DLQ depth, quarantine count.</w:t>
      </w:r>
    </w:p>
    <w:p>
      <w:pPr>
        <w:pStyle w:val="ListParagraph"/>
        <w:numPr>
          <w:ilvl w:val="0"/>
          <w:numId w:val="2"/>
        </w:numPr>
        <w:spacing w:after="60"/>
      </w:pPr>
      <w:r>
        <w:t xml:space="preserve">Alerts (action group ag-modint): sustained consumer lag, any DLQ depth &gt; 0 for 15 minutes, schema-drift occurrences, adapter health probe failures.</w:t>
      </w:r>
    </w:p>
    <w:p>
      <w:pPr>
        <w:pStyle w:val="ListParagraph"/>
        <w:numPr>
          <w:ilvl w:val="0"/>
          <w:numId w:val="2"/>
        </w:numPr>
        <w:spacing w:after="60"/>
      </w:pPr>
      <w:r>
        <w:t xml:space="preserve">Dashboards: an operations workbook over Log Analytics showing the pipe end to end; /landing/status and /health endpoints back a lightweight status page.</w:t>
      </w:r>
    </w:p>
    <w:p>
      <w:pPr>
        <w:pStyle w:val="ListParagraph"/>
        <w:numPr>
          <w:ilvl w:val="0"/>
          <w:numId w:val="2"/>
        </w:numPr>
        <w:spacing w:after="60"/>
      </w:pPr>
      <w:r>
        <w:t xml:space="preserve">Runbooks: dead-letter triage (list → diagnose → fix mapping/master data → RETRY), backfill execution, checkpoint reset (admin, change-controlled).</w:t>
      </w:r>
    </w:p>
    <w:p>
      <w:pPr>
        <w:pStyle w:val="Heading1"/>
        <w:spacing w:after="160" w:before="360"/>
      </w:pPr>
      <w:r>
        <w:t xml:space="preserve">8. Infrastructure as Code &amp; Deployment</w:t>
      </w:r>
    </w:p>
    <w:p>
      <w:pPr>
        <w:pStyle w:val="Heading2"/>
        <w:spacing w:after="120" w:before="280"/>
      </w:pPr>
      <w:r>
        <w:t xml:space="preserve">8.1 Bicep Structure</w:t>
      </w:r>
    </w:p>
    <w:p>
      <w:pPr>
        <w:spacing w:after="120"/>
      </w:pPr>
      <w:r>
        <w:t xml:space="preserve">Subscription-scope main.bicep creates the resource group and composes eight modules: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60"/>
              <w:left w:type="dxa" w:w="100"/>
              <w:bottom w:type="dxa" w:w="60"/>
              <w:right w:type="dxa" w:w="100"/>
            </w:tcMar>
          </w:tcPr>
          <w:p>
            <w:r>
              <w:rPr>
                <w:b/>
                <w:bCs/>
                <w:color w:val="FFFFFF"/>
                <w:sz w:val="19"/>
                <w:szCs w:val="19"/>
              </w:rPr>
              <w:t xml:space="preserve">Module</w:t>
            </w:r>
          </w:p>
        </w:tc>
        <w:tc>
          <w:tcPr>
            <w:tcW w:type="dxa" w:w="7400"/>
            <w:shd w:fill="1F4E79" w:val="clear"/>
            <w:tcMar>
              <w:top w:type="dxa" w:w="60"/>
              <w:left w:type="dxa" w:w="100"/>
              <w:bottom w:type="dxa" w:w="60"/>
              <w:right w:type="dxa" w:w="100"/>
            </w:tcMar>
          </w:tcPr>
          <w:p>
            <w:r>
              <w:rPr>
                <w:b/>
                <w:bCs/>
                <w:color w:val="FFFFFF"/>
                <w:sz w:val="19"/>
                <w:szCs w:val="19"/>
              </w:rPr>
              <w:t xml:space="preserve">Provisions</w:t>
            </w:r>
          </w:p>
        </w:tc>
      </w:tr>
      <w:tr>
        <w:tc>
          <w:tcPr>
            <w:tcW w:type="dxa" w:w="2200"/>
            <w:tcMar>
              <w:top w:type="dxa" w:w="60"/>
              <w:left w:type="dxa" w:w="100"/>
              <w:bottom w:type="dxa" w:w="60"/>
              <w:right w:type="dxa" w:w="100"/>
            </w:tcMar>
          </w:tcPr>
          <w:p>
            <w:r>
              <w:rPr>
                <w:b w:val="false"/>
                <w:bCs w:val="false"/>
                <w:color w:val="262626"/>
                <w:sz w:val="19"/>
                <w:szCs w:val="19"/>
              </w:rPr>
              <w:t xml:space="preserve">network</w:t>
            </w:r>
          </w:p>
        </w:tc>
        <w:tc>
          <w:tcPr>
            <w:tcW w:type="dxa" w:w="7400"/>
            <w:tcMar>
              <w:top w:type="dxa" w:w="60"/>
              <w:left w:type="dxa" w:w="100"/>
              <w:bottom w:type="dxa" w:w="60"/>
              <w:right w:type="dxa" w:w="100"/>
            </w:tcMar>
          </w:tcPr>
          <w:p>
            <w:r>
              <w:rPr>
                <w:b w:val="false"/>
                <w:bCs w:val="false"/>
                <w:color w:val="262626"/>
                <w:sz w:val="19"/>
                <w:szCs w:val="19"/>
              </w:rPr>
              <w:t xml:space="preserve">VNet 10.40.0.0/22; ACA-delegated subnet; private-endpoint subnet; four private DNS zones with VNet links.</w:t>
            </w:r>
          </w:p>
        </w:tc>
      </w:tr>
      <w:tr>
        <w:tc>
          <w:tcPr>
            <w:tcW w:type="dxa" w:w="2200"/>
            <w:tcMar>
              <w:top w:type="dxa" w:w="60"/>
              <w:left w:type="dxa" w:w="100"/>
              <w:bottom w:type="dxa" w:w="60"/>
              <w:right w:type="dxa" w:w="100"/>
            </w:tcMar>
          </w:tcPr>
          <w:p>
            <w:r>
              <w:rPr>
                <w:b w:val="false"/>
                <w:bCs w:val="false"/>
                <w:color w:val="262626"/>
                <w:sz w:val="19"/>
                <w:szCs w:val="19"/>
              </w:rPr>
              <w:t xml:space="preserve">monitoring</w:t>
            </w:r>
          </w:p>
        </w:tc>
        <w:tc>
          <w:tcPr>
            <w:tcW w:type="dxa" w:w="7400"/>
            <w:tcMar>
              <w:top w:type="dxa" w:w="60"/>
              <w:left w:type="dxa" w:w="100"/>
              <w:bottom w:type="dxa" w:w="60"/>
              <w:right w:type="dxa" w:w="100"/>
            </w:tcMar>
          </w:tcPr>
          <w:p>
            <w:r>
              <w:rPr>
                <w:b w:val="false"/>
                <w:bCs w:val="false"/>
                <w:color w:val="262626"/>
                <w:sz w:val="19"/>
                <w:szCs w:val="19"/>
              </w:rPr>
              <w:t xml:space="preserve">Log Analytics workspace (30/90-day retention dev/prod), App Insights (workspace-based), alert action group.</w:t>
            </w:r>
          </w:p>
        </w:tc>
      </w:tr>
      <w:tr>
        <w:tc>
          <w:tcPr>
            <w:tcW w:type="dxa" w:w="2200"/>
            <w:tcMar>
              <w:top w:type="dxa" w:w="60"/>
              <w:left w:type="dxa" w:w="100"/>
              <w:bottom w:type="dxa" w:w="60"/>
              <w:right w:type="dxa" w:w="100"/>
            </w:tcMar>
          </w:tcPr>
          <w:p>
            <w:r>
              <w:rPr>
                <w:b w:val="false"/>
                <w:bCs w:val="false"/>
                <w:color w:val="262626"/>
                <w:sz w:val="19"/>
                <w:szCs w:val="19"/>
              </w:rPr>
              <w:t xml:space="preserve">keyvault</w:t>
            </w:r>
          </w:p>
        </w:tc>
        <w:tc>
          <w:tcPr>
            <w:tcW w:type="dxa" w:w="7400"/>
            <w:tcMar>
              <w:top w:type="dxa" w:w="60"/>
              <w:left w:type="dxa" w:w="100"/>
              <w:bottom w:type="dxa" w:w="60"/>
              <w:right w:type="dxa" w:w="100"/>
            </w:tcMar>
          </w:tcPr>
          <w:p>
            <w:r>
              <w:rPr>
                <w:b w:val="false"/>
                <w:bCs w:val="false"/>
                <w:color w:val="262626"/>
                <w:sz w:val="19"/>
                <w:szCs w:val="19"/>
              </w:rPr>
              <w:t xml:space="preserve">RBAC-authorized vault, soft delete + purge protection; private endpoint in prod.</w:t>
            </w:r>
          </w:p>
        </w:tc>
      </w:tr>
      <w:tr>
        <w:tc>
          <w:tcPr>
            <w:tcW w:type="dxa" w:w="2200"/>
            <w:tcMar>
              <w:top w:type="dxa" w:w="60"/>
              <w:left w:type="dxa" w:w="100"/>
              <w:bottom w:type="dxa" w:w="60"/>
              <w:right w:type="dxa" w:w="100"/>
            </w:tcMar>
          </w:tcPr>
          <w:p>
            <w:r>
              <w:rPr>
                <w:b w:val="false"/>
                <w:bCs w:val="false"/>
                <w:color w:val="262626"/>
                <w:sz w:val="19"/>
                <w:szCs w:val="19"/>
              </w:rPr>
              <w:t xml:space="preserve">storage</w:t>
            </w:r>
          </w:p>
        </w:tc>
        <w:tc>
          <w:tcPr>
            <w:tcW w:type="dxa" w:w="7400"/>
            <w:tcMar>
              <w:top w:type="dxa" w:w="60"/>
              <w:left w:type="dxa" w:w="100"/>
              <w:bottom w:type="dxa" w:w="60"/>
              <w:right w:type="dxa" w:w="100"/>
            </w:tcMar>
          </w:tcPr>
          <w:p>
            <w:r>
              <w:rPr>
                <w:b w:val="false"/>
                <w:bCs w:val="false"/>
                <w:color w:val="262626"/>
                <w:sz w:val="19"/>
                <w:szCs w:val="19"/>
              </w:rPr>
              <w:t xml:space="preserve">ADLS Gen2 (HNS on); containers eventhub-capture, checkpoints, bronze, quarantine; ZRS + private endpoint in prod.</w:t>
            </w:r>
          </w:p>
        </w:tc>
      </w:tr>
      <w:tr>
        <w:tc>
          <w:tcPr>
            <w:tcW w:type="dxa" w:w="2200"/>
            <w:tcMar>
              <w:top w:type="dxa" w:w="60"/>
              <w:left w:type="dxa" w:w="100"/>
              <w:bottom w:type="dxa" w:w="60"/>
              <w:right w:type="dxa" w:w="100"/>
            </w:tcMar>
          </w:tcPr>
          <w:p>
            <w:r>
              <w:rPr>
                <w:b w:val="false"/>
                <w:bCs w:val="false"/>
                <w:color w:val="262626"/>
                <w:sz w:val="19"/>
                <w:szCs w:val="19"/>
              </w:rPr>
              <w:t xml:space="preserve">eventhub</w:t>
            </w:r>
          </w:p>
        </w:tc>
        <w:tc>
          <w:tcPr>
            <w:tcW w:type="dxa" w:w="7400"/>
            <w:tcMar>
              <w:top w:type="dxa" w:w="60"/>
              <w:left w:type="dxa" w:w="100"/>
              <w:bottom w:type="dxa" w:w="60"/>
              <w:right w:type="dxa" w:w="100"/>
            </w:tcMar>
          </w:tcPr>
          <w:p>
            <w:r>
              <w:rPr>
                <w:b w:val="false"/>
                <w:bCs w:val="false"/>
                <w:color w:val="262626"/>
                <w:sz w:val="19"/>
                <w:szCs w:val="19"/>
              </w:rPr>
              <w:t xml:space="preserve">Namespace (Standard dev / Premium zone-redundant prod), hub inventory-events (8 partitions, 7-day retention, Capture to ADLS), consumer groups cg-d365 and cg-datahub, JSON schema group inventory-cdm (Backward).</w:t>
            </w:r>
          </w:p>
        </w:tc>
      </w:tr>
      <w:tr>
        <w:tc>
          <w:tcPr>
            <w:tcW w:type="dxa" w:w="2200"/>
            <w:tcMar>
              <w:top w:type="dxa" w:w="60"/>
              <w:left w:type="dxa" w:w="100"/>
              <w:bottom w:type="dxa" w:w="60"/>
              <w:right w:type="dxa" w:w="100"/>
            </w:tcMar>
          </w:tcPr>
          <w:p>
            <w:r>
              <w:rPr>
                <w:b w:val="false"/>
                <w:bCs w:val="false"/>
                <w:color w:val="262626"/>
                <w:sz w:val="19"/>
                <w:szCs w:val="19"/>
              </w:rPr>
              <w:t xml:space="preserve">servicebus</w:t>
            </w:r>
          </w:p>
        </w:tc>
        <w:tc>
          <w:tcPr>
            <w:tcW w:type="dxa" w:w="7400"/>
            <w:tcMar>
              <w:top w:type="dxa" w:w="60"/>
              <w:left w:type="dxa" w:w="100"/>
              <w:bottom w:type="dxa" w:w="60"/>
              <w:right w:type="dxa" w:w="100"/>
            </w:tcMar>
          </w:tcPr>
          <w:p>
            <w:r>
              <w:rPr>
                <w:b w:val="false"/>
                <w:bCs w:val="false"/>
                <w:color w:val="262626"/>
                <w:sz w:val="19"/>
                <w:szCs w:val="19"/>
              </w:rPr>
              <w:t xml:space="preserve">Standard namespace; queues dlq-d365 and dlq-datahub (14-day TTL).</w:t>
            </w:r>
          </w:p>
        </w:tc>
      </w:tr>
      <w:tr>
        <w:tc>
          <w:tcPr>
            <w:tcW w:type="dxa" w:w="2200"/>
            <w:tcMar>
              <w:top w:type="dxa" w:w="60"/>
              <w:left w:type="dxa" w:w="100"/>
              <w:bottom w:type="dxa" w:w="60"/>
              <w:right w:type="dxa" w:w="100"/>
            </w:tcMar>
          </w:tcPr>
          <w:p>
            <w:r>
              <w:rPr>
                <w:b w:val="false"/>
                <w:bCs w:val="false"/>
                <w:color w:val="262626"/>
                <w:sz w:val="19"/>
                <w:szCs w:val="19"/>
              </w:rPr>
              <w:t xml:space="preserve">containerapps</w:t>
            </w:r>
          </w:p>
        </w:tc>
        <w:tc>
          <w:tcPr>
            <w:tcW w:type="dxa" w:w="7400"/>
            <w:tcMar>
              <w:top w:type="dxa" w:w="60"/>
              <w:left w:type="dxa" w:w="100"/>
              <w:bottom w:type="dxa" w:w="60"/>
              <w:right w:type="dxa" w:w="100"/>
            </w:tcMar>
          </w:tcPr>
          <w:p>
            <w:r>
              <w:rPr>
                <w:b w:val="false"/>
                <w:bCs w:val="false"/>
                <w:color w:val="262626"/>
                <w:sz w:val="19"/>
                <w:szCs w:val="19"/>
              </w:rPr>
              <w:t xml:space="preserve">ACR, Container Apps environment (VNet-injected, zone-redundant prod), three apps with system identities, health probes, KEDA rules (HTTP concurrency for producer; Event Hub unprocessed-event threshold 64 for consumers), common environment variables.</w:t>
            </w:r>
          </w:p>
        </w:tc>
      </w:tr>
      <w:tr>
        <w:tc>
          <w:tcPr>
            <w:tcW w:type="dxa" w:w="2200"/>
            <w:tcMar>
              <w:top w:type="dxa" w:w="60"/>
              <w:left w:type="dxa" w:w="100"/>
              <w:bottom w:type="dxa" w:w="60"/>
              <w:right w:type="dxa" w:w="100"/>
            </w:tcMar>
          </w:tcPr>
          <w:p>
            <w:r>
              <w:rPr>
                <w:b w:val="false"/>
                <w:bCs w:val="false"/>
                <w:color w:val="262626"/>
                <w:sz w:val="19"/>
                <w:szCs w:val="19"/>
              </w:rPr>
              <w:t xml:space="preserve">apim + rbac</w:t>
            </w:r>
          </w:p>
        </w:tc>
        <w:tc>
          <w:tcPr>
            <w:tcW w:type="dxa" w:w="7400"/>
            <w:tcMar>
              <w:top w:type="dxa" w:w="60"/>
              <w:left w:type="dxa" w:w="100"/>
              <w:bottom w:type="dxa" w:w="60"/>
              <w:right w:type="dxa" w:w="100"/>
            </w:tcMar>
          </w:tcPr>
          <w:p>
            <w:r>
              <w:rPr>
                <w:b w:val="false"/>
                <w:bCs w:val="false"/>
                <w:color w:val="262626"/>
                <w:sz w:val="19"/>
                <w:szCs w:val="19"/>
              </w:rPr>
              <w:t xml:space="preserve">APIM (Developer dev / Standard prod), App Insights logger, three API definitions with backends, global JWT/rate-limit/correlation policy; all managed-identity role assignments.</w:t>
            </w:r>
          </w:p>
        </w:tc>
      </w:tr>
    </w:tbl>
    <w:p>
      <w:pPr>
        <w:pStyle w:val="Heading2"/>
        <w:spacing w:after="120" w:before="280"/>
      </w:pPr>
      <w:r>
        <w:t xml:space="preserve">8.2 Environments</w:t>
      </w:r>
    </w:p>
    <w:p>
      <w:pPr>
        <w:spacing w:after="120"/>
      </w:pPr>
      <w:r>
        <w:t xml:space="preserve">One parameter (env = dev | test | prod) drives sizing and posture. Prod differences: Premium Event Hubs, zone redundancy (Event Hubs, ACA), ZRS storage, private endpoints with public access disabled, APIM Standard, 90-day log retention.</w:t>
      </w:r>
    </w:p>
    <w:p>
      <w:pPr>
        <w:pStyle w:val="Heading2"/>
        <w:spacing w:after="120" w:before="280"/>
      </w:pPr>
      <w:r>
        <w:t xml:space="preserve">8.3 CI/CD Pipeline</w:t>
      </w:r>
    </w:p>
    <w:p>
      <w:pPr>
        <w:spacing w:after="120"/>
      </w:pPr>
      <w:r>
        <w:t xml:space="preserve">GitHub Actions workflow (iac/deploy-apis.yaml) in the azure-modula-application repo, using OIDC federated credentials (no stored secrets):</w:t>
      </w:r>
    </w:p>
    <w:p>
      <w:pPr>
        <w:pStyle w:val="ListParagraph"/>
        <w:numPr>
          <w:ilvl w:val="0"/>
          <w:numId w:val="2"/>
        </w:numPr>
        <w:spacing w:after="60"/>
      </w:pPr>
      <w:r>
        <w:t xml:space="preserve">infra job: az deployment sub create with main.bicep.</w:t>
      </w:r>
    </w:p>
    <w:p>
      <w:pPr>
        <w:pStyle w:val="ListParagraph"/>
        <w:numPr>
          <w:ilvl w:val="0"/>
          <w:numId w:val="2"/>
        </w:numPr>
        <w:spacing w:after="60"/>
      </w:pPr>
      <w:r>
        <w:t xml:space="preserve">build-deploy matrix job: az acr build per adapter (src/modula-adapter, src/d365-adapter, src/datahub-adapter) and az containerapp update to the new image tag.</w:t>
      </w:r>
    </w:p>
    <w:p>
      <w:pPr>
        <w:pStyle w:val="ListParagraph"/>
        <w:numPr>
          <w:ilvl w:val="0"/>
          <w:numId w:val="2"/>
        </w:numPr>
        <w:spacing w:after="60"/>
      </w:pPr>
      <w:r>
        <w:t xml:space="preserve">import-apis job: az apim api import of the three OpenAPI specs, keeping the APIM contract in lockstep with code.</w:t>
      </w:r>
    </w:p>
    <w:p>
      <w:pPr>
        <w:pStyle w:val="Heading2"/>
        <w:spacing w:after="120" w:before="280"/>
      </w:pPr>
      <w:r>
        <w:t xml:space="preserve">8.4 Deployment Commands</w:t>
      </w:r>
    </w:p>
    <w:p>
      <w:pPr>
        <w:shd w:fill="F2F2F2" w:val="clear"/>
        <w:spacing w:after="40"/>
      </w:pPr>
      <w:r>
        <w:rPr>
          <w:rFonts w:ascii="Consolas" w:cs="Consolas" w:eastAsia="Consolas" w:hAnsi="Consolas"/>
          <w:sz w:val="18"/>
          <w:szCs w:val="18"/>
        </w:rPr>
        <w:t xml:space="preserve">az deployment sub create -l eastus2 -f iac/main.bicep -p env=dev</w:t>
      </w:r>
    </w:p>
    <w:p>
      <w:pPr>
        <w:shd w:fill="F2F2F2" w:val="clear"/>
        <w:spacing w:after="40"/>
      </w:pPr>
      <w:r>
        <w:rPr>
          <w:rFonts w:ascii="Consolas" w:cs="Consolas" w:eastAsia="Consolas" w:hAnsi="Consolas"/>
          <w:sz w:val="18"/>
          <w:szCs w:val="18"/>
        </w:rPr>
        <w:t xml:space="preserve">az deployment sub create -l eastus2 -f iac/main.bicep -p env=prod</w:t>
      </w:r>
    </w:p>
    <w:p>
      <w:pPr>
        <w:pStyle w:val="Heading2"/>
        <w:spacing w:after="120" w:before="280"/>
      </w:pPr>
      <w:r>
        <w:t xml:space="preserve">8.5 Post-Deployment Steps</w:t>
      </w:r>
    </w:p>
    <w:p>
      <w:pPr>
        <w:pStyle w:val="ListParagraph"/>
        <w:numPr>
          <w:ilvl w:val="0"/>
          <w:numId w:val="2"/>
        </w:numPr>
        <w:spacing w:after="60"/>
      </w:pPr>
      <w:r>
        <w:t xml:space="preserve">Register the CDM schema in the inventory-cdm schema group.</w:t>
      </w:r>
    </w:p>
    <w:p>
      <w:pPr>
        <w:pStyle w:val="ListParagraph"/>
        <w:numPr>
          <w:ilvl w:val="0"/>
          <w:numId w:val="2"/>
        </w:numPr>
        <w:spacing w:after="60"/>
      </w:pPr>
      <w:r>
        <w:t xml:space="preserve">Store Modula API credentials and the D365 service principal secret in Key Vault.</w:t>
      </w:r>
    </w:p>
    <w:p>
      <w:pPr>
        <w:pStyle w:val="ListParagraph"/>
        <w:numPr>
          <w:ilvl w:val="0"/>
          <w:numId w:val="2"/>
        </w:numPr>
        <w:spacing w:after="60"/>
      </w:pPr>
      <w:r>
        <w:t xml:space="preserve">Grant the DataHub adapter identity to the Unity Catalog external location for the bronze container; deploy the DLT bronze→silver→gold pipeline.</w:t>
      </w:r>
    </w:p>
    <w:p>
      <w:pPr>
        <w:pStyle w:val="ListParagraph"/>
        <w:numPr>
          <w:ilvl w:val="0"/>
          <w:numId w:val="2"/>
        </w:numPr>
        <w:spacing w:after="60"/>
      </w:pPr>
      <w:r>
        <w:t xml:space="preserve">Point the Modula webhook (or middleware poller) at APIM POST /modula-adapter/v1/inventory/events.</w:t>
      </w:r>
    </w:p>
    <w:p>
      <w:pPr>
        <w:pStyle w:val="ListParagraph"/>
        <w:numPr>
          <w:ilvl w:val="0"/>
          <w:numId w:val="2"/>
        </w:numPr>
        <w:spacing w:after="60"/>
      </w:pPr>
      <w:r>
        <w:t xml:space="preserve">Load the item/warehouse mapping table consumed by /mappings/items and the D365 mapping layer.</w:t>
      </w:r>
    </w:p>
    <w:p>
      <w:pPr>
        <w:pStyle w:val="Heading1"/>
        <w:spacing w:after="160" w:before="360"/>
      </w:pPr>
      <w:r>
        <w:t xml:space="preserve">9. Risks, Assumptions &amp; Open Items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00"/>
      </w:tblGrid>
      <w:tr>
        <w:trPr>
          <w:tblHeader/>
        </w:trPr>
        <w:tc>
          <w:tcPr>
            <w:tcW w:type="dxa" w:w="3000"/>
            <w:shd w:fill="1F4E79" w:val="clear"/>
            <w:tcMar>
              <w:top w:type="dxa" w:w="60"/>
              <w:left w:type="dxa" w:w="100"/>
              <w:bottom w:type="dxa" w:w="60"/>
              <w:right w:type="dxa" w:w="100"/>
            </w:tcMar>
          </w:tcPr>
          <w:p>
            <w:r>
              <w:rPr>
                <w:b/>
                <w:bCs/>
                <w:color w:val="FFFFFF"/>
                <w:sz w:val="19"/>
                <w:szCs w:val="19"/>
              </w:rPr>
              <w:t xml:space="preserve">Item</w:t>
            </w:r>
          </w:p>
        </w:tc>
        <w:tc>
          <w:tcPr>
            <w:tcW w:type="dxa" w:w="1200"/>
            <w:shd w:fill="1F4E79" w:val="clear"/>
            <w:tcMar>
              <w:top w:type="dxa" w:w="60"/>
              <w:left w:type="dxa" w:w="100"/>
              <w:bottom w:type="dxa" w:w="60"/>
              <w:right w:type="dxa" w:w="100"/>
            </w:tcMar>
          </w:tcPr>
          <w:p>
            <w:r>
              <w:rPr>
                <w:b/>
                <w:bCs/>
                <w:color w:val="FFFFFF"/>
                <w:sz w:val="19"/>
                <w:szCs w:val="19"/>
              </w:rPr>
              <w:t xml:space="preserve">Type</w:t>
            </w:r>
          </w:p>
        </w:tc>
        <w:tc>
          <w:tcPr>
            <w:tcW w:type="dxa" w:w="5400"/>
            <w:shd w:fill="1F4E79" w:val="clear"/>
            <w:tcMar>
              <w:top w:type="dxa" w:w="60"/>
              <w:left w:type="dxa" w:w="100"/>
              <w:bottom w:type="dxa" w:w="60"/>
              <w:right w:type="dxa" w:w="100"/>
            </w:tcMar>
          </w:tcPr>
          <w:p>
            <w:r>
              <w:rPr>
                <w:b/>
                <w:bCs/>
                <w:color w:val="FFFFFF"/>
                <w:sz w:val="19"/>
                <w:szCs w:val="19"/>
              </w:rPr>
              <w:t xml:space="preserve">Notes / Mitigation</w:t>
            </w:r>
          </w:p>
        </w:tc>
      </w:tr>
      <w:tr>
        <w:tc>
          <w:tcPr>
            <w:tcW w:type="dxa" w:w="3000"/>
            <w:tcMar>
              <w:top w:type="dxa" w:w="60"/>
              <w:left w:type="dxa" w:w="100"/>
              <w:bottom w:type="dxa" w:w="60"/>
              <w:right w:type="dxa" w:w="100"/>
            </w:tcMar>
          </w:tcPr>
          <w:p>
            <w:r>
              <w:rPr>
                <w:b w:val="false"/>
                <w:bCs w:val="false"/>
                <w:color w:val="262626"/>
                <w:sz w:val="19"/>
                <w:szCs w:val="19"/>
              </w:rPr>
              <w:t xml:space="preserve">Modula outbound capability (webhook vs poll)</w:t>
            </w:r>
          </w:p>
        </w:tc>
        <w:tc>
          <w:tcPr>
            <w:tcW w:type="dxa" w:w="1200"/>
            <w:tcMar>
              <w:top w:type="dxa" w:w="60"/>
              <w:left w:type="dxa" w:w="100"/>
              <w:bottom w:type="dxa" w:w="60"/>
              <w:right w:type="dxa" w:w="100"/>
            </w:tcMar>
          </w:tcPr>
          <w:p>
            <w:r>
              <w:rPr>
                <w:b w:val="false"/>
                <w:bCs w:val="false"/>
                <w:color w:val="262626"/>
                <w:sz w:val="19"/>
                <w:szCs w:val="19"/>
              </w:rPr>
              <w:t xml:space="preserve">Assumption</w:t>
            </w:r>
          </w:p>
        </w:tc>
        <w:tc>
          <w:tcPr>
            <w:tcW w:type="dxa" w:w="5400"/>
            <w:tcMar>
              <w:top w:type="dxa" w:w="60"/>
              <w:left w:type="dxa" w:w="100"/>
              <w:bottom w:type="dxa" w:w="60"/>
              <w:right w:type="dxa" w:w="100"/>
            </w:tcMar>
          </w:tcPr>
          <w:p>
            <w:r>
              <w:rPr>
                <w:b w:val="false"/>
                <w:bCs w:val="false"/>
                <w:color w:val="262626"/>
                <w:sz w:val="19"/>
                <w:szCs w:val="19"/>
              </w:rPr>
              <w:t xml:space="preserve">Design supports both; if polling, a lightweight scheduler in the inbound adapter pulls the Modula API and publishes.</w:t>
            </w:r>
          </w:p>
        </w:tc>
      </w:tr>
      <w:tr>
        <w:tc>
          <w:tcPr>
            <w:tcW w:type="dxa" w:w="3000"/>
            <w:tcMar>
              <w:top w:type="dxa" w:w="60"/>
              <w:left w:type="dxa" w:w="100"/>
              <w:bottom w:type="dxa" w:w="60"/>
              <w:right w:type="dxa" w:w="100"/>
            </w:tcMar>
          </w:tcPr>
          <w:p>
            <w:r>
              <w:rPr>
                <w:b w:val="false"/>
                <w:bCs w:val="false"/>
                <w:color w:val="262626"/>
                <w:sz w:val="19"/>
                <w:szCs w:val="19"/>
              </w:rPr>
              <w:t xml:space="preserve">D365 Inventory Visibility licensing</w:t>
            </w:r>
          </w:p>
        </w:tc>
        <w:tc>
          <w:tcPr>
            <w:tcW w:type="dxa" w:w="1200"/>
            <w:tcMar>
              <w:top w:type="dxa" w:w="60"/>
              <w:left w:type="dxa" w:w="100"/>
              <w:bottom w:type="dxa" w:w="60"/>
              <w:right w:type="dxa" w:w="100"/>
            </w:tcMar>
          </w:tcPr>
          <w:p>
            <w:r>
              <w:rPr>
                <w:b w:val="false"/>
                <w:bCs w:val="false"/>
                <w:color w:val="262626"/>
                <w:sz w:val="19"/>
                <w:szCs w:val="19"/>
              </w:rPr>
              <w:t xml:space="preserve">Open</w:t>
            </w:r>
          </w:p>
        </w:tc>
        <w:tc>
          <w:tcPr>
            <w:tcW w:type="dxa" w:w="5400"/>
            <w:tcMar>
              <w:top w:type="dxa" w:w="60"/>
              <w:left w:type="dxa" w:w="100"/>
              <w:bottom w:type="dxa" w:w="60"/>
              <w:right w:type="dxa" w:w="100"/>
            </w:tcMar>
          </w:tcPr>
          <w:p>
            <w:r>
              <w:rPr>
                <w:b w:val="false"/>
                <w:bCs w:val="false"/>
                <w:color w:val="262626"/>
                <w:sz w:val="19"/>
                <w:szCs w:val="19"/>
              </w:rPr>
              <w:t xml:space="preserve">If not licensed, all on-hand changes route via journals — mapping-layer switch only.</w:t>
            </w:r>
          </w:p>
        </w:tc>
      </w:tr>
      <w:tr>
        <w:tc>
          <w:tcPr>
            <w:tcW w:type="dxa" w:w="3000"/>
            <w:tcMar>
              <w:top w:type="dxa" w:w="60"/>
              <w:left w:type="dxa" w:w="100"/>
              <w:bottom w:type="dxa" w:w="60"/>
              <w:right w:type="dxa" w:w="100"/>
            </w:tcMar>
          </w:tcPr>
          <w:p>
            <w:r>
              <w:rPr>
                <w:b w:val="false"/>
                <w:bCs w:val="false"/>
                <w:color w:val="262626"/>
                <w:sz w:val="19"/>
                <w:szCs w:val="19"/>
              </w:rPr>
              <w:t xml:space="preserve">D365 OData throttling under burst</w:t>
            </w:r>
          </w:p>
        </w:tc>
        <w:tc>
          <w:tcPr>
            <w:tcW w:type="dxa" w:w="1200"/>
            <w:tcMar>
              <w:top w:type="dxa" w:w="60"/>
              <w:left w:type="dxa" w:w="100"/>
              <w:bottom w:type="dxa" w:w="60"/>
              <w:right w:type="dxa" w:w="100"/>
            </w:tcMar>
          </w:tcPr>
          <w:p>
            <w:r>
              <w:rPr>
                <w:b w:val="false"/>
                <w:bCs w:val="false"/>
                <w:color w:val="262626"/>
                <w:sz w:val="19"/>
                <w:szCs w:val="19"/>
              </w:rPr>
              <w:t xml:space="preserve">Risk</w:t>
            </w:r>
          </w:p>
        </w:tc>
        <w:tc>
          <w:tcPr>
            <w:tcW w:type="dxa" w:w="5400"/>
            <w:tcMar>
              <w:top w:type="dxa" w:w="60"/>
              <w:left w:type="dxa" w:w="100"/>
              <w:bottom w:type="dxa" w:w="60"/>
              <w:right w:type="dxa" w:w="100"/>
            </w:tcMar>
          </w:tcPr>
          <w:p>
            <w:r>
              <w:rPr>
                <w:b w:val="false"/>
                <w:bCs w:val="false"/>
                <w:color w:val="262626"/>
                <w:sz w:val="19"/>
                <w:szCs w:val="19"/>
              </w:rPr>
              <w:t xml:space="preserve">Batch journal lines per document, honor Retry-After, cap consumer concurrency per partition.</w:t>
            </w:r>
          </w:p>
        </w:tc>
      </w:tr>
      <w:tr>
        <w:tc>
          <w:tcPr>
            <w:tcW w:type="dxa" w:w="3000"/>
            <w:tcMar>
              <w:top w:type="dxa" w:w="60"/>
              <w:left w:type="dxa" w:w="100"/>
              <w:bottom w:type="dxa" w:w="60"/>
              <w:right w:type="dxa" w:w="100"/>
            </w:tcMar>
          </w:tcPr>
          <w:p>
            <w:r>
              <w:rPr>
                <w:b w:val="false"/>
                <w:bCs w:val="false"/>
                <w:color w:val="262626"/>
                <w:sz w:val="19"/>
                <w:szCs w:val="19"/>
              </w:rPr>
              <w:t xml:space="preserve">Master-data drift (unmapped items)</w:t>
            </w:r>
          </w:p>
        </w:tc>
        <w:tc>
          <w:tcPr>
            <w:tcW w:type="dxa" w:w="1200"/>
            <w:tcMar>
              <w:top w:type="dxa" w:w="60"/>
              <w:left w:type="dxa" w:w="100"/>
              <w:bottom w:type="dxa" w:w="60"/>
              <w:right w:type="dxa" w:w="100"/>
            </w:tcMar>
          </w:tcPr>
          <w:p>
            <w:r>
              <w:rPr>
                <w:b w:val="false"/>
                <w:bCs w:val="false"/>
                <w:color w:val="262626"/>
                <w:sz w:val="19"/>
                <w:szCs w:val="19"/>
              </w:rPr>
              <w:t xml:space="preserve">Risk</w:t>
            </w:r>
          </w:p>
        </w:tc>
        <w:tc>
          <w:tcPr>
            <w:tcW w:type="dxa" w:w="5400"/>
            <w:tcMar>
              <w:top w:type="dxa" w:w="60"/>
              <w:left w:type="dxa" w:w="100"/>
              <w:bottom w:type="dxa" w:w="60"/>
              <w:right w:type="dxa" w:w="100"/>
            </w:tcMar>
          </w:tcPr>
          <w:p>
            <w:r>
              <w:rPr>
                <w:b w:val="false"/>
                <w:bCs w:val="false"/>
                <w:color w:val="262626"/>
                <w:sz w:val="19"/>
                <w:szCs w:val="19"/>
              </w:rPr>
              <w:t xml:space="preserve">Dead-letters with clear diagnostics; /mappings API for proactive checks; alert on DLQ depth.</w:t>
            </w:r>
          </w:p>
        </w:tc>
      </w:tr>
      <w:tr>
        <w:tc>
          <w:tcPr>
            <w:tcW w:type="dxa" w:w="3000"/>
            <w:tcMar>
              <w:top w:type="dxa" w:w="60"/>
              <w:left w:type="dxa" w:w="100"/>
              <w:bottom w:type="dxa" w:w="60"/>
              <w:right w:type="dxa" w:w="100"/>
            </w:tcMar>
          </w:tcPr>
          <w:p>
            <w:r>
              <w:rPr>
                <w:b w:val="false"/>
                <w:bCs w:val="false"/>
                <w:color w:val="262626"/>
                <w:sz w:val="19"/>
                <w:szCs w:val="19"/>
              </w:rPr>
              <w:t xml:space="preserve">Duplicate suppression window sizing</w:t>
            </w:r>
          </w:p>
        </w:tc>
        <w:tc>
          <w:tcPr>
            <w:tcW w:type="dxa" w:w="1200"/>
            <w:tcMar>
              <w:top w:type="dxa" w:w="60"/>
              <w:left w:type="dxa" w:w="100"/>
              <w:bottom w:type="dxa" w:w="60"/>
              <w:right w:type="dxa" w:w="100"/>
            </w:tcMar>
          </w:tcPr>
          <w:p>
            <w:r>
              <w:rPr>
                <w:b w:val="false"/>
                <w:bCs w:val="false"/>
                <w:color w:val="262626"/>
                <w:sz w:val="19"/>
                <w:szCs w:val="19"/>
              </w:rPr>
              <w:t xml:space="preserve">Open</w:t>
            </w:r>
          </w:p>
        </w:tc>
        <w:tc>
          <w:tcPr>
            <w:tcW w:type="dxa" w:w="5400"/>
            <w:tcMar>
              <w:top w:type="dxa" w:w="60"/>
              <w:left w:type="dxa" w:w="100"/>
              <w:bottom w:type="dxa" w:w="60"/>
              <w:right w:type="dxa" w:w="100"/>
            </w:tcMar>
          </w:tcPr>
          <w:p>
            <w:r>
              <w:rPr>
                <w:b w:val="false"/>
                <w:bCs w:val="false"/>
                <w:color w:val="262626"/>
                <w:sz w:val="19"/>
                <w:szCs w:val="19"/>
              </w:rPr>
              <w:t xml:space="preserve">Consumer dedupe store window (default 24h) to be validated against realistic replay scenarios.</w:t>
            </w:r>
          </w:p>
        </w:tc>
      </w:tr>
      <w:tr>
        <w:tc>
          <w:tcPr>
            <w:tcW w:type="dxa" w:w="3000"/>
            <w:tcMar>
              <w:top w:type="dxa" w:w="60"/>
              <w:left w:type="dxa" w:w="100"/>
              <w:bottom w:type="dxa" w:w="60"/>
              <w:right w:type="dxa" w:w="100"/>
            </w:tcMar>
          </w:tcPr>
          <w:p>
            <w:r>
              <w:rPr>
                <w:b w:val="false"/>
                <w:bCs w:val="false"/>
                <w:color w:val="262626"/>
                <w:sz w:val="19"/>
                <w:szCs w:val="19"/>
              </w:rPr>
              <w:t xml:space="preserve">Databricks workspace ownership</w:t>
            </w:r>
          </w:p>
        </w:tc>
        <w:tc>
          <w:tcPr>
            <w:tcW w:type="dxa" w:w="1200"/>
            <w:tcMar>
              <w:top w:type="dxa" w:w="60"/>
              <w:left w:type="dxa" w:w="100"/>
              <w:bottom w:type="dxa" w:w="60"/>
              <w:right w:type="dxa" w:w="100"/>
            </w:tcMar>
          </w:tcPr>
          <w:p>
            <w:r>
              <w:rPr>
                <w:b w:val="false"/>
                <w:bCs w:val="false"/>
                <w:color w:val="262626"/>
                <w:sz w:val="19"/>
                <w:szCs w:val="19"/>
              </w:rPr>
              <w:t xml:space="preserve">Assumption</w:t>
            </w:r>
          </w:p>
        </w:tc>
        <w:tc>
          <w:tcPr>
            <w:tcW w:type="dxa" w:w="5400"/>
            <w:tcMar>
              <w:top w:type="dxa" w:w="60"/>
              <w:left w:type="dxa" w:w="100"/>
              <w:bottom w:type="dxa" w:w="60"/>
              <w:right w:type="dxa" w:w="100"/>
            </w:tcMar>
          </w:tcPr>
          <w:p>
            <w:r>
              <w:rPr>
                <w:b w:val="false"/>
                <w:bCs w:val="false"/>
                <w:color w:val="262626"/>
                <w:sz w:val="19"/>
                <w:szCs w:val="19"/>
              </w:rPr>
              <w:t xml:space="preserve">DataHub team owns DLT pipelines and Unity Catalog; this solution owns everything through bronze landing.</w:t>
            </w:r>
          </w:p>
        </w:tc>
      </w:tr>
      <w:tr>
        <w:tc>
          <w:tcPr>
            <w:tcW w:type="dxa" w:w="3000"/>
            <w:tcMar>
              <w:top w:type="dxa" w:w="60"/>
              <w:left w:type="dxa" w:w="100"/>
              <w:bottom w:type="dxa" w:w="60"/>
              <w:right w:type="dxa" w:w="100"/>
            </w:tcMar>
          </w:tcPr>
          <w:p>
            <w:r>
              <w:rPr>
                <w:b w:val="false"/>
                <w:bCs w:val="false"/>
                <w:color w:val="262626"/>
                <w:sz w:val="19"/>
                <w:szCs w:val="19"/>
              </w:rPr>
              <w:t xml:space="preserve">Shared-library repo split</w:t>
            </w:r>
          </w:p>
        </w:tc>
        <w:tc>
          <w:tcPr>
            <w:tcW w:type="dxa" w:w="1200"/>
            <w:tcMar>
              <w:top w:type="dxa" w:w="60"/>
              <w:left w:type="dxa" w:w="100"/>
              <w:bottom w:type="dxa" w:w="60"/>
              <w:right w:type="dxa" w:w="100"/>
            </w:tcMar>
          </w:tcPr>
          <w:p>
            <w:r>
              <w:rPr>
                <w:b w:val="false"/>
                <w:bCs w:val="false"/>
                <w:color w:val="262626"/>
                <w:sz w:val="19"/>
                <w:szCs w:val="19"/>
              </w:rPr>
              <w:t xml:space="preserve">Open</w:t>
            </w:r>
          </w:p>
        </w:tc>
        <w:tc>
          <w:tcPr>
            <w:tcW w:type="dxa" w:w="5400"/>
            <w:tcMar>
              <w:top w:type="dxa" w:w="60"/>
              <w:left w:type="dxa" w:w="100"/>
              <w:bottom w:type="dxa" w:w="60"/>
              <w:right w:type="dxa" w:w="100"/>
            </w:tcMar>
          </w:tcPr>
          <w:p>
            <w:r>
              <w:rPr>
                <w:b w:val="false"/>
                <w:bCs w:val="false"/>
                <w:color w:val="262626"/>
                <w:sz w:val="19"/>
                <w:szCs w:val="19"/>
              </w:rPr>
              <w:t xml:space="preserve">Shared CDM models/client libraries are candidates for the separate shared-infrastructure repo per the repo-standards decision in flight.</w:t>
            </w:r>
          </w:p>
        </w:tc>
      </w:tr>
    </w:tbl>
    <w:p>
      <w:pPr>
        <w:pStyle w:val="Heading1"/>
        <w:spacing w:after="160" w:before="360"/>
      </w:pPr>
      <w:r>
        <w:t xml:space="preserve">10. Appendix – Deliverables Index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F4E79" w:val="clear"/>
            <w:tcMar>
              <w:top w:type="dxa" w:w="60"/>
              <w:left w:type="dxa" w:w="100"/>
              <w:bottom w:type="dxa" w:w="60"/>
              <w:right w:type="dxa" w:w="100"/>
            </w:tcMar>
          </w:tcPr>
          <w:p>
            <w:r>
              <w:rPr>
                <w:b/>
                <w:bCs/>
                <w:color w:val="FFFFFF"/>
                <w:sz w:val="19"/>
                <w:szCs w:val="19"/>
              </w:rPr>
              <w:t xml:space="preserve">Artifact</w:t>
            </w:r>
          </w:p>
        </w:tc>
        <w:tc>
          <w:tcPr>
            <w:tcW w:type="dxa" w:w="5400"/>
            <w:shd w:fill="1F4E79" w:val="clear"/>
            <w:tcMar>
              <w:top w:type="dxa" w:w="60"/>
              <w:left w:type="dxa" w:w="100"/>
              <w:bottom w:type="dxa" w:w="60"/>
              <w:right w:type="dxa" w:w="100"/>
            </w:tcMar>
          </w:tcPr>
          <w:p>
            <w:r>
              <w:rPr>
                <w:b/>
                <w:bCs/>
                <w:color w:val="FFFFFF"/>
                <w:sz w:val="19"/>
                <w:szCs w:val="19"/>
              </w:rPr>
              <w:t xml:space="preserve">Path</w:t>
            </w:r>
          </w:p>
        </w:tc>
      </w:tr>
      <w:tr>
        <w:tc>
          <w:tcPr>
            <w:tcW w:type="dxa" w:w="4200"/>
            <w:tcMar>
              <w:top w:type="dxa" w:w="60"/>
              <w:left w:type="dxa" w:w="100"/>
              <w:bottom w:type="dxa" w:w="60"/>
              <w:right w:type="dxa" w:w="100"/>
            </w:tcMar>
          </w:tcPr>
          <w:p>
            <w:r>
              <w:rPr>
                <w:b w:val="false"/>
                <w:bCs w:val="false"/>
                <w:color w:val="262626"/>
                <w:sz w:val="19"/>
                <w:szCs w:val="19"/>
              </w:rPr>
              <w:t xml:space="preserve">Architecture diagram</w:t>
            </w:r>
          </w:p>
        </w:tc>
        <w:tc>
          <w:tcPr>
            <w:tcW w:type="dxa" w:w="5400"/>
            <w:tcMar>
              <w:top w:type="dxa" w:w="60"/>
              <w:left w:type="dxa" w:w="100"/>
              <w:bottom w:type="dxa" w:w="60"/>
              <w:right w:type="dxa" w:w="100"/>
            </w:tcMar>
          </w:tcPr>
          <w:p>
            <w:r>
              <w:rPr>
                <w:b w:val="false"/>
                <w:bCs w:val="false"/>
                <w:color w:val="262626"/>
                <w:sz w:val="19"/>
                <w:szCs w:val="19"/>
              </w:rPr>
              <w:t xml:space="preserve">architecture-diagram.svg</w:t>
            </w:r>
          </w:p>
        </w:tc>
      </w:tr>
      <w:tr>
        <w:tc>
          <w:tcPr>
            <w:tcW w:type="dxa" w:w="4200"/>
            <w:tcMar>
              <w:top w:type="dxa" w:w="60"/>
              <w:left w:type="dxa" w:w="100"/>
              <w:bottom w:type="dxa" w:w="60"/>
              <w:right w:type="dxa" w:w="100"/>
            </w:tcMar>
          </w:tcPr>
          <w:p>
            <w:r>
              <w:rPr>
                <w:b w:val="false"/>
                <w:bCs w:val="false"/>
                <w:color w:val="262626"/>
                <w:sz w:val="19"/>
                <w:szCs w:val="19"/>
              </w:rPr>
              <w:t xml:space="preserve">CDM JSON Schema</w:t>
            </w:r>
          </w:p>
        </w:tc>
        <w:tc>
          <w:tcPr>
            <w:tcW w:type="dxa" w:w="5400"/>
            <w:tcMar>
              <w:top w:type="dxa" w:w="60"/>
              <w:left w:type="dxa" w:w="100"/>
              <w:bottom w:type="dxa" w:w="60"/>
              <w:right w:type="dxa" w:w="100"/>
            </w:tcMar>
          </w:tcPr>
          <w:p>
            <w:r>
              <w:rPr>
                <w:b w:val="false"/>
                <w:bCs w:val="false"/>
                <w:color w:val="262626"/>
                <w:sz w:val="19"/>
                <w:szCs w:val="19"/>
              </w:rPr>
              <w:t xml:space="preserve">cdm/inventory-event-cdm.schema.json</w:t>
            </w:r>
          </w:p>
        </w:tc>
      </w:tr>
      <w:tr>
        <w:tc>
          <w:tcPr>
            <w:tcW w:type="dxa" w:w="4200"/>
            <w:tcMar>
              <w:top w:type="dxa" w:w="60"/>
              <w:left w:type="dxa" w:w="100"/>
              <w:bottom w:type="dxa" w:w="60"/>
              <w:right w:type="dxa" w:w="100"/>
            </w:tcMar>
          </w:tcPr>
          <w:p>
            <w:r>
              <w:rPr>
                <w:b w:val="false"/>
                <w:bCs w:val="false"/>
                <w:color w:val="262626"/>
                <w:sz w:val="19"/>
                <w:szCs w:val="19"/>
              </w:rPr>
              <w:t xml:space="preserve">Modula inbound adapter OpenAPI</w:t>
            </w:r>
          </w:p>
        </w:tc>
        <w:tc>
          <w:tcPr>
            <w:tcW w:type="dxa" w:w="5400"/>
            <w:tcMar>
              <w:top w:type="dxa" w:w="60"/>
              <w:left w:type="dxa" w:w="100"/>
              <w:bottom w:type="dxa" w:w="60"/>
              <w:right w:type="dxa" w:w="100"/>
            </w:tcMar>
          </w:tcPr>
          <w:p>
            <w:r>
              <w:rPr>
                <w:b w:val="false"/>
                <w:bCs w:val="false"/>
                <w:color w:val="262626"/>
                <w:sz w:val="19"/>
                <w:szCs w:val="19"/>
              </w:rPr>
              <w:t xml:space="preserve">apis/modula-inbound-adapter.openapi.yaml</w:t>
            </w:r>
          </w:p>
        </w:tc>
      </w:tr>
      <w:tr>
        <w:tc>
          <w:tcPr>
            <w:tcW w:type="dxa" w:w="4200"/>
            <w:tcMar>
              <w:top w:type="dxa" w:w="60"/>
              <w:left w:type="dxa" w:w="100"/>
              <w:bottom w:type="dxa" w:w="60"/>
              <w:right w:type="dxa" w:w="100"/>
            </w:tcMar>
          </w:tcPr>
          <w:p>
            <w:r>
              <w:rPr>
                <w:b w:val="false"/>
                <w:bCs w:val="false"/>
                <w:color w:val="262626"/>
                <w:sz w:val="19"/>
                <w:szCs w:val="19"/>
              </w:rPr>
              <w:t xml:space="preserve">D365 outbound adapter OpenAPI</w:t>
            </w:r>
          </w:p>
        </w:tc>
        <w:tc>
          <w:tcPr>
            <w:tcW w:type="dxa" w:w="5400"/>
            <w:tcMar>
              <w:top w:type="dxa" w:w="60"/>
              <w:left w:type="dxa" w:w="100"/>
              <w:bottom w:type="dxa" w:w="60"/>
              <w:right w:type="dxa" w:w="100"/>
            </w:tcMar>
          </w:tcPr>
          <w:p>
            <w:r>
              <w:rPr>
                <w:b w:val="false"/>
                <w:bCs w:val="false"/>
                <w:color w:val="262626"/>
                <w:sz w:val="19"/>
                <w:szCs w:val="19"/>
              </w:rPr>
              <w:t xml:space="preserve">apis/d365-outbound-adapter.openapi.yaml</w:t>
            </w:r>
          </w:p>
        </w:tc>
      </w:tr>
      <w:tr>
        <w:tc>
          <w:tcPr>
            <w:tcW w:type="dxa" w:w="4200"/>
            <w:tcMar>
              <w:top w:type="dxa" w:w="60"/>
              <w:left w:type="dxa" w:w="100"/>
              <w:bottom w:type="dxa" w:w="60"/>
              <w:right w:type="dxa" w:w="100"/>
            </w:tcMar>
          </w:tcPr>
          <w:p>
            <w:r>
              <w:rPr>
                <w:b w:val="false"/>
                <w:bCs w:val="false"/>
                <w:color w:val="262626"/>
                <w:sz w:val="19"/>
                <w:szCs w:val="19"/>
              </w:rPr>
              <w:t xml:space="preserve">DataHub outbound adapter OpenAPI</w:t>
            </w:r>
          </w:p>
        </w:tc>
        <w:tc>
          <w:tcPr>
            <w:tcW w:type="dxa" w:w="5400"/>
            <w:tcMar>
              <w:top w:type="dxa" w:w="60"/>
              <w:left w:type="dxa" w:w="100"/>
              <w:bottom w:type="dxa" w:w="60"/>
              <w:right w:type="dxa" w:w="100"/>
            </w:tcMar>
          </w:tcPr>
          <w:p>
            <w:r>
              <w:rPr>
                <w:b w:val="false"/>
                <w:bCs w:val="false"/>
                <w:color w:val="262626"/>
                <w:sz w:val="19"/>
                <w:szCs w:val="19"/>
              </w:rPr>
              <w:t xml:space="preserve">apis/datahub-outbound-adapter.openapi.yaml</w:t>
            </w:r>
          </w:p>
        </w:tc>
      </w:tr>
      <w:tr>
        <w:tc>
          <w:tcPr>
            <w:tcW w:type="dxa" w:w="4200"/>
            <w:tcMar>
              <w:top w:type="dxa" w:w="60"/>
              <w:left w:type="dxa" w:w="100"/>
              <w:bottom w:type="dxa" w:w="60"/>
              <w:right w:type="dxa" w:w="100"/>
            </w:tcMar>
          </w:tcPr>
          <w:p>
            <w:r>
              <w:rPr>
                <w:b w:val="false"/>
                <w:bCs w:val="false"/>
                <w:color w:val="262626"/>
                <w:sz w:val="19"/>
                <w:szCs w:val="19"/>
              </w:rPr>
              <w:t xml:space="preserve">Bicep IaC</w:t>
            </w:r>
          </w:p>
        </w:tc>
        <w:tc>
          <w:tcPr>
            <w:tcW w:type="dxa" w:w="5400"/>
            <w:tcMar>
              <w:top w:type="dxa" w:w="60"/>
              <w:left w:type="dxa" w:w="100"/>
              <w:bottom w:type="dxa" w:w="60"/>
              <w:right w:type="dxa" w:w="100"/>
            </w:tcMar>
          </w:tcPr>
          <w:p>
            <w:r>
              <w:rPr>
                <w:b w:val="false"/>
                <w:bCs w:val="false"/>
                <w:color w:val="262626"/>
                <w:sz w:val="19"/>
                <w:szCs w:val="19"/>
              </w:rPr>
              <w:t xml:space="preserve">iac/main.bicep + iac/modules/*</w:t>
            </w:r>
          </w:p>
        </w:tc>
      </w:tr>
      <w:tr>
        <w:tc>
          <w:tcPr>
            <w:tcW w:type="dxa" w:w="4200"/>
            <w:tcMar>
              <w:top w:type="dxa" w:w="60"/>
              <w:left w:type="dxa" w:w="100"/>
              <w:bottom w:type="dxa" w:w="60"/>
              <w:right w:type="dxa" w:w="100"/>
            </w:tcMar>
          </w:tcPr>
          <w:p>
            <w:r>
              <w:rPr>
                <w:b w:val="false"/>
                <w:bCs w:val="false"/>
                <w:color w:val="262626"/>
                <w:sz w:val="19"/>
                <w:szCs w:val="19"/>
              </w:rPr>
              <w:t xml:space="preserve">CI/CD workflow</w:t>
            </w:r>
          </w:p>
        </w:tc>
        <w:tc>
          <w:tcPr>
            <w:tcW w:type="dxa" w:w="5400"/>
            <w:tcMar>
              <w:top w:type="dxa" w:w="60"/>
              <w:left w:type="dxa" w:w="100"/>
              <w:bottom w:type="dxa" w:w="60"/>
              <w:right w:type="dxa" w:w="100"/>
            </w:tcMar>
          </w:tcPr>
          <w:p>
            <w:r>
              <w:rPr>
                <w:b w:val="false"/>
                <w:bCs w:val="false"/>
                <w:color w:val="262626"/>
                <w:sz w:val="19"/>
                <w:szCs w:val="19"/>
              </w:rPr>
              <w:t xml:space="preserve">iac/deploy-apis.yaml</w:t>
            </w:r>
          </w:p>
        </w:tc>
      </w:tr>
    </w:tbl>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Modula – D365 – DataHub Integration • Solution Design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lvl w:ilvl="1" w15:tentative="1">
      <w:start w:val="1"/>
      <w:numFmt w:val="bullet"/>
      <w:lvlText w:val="◦"/>
      <w:lvlJc w:val="star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0"/>
      <w:szCs w:val="30"/>
    </w:rPr>
  </w:style>
  <w:style w:type="paragraph" w:styleId="Heading2">
    <w:name w:val="Heading 2"/>
    <w:basedOn w:val="Normal"/>
    <w:next w:val="Normal"/>
    <w:qFormat/>
    <w:rPr>
      <w:rFonts w:ascii="Calibri Light" w:cs="Calibri Light" w:eastAsia="Calibri Light" w:hAnsi="Calibri Light"/>
      <w:b/>
      <w:bCs/>
      <w:color w:val="1F4E79"/>
      <w:sz w:val="25"/>
      <w:szCs w:val="25"/>
    </w:rPr>
  </w:style>
  <w:style w:type="paragraph" w:styleId="Heading3">
    <w:name w:val="Heading 3"/>
    <w:basedOn w:val="Normal"/>
    <w:next w:val="Normal"/>
    <w:qFormat/>
    <w:rPr>
      <w:rFonts w:ascii="Calibri" w:cs="Calibri" w:eastAsia="Calibri" w:hAnsi="Calibri"/>
      <w:b/>
      <w:bCs/>
      <w:color w:val="3B6EA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d5f94dab97fc36b6ed82d9d4fe02e69956cea3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2026-09-07T20:50:58.031Z</dcterms:created>
  <dcterms:modified xsi:type="dcterms:W3CDTF">2026-09-07T20:50:58.051Z</dcterms:modified>
</cp:coreProperties>
</file>

<file path=docProps/custom.xml><?xml version="1.0" encoding="utf-8"?>
<Properties xmlns="http://schemas.openxmlformats.org/officeDocument/2006/custom-properties" xmlns:vt="http://schemas.openxmlformats.org/officeDocument/2006/docPropsVTypes"/>
</file>