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OrbitDesk Platform Architecture</w:t>
      </w:r>
    </w:p>
    <w:p>
      <w:r>
        <w:t>Owner: Platform team (Daniel Okafor, CTO). Last reviewed: 12 January 2027.</w:t>
      </w:r>
    </w:p>
    <w:p>
      <w:pPr>
        <w:pStyle w:val="Heading1"/>
      </w:pPr>
      <w:r>
        <w:t>Overview</w:t>
      </w:r>
    </w:p>
    <w:p>
      <w:r>
        <w:t>OrbitDesk is Lumora's desk and meeting-room booking product, used by 140 enterprise customers. Clients talk only to the API gateway; each backend service owns its own data and publishes events for the others. The diagram shows the production layout.</w:t>
      </w:r>
    </w:p>
    <w:p>
      <w:r>
        <w:drawing>
          <wp:inline xmlns:a="http://schemas.openxmlformats.org/drawingml/2006/main" xmlns:pic="http://schemas.openxmlformats.org/drawingml/2006/picture">
            <wp:extent cx="5760000" cy="3362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2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Service ownership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On-call Slack channel</w:t>
            </w:r>
          </w:p>
        </w:tc>
      </w:tr>
      <w:tr>
        <w:tc>
          <w:tcPr>
            <w:tcW w:type="dxa" w:w="2880"/>
          </w:tcPr>
          <w:p>
            <w:r>
              <w:t>Booking service</w:t>
            </w:r>
          </w:p>
        </w:tc>
        <w:tc>
          <w:tcPr>
            <w:tcW w:type="dxa" w:w="2880"/>
          </w:tcPr>
          <w:p>
            <w:r>
              <w:t>Team Atlas</w:t>
            </w:r>
          </w:p>
        </w:tc>
        <w:tc>
          <w:tcPr>
            <w:tcW w:type="dxa" w:w="2880"/>
          </w:tcPr>
          <w:p>
            <w:r>
              <w:t>#oncall-atlas</w:t>
            </w:r>
          </w:p>
        </w:tc>
      </w:tr>
      <w:tr>
        <w:tc>
          <w:tcPr>
            <w:tcW w:type="dxa" w:w="2880"/>
          </w:tcPr>
          <w:p>
            <w:r>
              <w:t>Billing service</w:t>
            </w:r>
          </w:p>
        </w:tc>
        <w:tc>
          <w:tcPr>
            <w:tcW w:type="dxa" w:w="2880"/>
          </w:tcPr>
          <w:p>
            <w:r>
              <w:t>Team Ledger</w:t>
            </w:r>
          </w:p>
        </w:tc>
        <w:tc>
          <w:tcPr>
            <w:tcW w:type="dxa" w:w="2880"/>
          </w:tcPr>
          <w:p>
            <w:r>
              <w:t>#oncall-ledger</w:t>
            </w:r>
          </w:p>
        </w:tc>
      </w:tr>
      <w:tr>
        <w:tc>
          <w:tcPr>
            <w:tcW w:type="dxa" w:w="2880"/>
          </w:tcPr>
          <w:p>
            <w:r>
              <w:t>Notification service</w:t>
            </w:r>
          </w:p>
        </w:tc>
        <w:tc>
          <w:tcPr>
            <w:tcW w:type="dxa" w:w="2880"/>
          </w:tcPr>
          <w:p>
            <w:r>
              <w:t>Team Echo</w:t>
            </w:r>
          </w:p>
        </w:tc>
        <w:tc>
          <w:tcPr>
            <w:tcW w:type="dxa" w:w="2880"/>
          </w:tcPr>
          <w:p>
            <w:r>
              <w:t>#oncall-echo</w:t>
            </w:r>
          </w:p>
        </w:tc>
      </w:tr>
    </w:tbl>
    <w:p>
      <w:pPr>
        <w:pStyle w:val="Heading1"/>
      </w:pPr>
      <w:r>
        <w:t>Availability targets</w:t>
      </w:r>
    </w:p>
    <w:p>
      <w:r>
        <w:t>The booking API targets 99.9% monthly availability with p95 latency under 300 ms. Billing targets 99.95% because failed payments create support tickets. Database backups run every 6 hours and are kept for 35 days.</w:t>
      </w:r>
    </w:p>
    <w:p>
      <w:pPr>
        <w:pStyle w:val="Heading1"/>
      </w:pPr>
      <w:r>
        <w:t>Incident response</w:t>
      </w:r>
    </w:p>
    <w:p>
      <w:r>
        <w:t>Incidents are classified by severity. Response times and escalation paths are in the matrix below. Every SEV1 and SEV2 incident needs a written post-mortem within 5 working days.</w:t>
      </w:r>
    </w:p>
    <w:p>
      <w:r>
        <w:drawing>
          <wp:inline xmlns:a="http://schemas.openxmlformats.org/drawingml/2006/main" xmlns:pic="http://schemas.openxmlformats.org/drawingml/2006/picture">
            <wp:extent cx="5400000" cy="2094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seve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945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OrbitDesk Platform Architecture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