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="480" w:lineRule="auto"/>
        <w:rPr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Overview -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descr="CV-Week-2-Journey-Map.png" id="1" name="image1.png"/>
            <a:graphic>
              <a:graphicData uri="http://schemas.openxmlformats.org/drawingml/2006/picture">
                <pic:pic>
                  <pic:nvPicPr>
                    <pic:cNvPr descr="CV-Week-2-Journey-Ma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dy5x4dyf9qq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QUICK RECAP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In the previous week, we learned about the different layers of CNN architecture. Let us quickly recap what we have covered so far.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convolutional neural networks are different from artificial neural networks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Convolutional neural networks architecture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Convolution Layer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Pooling Layer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2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Fully-connected Layer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qo6iokmd08c4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COURSE OVERVIEW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4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1193800"/>
            <wp:effectExtent b="0" l="0" r="0" t="0"/>
            <wp:docPr descr="CV-Week-2-Course-Overview.png" id="2" name="image2.png"/>
            <a:graphic>
              <a:graphicData uri="http://schemas.openxmlformats.org/drawingml/2006/picture">
                <pic:pic>
                  <pic:nvPicPr>
                    <pic:cNvPr descr="CV-Week-2-Course-Overview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vd4534hyv47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WEEK 2 OVERVIEW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This week, we will be learning about how to use pre trained models to deal with wide range of problems. The following topics will be covered in this module: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Regularization in CNNs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Transfer learning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2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types of transfer learning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nklo817hx1ep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LEARNING INSTRUMENTS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2.7272727272727"/>
        <w:gridCol w:w="2746.1157024793392"/>
        <w:gridCol w:w="992.7272727272727"/>
        <w:gridCol w:w="1276.3636363636365"/>
        <w:gridCol w:w="2011.2396694214876"/>
        <w:gridCol w:w="1340.8264462809918"/>
        <w:tblGridChange w:id="0">
          <w:tblGrid>
            <w:gridCol w:w="992.7272727272727"/>
            <w:gridCol w:w="2746.1157024793392"/>
            <w:gridCol w:w="992.7272727272727"/>
            <w:gridCol w:w="1276.3636363636365"/>
            <w:gridCol w:w="2011.2396694214876"/>
            <w:gridCol w:w="1340.8264462809918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Weekly Graded 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Introduction to 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~1.5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l75c4cqfzopa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Note: It is recommended to spend at least 1 hour/day along with practicing datasets and quizzes.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Ahead!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