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Overview - Large Language Models and Prompt Engineering</w:t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</w:rPr>
      </w:pPr>
      <w:r w:rsidDel="00000000" w:rsidR="00000000" w:rsidRPr="00000000">
        <w:fldChar w:fldCharType="begin"/>
        <w:instrText xml:space="preserve"> HYPERLINK "https://olympus.mygreatlearning.com/courses/111352/modules/items/5520745?pb_id=17388"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Previous</w:t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"https://olympus.mygreatlearning.com/courses/111352/modules/items/5520701?pb_id=17388"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Next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color w:val="1155cc"/>
          <w:sz w:val="22"/>
          <w:szCs w:val="22"/>
        </w:rPr>
      </w:pPr>
      <w:bookmarkStart w:colFirst="0" w:colLast="0" w:name="_cho85f2dfvi1" w:id="0"/>
      <w:bookmarkEnd w:id="0"/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sz w:val="22"/>
            <w:szCs w:val="22"/>
          </w:rPr>
          <w:drawing>
            <wp:inline distB="114300" distT="114300" distL="114300" distR="114300">
              <wp:extent cx="5943600" cy="2921000"/>
              <wp:effectExtent b="0" l="0" r="0" t="0"/>
              <wp:docPr descr="NLP_Upt-Week-4-Journey-Map-1.png" id="2" name="image1.png"/>
              <a:graphic>
                <a:graphicData uri="http://schemas.openxmlformats.org/drawingml/2006/picture">
                  <pic:pic>
                    <pic:nvPicPr>
                      <pic:cNvPr descr="NLP_Upt-Week-4-Journey-Map-1.png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2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mslyzuw70eo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QUICK RECAP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In the previous week, we learned about transformers, how they utilize the concept of self-attention, and different transformer architectures. Let us quickly recap what we have covered so far.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Transformers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Attention Mechanism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Components of a Transformer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 of Transformer Architectures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Training and Fine-tuning Transformers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Applications of Transformers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8uopyanivf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COURSE OVERVIEW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descr="NLP_upt-Week-3-Course-Overview.png" id="1" name="image2.png"/>
            <a:graphic>
              <a:graphicData uri="http://schemas.openxmlformats.org/drawingml/2006/picture">
                <pic:pic>
                  <pic:nvPicPr>
                    <pic:cNvPr descr="NLP_upt-Week-3-Course-Overview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yxr7h556l75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 OVERVIEW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This week, we will be learning about large language models, how they work, their applications, and the importance of prompt engineering. The following topics will be covered in this module: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to Large Language Models (LLMs)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Training of LLMs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Evaluation of LLMs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Applications of LLMs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to Prompt Engineering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Strategies for Devising Effective Prompts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Ethical Usage of AI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3gj3tlp8q7w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LEARNING INSTRUMENTS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7.1428571428571"/>
        <w:gridCol w:w="1851.4285714285713"/>
        <w:gridCol w:w="912.8571428571428"/>
        <w:gridCol w:w="1157.142857142857"/>
        <w:gridCol w:w="1980"/>
        <w:gridCol w:w="1170"/>
        <w:gridCol w:w="1581.4285714285713"/>
        <w:tblGridChange w:id="0">
          <w:tblGrid>
            <w:gridCol w:w="707.1428571428571"/>
            <w:gridCol w:w="1851.4285714285713"/>
            <w:gridCol w:w="912.8571428571428"/>
            <w:gridCol w:w="1157.142857142857"/>
            <w:gridCol w:w="1980"/>
            <w:gridCol w:w="1170"/>
            <w:gridCol w:w="1581.4285714285713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before="340" w:line="36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01C">
            <w:pPr>
              <w:spacing w:after="340" w:before="340" w:line="3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before="340" w:line="36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  <w:p w:rsidR="00000000" w:rsidDel="00000000" w:rsidP="00000000" w:rsidRDefault="00000000" w:rsidRPr="00000000" w14:paraId="0000001E">
            <w:pPr>
              <w:spacing w:after="340" w:before="340" w:line="3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Test Your Understanding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Graded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Practice 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Large Language Models and Prompt Engineering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~2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color w:val="000000"/>
          <w:sz w:val="22"/>
          <w:szCs w:val="22"/>
        </w:rPr>
      </w:pPr>
      <w:bookmarkStart w:colFirst="0" w:colLast="0" w:name="_5y8527o6l0h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It is recommended to spend at least 1 hour/day along with practicing datasets and quizzes.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Ahead!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ympus.mygreatlearning.com/courses/111352/modules/items/5520701?pb_id=1738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