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052"/>
          <w:sz w:val="48"/>
        </w:rPr>
        <w:t>PMO Portfolio: From Strategy to Success</w:t>
      </w:r>
    </w:p>
    <w:p>
      <w:pPr>
        <w:jc w:val="center"/>
      </w:pPr>
      <w:r>
        <w:rPr>
          <w:color w:val="00748B"/>
          <w:sz w:val="28"/>
        </w:rPr>
        <w:t>Insights answering all 15 required challenge questions</w:t>
      </w:r>
    </w:p>
    <w:p>
      <w:pPr>
        <w:jc w:val="center"/>
      </w:pPr>
      <w:r>
        <w:rPr>
          <w:i/>
        </w:rPr>
        <w:t>Evidence-led analysis • Leadership implications • Recommended actions</w:t>
      </w:r>
    </w:p>
    <w:p>
      <w:pPr>
        <w:pStyle w:val="Heading1"/>
      </w:pPr>
      <w:r>
        <w:t>Executive summary</w:t>
      </w:r>
    </w:p>
    <w:p>
      <w:pPr>
        <w:pStyle w:val="ListBullet"/>
      </w:pPr>
      <w:r>
        <w:t>The workbook contains 100 projects and 1,696 monthly snapshot rows. The latest available snapshot was selected separately for each project to avoid adding repeated monthly snapshots together.</w:t>
      </w:r>
    </w:p>
    <w:p>
      <w:pPr>
        <w:pStyle w:val="ListBullet"/>
      </w:pPr>
      <w:r>
        <w:t>Across the latest available project records, average SPI is 0.95 and average CPI is 0.92; both are below 1.00, indicating schedule and cost efficiency concerns at portfolio level.</w:t>
      </w:r>
    </w:p>
    <w:p>
      <w:pPr>
        <w:pStyle w:val="ListBullet"/>
      </w:pPr>
      <w:r>
        <w:t>Forecast total cost is €98.31M against a baseline budget of €86.38M, a combined forecast difference of €11.93M. This is the sum of project-level forecast costs minus baseline budgets, not a cash-spend figure.</w:t>
      </w:r>
    </w:p>
    <w:p>
      <w:pPr>
        <w:pStyle w:val="ListBullet"/>
      </w:pPr>
      <w:r>
        <w:t>Weighted benefit realisation is 71.7% based on realised benefits to date divided by planned benefits to date. The latest snapshots also show 125 overdue milestones, including 55 critical overdue milestones, and 107 overdue mitigation actions.</w:t>
      </w:r>
    </w:p>
    <w:p>
      <w:pPr>
        <w:pStyle w:val="ListBullet"/>
      </w:pPr>
      <w:r>
        <w:t>The strongest immediate management focus is to recover the most delayed/high-risk projects, resolve resource shortfalls in Risk &amp; Compliance and Finance, and verify benefit delivery on projects whose delivery-health indicators look healthy but benefit realisation is low.</w:t>
      </w:r>
    </w:p>
    <w:p>
      <w:pPr>
        <w:pStyle w:val="Heading1"/>
      </w:pPr>
      <w:r>
        <w:t>Scope, definitions and interpretation</w:t>
      </w:r>
    </w:p>
    <w:p>
      <w:pPr>
        <w:pStyle w:val="ListBullet"/>
      </w:pPr>
      <w:r>
        <w:t>Source: PMO Portfolio challenge workbook supplied with the brief. The analysis uses FactProjectMonthly and the accompanying dimension tables.</w:t>
      </w:r>
    </w:p>
    <w:p>
      <w:pPr>
        <w:pStyle w:val="ListBullet"/>
      </w:pPr>
      <w:r>
        <w:t>Grain: one row in FactProjectMonthly represents a project at a reporting-date snapshot. The dataset contains repeated monthly records for the same project; summing cumulative fields across months would overstate values.</w:t>
      </w:r>
    </w:p>
    <w:p>
      <w:pPr>
        <w:pStyle w:val="ListBullet"/>
      </w:pPr>
      <w:r>
        <w:t>Latest snapshot method: the latest available reporting date was selected for each ProjectKey. Projects do not all have the same latest reporting date, so this is a latest-available view rather than a perfectly synchronised single-date portfolio snapshot.</w:t>
      </w:r>
    </w:p>
    <w:p>
      <w:pPr>
        <w:pStyle w:val="ListBullet"/>
      </w:pPr>
      <w:r>
        <w:t>SPI and CPI are interpreted using the conventional threshold of 1.00: below 1.00 indicates underperformance relative to plan; above 1.00 indicates performance above plan. These are indicators, not standalone proof of root cause.</w:t>
      </w:r>
    </w:p>
    <w:p>
      <w:pPr>
        <w:pStyle w:val="ListBullet"/>
      </w:pPr>
      <w:r>
        <w:t>Forecast benefit-to-budget ratio = ForecastBenefitEUR / BaselineBudgetEUR. It is an expected-value ratio, not ROI, profit margin or a discounted financial return.</w:t>
      </w:r>
    </w:p>
    <w:p>
      <w:pPr>
        <w:pStyle w:val="ListBullet"/>
      </w:pPr>
      <w:r>
        <w:t>ResourceCapacityGapHours is interpreted using the dataset's sign convention: negative values indicate a shortage and positive values indicate surplus capacity. A net total can conceal shortages offset by surpluses elsewhere.</w:t>
      </w:r>
    </w:p>
    <w:p>
      <w:pPr>
        <w:pStyle w:val="ListBullet"/>
      </w:pPr>
      <w:r>
        <w:t>Correlation and subgroup comparisons show associations, not causation. Project prioritisation recommendations are screening recommendations; formal pause/termination decisions require business case, dependencies, regulatory obligations and sponsor review.</w:t>
      </w:r>
    </w:p>
    <w:p>
      <w:pPr>
        <w:pStyle w:val="Heading1"/>
      </w:pPr>
      <w:r>
        <w:t>Insights for all 15 required questions</w:t>
      </w:r>
    </w:p>
    <w:p>
      <w:pPr>
        <w:pStyle w:val="Heading2"/>
      </w:pPr>
      <w:r>
        <w:t>1. How has overall portfolio performance changed over time, and which trends require leadership attention?</w:t>
      </w:r>
    </w:p>
    <w:p>
      <w:r>
        <w:t>Across reporting-month averages, SPI moved from 0.90 in Oct 2023 to 0.94 in Sep 2026; CPI moved from 1.02 to 0.94. Average reported delay moved from 43.7 to 57.8 days. These aggregate trends indicate that schedule efficiency has improved from the earliest snapshot period but remains below 1.00, while recent average delay has increased again.</w:t>
      </w:r>
    </w:p>
    <w:p>
      <w:r>
        <w:t>Leadership attention: monitor SPI/CPI alongside forecast delay, milestone slippage, risk exposure and benefit realisation. The snapshot population varies by month, so use a consistent project cohort or project-level trend measures before attributing the changes to portfolio-wide improvement or deterioration.</w:t>
      </w:r>
    </w:p>
    <w:p>
      <w:r>
        <w:t>Recommended action: use a monthly exception review with a fixed cohort, highlighting projects with declining SPI/CPI, increasing delay, rising risk or falling benefit realisation.</w:t>
      </w:r>
    </w:p>
    <w:p>
      <w:pPr>
        <w:pStyle w:val="Heading2"/>
      </w:pPr>
      <w:r>
        <w:t>2. Which programmes, business units or locations show the greatest variation in project performance?</w:t>
      </w:r>
    </w:p>
    <w:p>
      <w:r>
        <w:t>Business units: Finance has the lowest average SPI (0.85); Finance has the lowest average CPI (0.87); and Finance has the highest average forecast delay (97.0 days). Risk &amp; Compliance has the largest summed resource shortfall (-10,465 hours).</w:t>
      </w:r>
    </w:p>
    <w:p>
      <w:r>
        <w:t>Programmes: Finance Transformation has the lowest average SPI (0.85) and Regulatory Readiness has the highest average delay (100.2 days). By location, Berlin has the highest average delay (70.8 days). These are average comparisons; smaller groups can be disproportionately affected by one project.</w:t>
      </w:r>
    </w:p>
    <w:p>
      <w:r>
        <w:t>Recommended action: drill from portfolio to business unit/programme/location, then inspect project-level exceptions. Do not rank teams without considering portfolio mix, project complexity and sample size.</w:t>
      </w:r>
    </w:p>
    <w:p>
      <w:pPr>
        <w:pStyle w:val="Heading2"/>
      </w:pPr>
      <w:r>
        <w:t>3. Which measures show the strongest improvement or decline?</w:t>
      </w:r>
    </w:p>
    <w:p>
      <w:r>
        <w:t>At the latest available project snapshots, average SPI is 0.95, average CPI is 0.92, and average forecast delay is 46.0 days. 25 projects have SPI below 0.90, while 37 have CPI below 0.90. 42 projects have more than 30 forecast delay days.</w:t>
      </w:r>
    </w:p>
    <w:p>
      <w:r>
        <w:t>The month-by-month mean SPI/CPI series should be used to identify turning points, but because the latest reporting date differs by project and monthly coverage is uneven, a clean improvement/decline claim should be based on like-for-like project comparisons or a project-level time-series visual.</w:t>
      </w:r>
    </w:p>
    <w:p>
      <w:r>
        <w:t>Recommended action: add month-over-month change indicators for SPI, CPI, forecast delay, cost overrun and benefit realisation; flag deterioration rather than only showing current status.</w:t>
      </w:r>
    </w:p>
    <w:p>
      <w:pPr>
        <w:pStyle w:val="Heading2"/>
      </w:pPr>
      <w:r>
        <w:t>4. Where are the largest schedule delays, cost overruns or delivery inefficiencies?</w:t>
      </w:r>
    </w:p>
    <w:p>
      <w:r>
        <w:t>Largest forecast delays in the latest available records:</w:t>
      </w:r>
    </w:p>
    <w:p>
      <w:pPr>
        <w:pStyle w:val="ListBullet"/>
      </w:pPr>
      <w:r>
        <w:t>Customer Modernisation 020 (ProjectKey 20): 319 days delay; SPI 0.70; risk score 178; 3 overdue mitigation actions.</w:t>
      </w:r>
    </w:p>
    <w:p>
      <w:pPr>
        <w:pStyle w:val="ListBullet"/>
      </w:pPr>
      <w:r>
        <w:t>Commerce Renewal 062 (ProjectKey 62): 301 days delay; SPI 0.70; risk score 118; 2 overdue mitigation actions.</w:t>
      </w:r>
    </w:p>
    <w:p>
      <w:pPr>
        <w:pStyle w:val="ListBullet"/>
      </w:pPr>
      <w:r>
        <w:t>Planning Analytics 076 (ProjectKey 76): 299 days delay; SPI 0.72; risk score 136; 2 overdue mitigation actions.</w:t>
      </w:r>
    </w:p>
    <w:p>
      <w:pPr>
        <w:pStyle w:val="ListBullet"/>
      </w:pPr>
      <w:r>
        <w:t>Cyber Migration 034 (ProjectKey 34): 255 days delay; SPI 0.72; risk score 164; 3 overdue mitigation actions.</w:t>
      </w:r>
    </w:p>
    <w:p>
      <w:pPr>
        <w:pStyle w:val="ListBullet"/>
      </w:pPr>
      <w:r>
        <w:t>Cyber Consolidation 097 (ProjectKey 97): 250 days delay; SPI 0.69; risk score 136; 2 overdue mitigation actions.</w:t>
      </w:r>
    </w:p>
    <w:p>
      <w:r>
        <w:t>Combined forecast cost is €98.31M versus baseline €86.38M, a net forecast overrun of €11.93M.</w:t>
      </w:r>
    </w:p>
    <w:p>
      <w:r>
        <w:t>Largest project-level forecast cost differences versus baseline:</w:t>
      </w:r>
    </w:p>
    <w:p>
      <w:pPr>
        <w:pStyle w:val="ListBullet"/>
      </w:pPr>
      <w:r>
        <w:t>Identity Optimisation 090 (ProjectKey 90): forecast difference €0.93M; forecast cost €3.01M; baseline €2.08M.</w:t>
      </w:r>
    </w:p>
    <w:p>
      <w:pPr>
        <w:pStyle w:val="ListBullet"/>
      </w:pPr>
      <w:r>
        <w:t>Finance Migration 006 (ProjectKey 6): forecast difference €0.53M; forecast cost €2.01M; baseline €1.48M.</w:t>
      </w:r>
    </w:p>
    <w:p>
      <w:pPr>
        <w:pStyle w:val="ListBullet"/>
      </w:pPr>
      <w:r>
        <w:t>Regulatory Consolidation 069 (ProjectKey 69): forecast difference €0.53M; forecast cost €1.78M; baseline €1.25M.</w:t>
      </w:r>
    </w:p>
    <w:p>
      <w:pPr>
        <w:pStyle w:val="ListBullet"/>
      </w:pPr>
      <w:r>
        <w:t>Workforce Transformation 014 (ProjectKey 14): forecast difference €0.53M; forecast cost €2.77M; baseline €2.25M.</w:t>
      </w:r>
    </w:p>
    <w:p>
      <w:pPr>
        <w:pStyle w:val="ListBullet"/>
      </w:pPr>
      <w:r>
        <w:t>Planning Analytics 076 (ProjectKey 76): forecast difference €0.48M; forecast cost €1.65M; baseline €1.17M.</w:t>
      </w:r>
    </w:p>
    <w:p>
      <w:r>
        <w:t>Recommended action: start with the intersection of delay, poor SPI/CPI, critical overdue milestones, high risk and overdue mitigation actions. A high forecast cost difference should be investigated alongside approved scope changes before concluding that it is uncontrolled overspend.</w:t>
      </w:r>
    </w:p>
    <w:p>
      <w:pPr>
        <w:pStyle w:val="Heading2"/>
      </w:pPr>
      <w:r>
        <w:t>5. Which programmes, business units or project categories explain the biggest differences in performance?</w:t>
      </w:r>
    </w:p>
    <w:p>
      <w:r>
        <w:t>Finance and Risk &amp; Compliance are key areas for review: Finance has average SPI 0.85, CPI 0.87 and average delay 97.0 days; Risk &amp; Compliance has average SPI 0.90, 24 projects, and the largest resource shortfall.</w:t>
      </w:r>
    </w:p>
    <w:p>
      <w:r>
        <w:t>At programme level, Finance Transformation has the weakest average SPI (0.85); Regulatory Readiness has the highest average delay (100.2 days). The dataset supports these as areas of concentrated performance concern, but it does not prove the programme or business unit itself causes the outcomes.</w:t>
      </w:r>
    </w:p>
    <w:p>
      <w:r>
        <w:t>Recommended action: compare delivery stage, complexity, priority, delivery model and project mix within the weaker groups to separate structural issues from individual project outliers.</w:t>
      </w:r>
    </w:p>
    <w:p>
      <w:pPr>
        <w:pStyle w:val="Heading2"/>
      </w:pPr>
      <w:r>
        <w:t>6. How do key delivery metrics compare across strategic themes, methodologies and priority levels?</w:t>
      </w:r>
    </w:p>
    <w:p>
      <w:r>
        <w:t>Strategic theme comparison (latest available snapshot per project):</w:t>
      </w:r>
    </w:p>
    <w:tbl>
      <w:tblPr>
        <w:tblStyle w:val="LightShading-Accent1"/>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163052"/>
          </w:tcPr>
          <w:p>
            <w:r>
              <w:rPr>
                <w:b/>
                <w:color w:val="FFFFFF"/>
                <w:sz w:val="16"/>
              </w:rPr>
              <w:t>Strategic theme</w:t>
            </w:r>
          </w:p>
        </w:tc>
        <w:tc>
          <w:tcPr>
            <w:tcW w:type="dxa" w:w="1461"/>
            <w:shd w:fill="163052"/>
          </w:tcPr>
          <w:p>
            <w:r>
              <w:rPr>
                <w:b/>
                <w:color w:val="FFFFFF"/>
                <w:sz w:val="16"/>
              </w:rPr>
              <w:t>Projects</w:t>
            </w:r>
          </w:p>
        </w:tc>
        <w:tc>
          <w:tcPr>
            <w:tcW w:type="dxa" w:w="1461"/>
            <w:shd w:fill="163052"/>
          </w:tcPr>
          <w:p>
            <w:r>
              <w:rPr>
                <w:b/>
                <w:color w:val="FFFFFF"/>
                <w:sz w:val="16"/>
              </w:rPr>
              <w:t>Avg SPI</w:t>
            </w:r>
          </w:p>
        </w:tc>
        <w:tc>
          <w:tcPr>
            <w:tcW w:type="dxa" w:w="1461"/>
            <w:shd w:fill="163052"/>
          </w:tcPr>
          <w:p>
            <w:r>
              <w:rPr>
                <w:b/>
                <w:color w:val="FFFFFF"/>
                <w:sz w:val="16"/>
              </w:rPr>
              <w:t>Avg CPI</w:t>
            </w:r>
          </w:p>
        </w:tc>
        <w:tc>
          <w:tcPr>
            <w:tcW w:type="dxa" w:w="1461"/>
            <w:shd w:fill="163052"/>
          </w:tcPr>
          <w:p>
            <w:r>
              <w:rPr>
                <w:b/>
                <w:color w:val="FFFFFF"/>
                <w:sz w:val="16"/>
              </w:rPr>
              <w:t>Avg delay</w:t>
            </w:r>
          </w:p>
        </w:tc>
        <w:tc>
          <w:tcPr>
            <w:tcW w:type="dxa" w:w="1461"/>
            <w:shd w:fill="163052"/>
          </w:tcPr>
          <w:p>
            <w:r>
              <w:rPr>
                <w:b/>
                <w:color w:val="FFFFFF"/>
                <w:sz w:val="16"/>
              </w:rPr>
              <w:t>Avg risk</w:t>
            </w:r>
          </w:p>
        </w:tc>
        <w:tc>
          <w:tcPr>
            <w:tcW w:type="dxa" w:w="1461"/>
            <w:shd w:fill="163052"/>
          </w:tcPr>
          <w:p>
            <w:r>
              <w:rPr>
                <w:b/>
                <w:color w:val="FFFFFF"/>
                <w:sz w:val="16"/>
              </w:rPr>
              <w:t>Avg benefit realisation</w:t>
            </w:r>
          </w:p>
        </w:tc>
      </w:tr>
      <w:tr>
        <w:tc>
          <w:tcPr>
            <w:tcW w:type="dxa" w:w="1461"/>
            <w:vAlign w:val="center"/>
          </w:tcPr>
          <w:p>
            <w:r>
              <w:rPr>
                <w:sz w:val="15"/>
              </w:rPr>
              <w:t>Cost Efficiency</w:t>
            </w:r>
          </w:p>
        </w:tc>
        <w:tc>
          <w:tcPr>
            <w:tcW w:type="dxa" w:w="1461"/>
            <w:vAlign w:val="center"/>
          </w:tcPr>
          <w:p>
            <w:r>
              <w:rPr>
                <w:sz w:val="15"/>
              </w:rPr>
              <w:t>13</w:t>
            </w:r>
          </w:p>
        </w:tc>
        <w:tc>
          <w:tcPr>
            <w:tcW w:type="dxa" w:w="1461"/>
            <w:vAlign w:val="center"/>
          </w:tcPr>
          <w:p>
            <w:r>
              <w:rPr>
                <w:sz w:val="15"/>
              </w:rPr>
              <w:t>0.94</w:t>
            </w:r>
          </w:p>
        </w:tc>
        <w:tc>
          <w:tcPr>
            <w:tcW w:type="dxa" w:w="1461"/>
            <w:vAlign w:val="center"/>
          </w:tcPr>
          <w:p>
            <w:r>
              <w:rPr>
                <w:sz w:val="15"/>
              </w:rPr>
              <w:t>0.89</w:t>
            </w:r>
          </w:p>
        </w:tc>
        <w:tc>
          <w:tcPr>
            <w:tcW w:type="dxa" w:w="1461"/>
            <w:vAlign w:val="center"/>
          </w:tcPr>
          <w:p>
            <w:r>
              <w:rPr>
                <w:sz w:val="15"/>
              </w:rPr>
              <w:t>44.2 d</w:t>
            </w:r>
          </w:p>
        </w:tc>
        <w:tc>
          <w:tcPr>
            <w:tcW w:type="dxa" w:w="1461"/>
            <w:vAlign w:val="center"/>
          </w:tcPr>
          <w:p>
            <w:r>
              <w:rPr>
                <w:sz w:val="15"/>
              </w:rPr>
              <w:t>62.5</w:t>
            </w:r>
          </w:p>
        </w:tc>
        <w:tc>
          <w:tcPr>
            <w:tcW w:type="dxa" w:w="1461"/>
            <w:vAlign w:val="center"/>
          </w:tcPr>
          <w:p>
            <w:r>
              <w:rPr>
                <w:sz w:val="15"/>
              </w:rPr>
              <w:t>79.1%</w:t>
            </w:r>
          </w:p>
        </w:tc>
      </w:tr>
      <w:tr>
        <w:tc>
          <w:tcPr>
            <w:tcW w:type="dxa" w:w="1461"/>
            <w:vAlign w:val="center"/>
          </w:tcPr>
          <w:p>
            <w:r>
              <w:rPr>
                <w:sz w:val="15"/>
              </w:rPr>
              <w:t>Customer Experience</w:t>
            </w:r>
          </w:p>
        </w:tc>
        <w:tc>
          <w:tcPr>
            <w:tcW w:type="dxa" w:w="1461"/>
            <w:vAlign w:val="center"/>
          </w:tcPr>
          <w:p>
            <w:r>
              <w:rPr>
                <w:sz w:val="15"/>
              </w:rPr>
              <w:t>13</w:t>
            </w:r>
          </w:p>
        </w:tc>
        <w:tc>
          <w:tcPr>
            <w:tcW w:type="dxa" w:w="1461"/>
            <w:vAlign w:val="center"/>
          </w:tcPr>
          <w:p>
            <w:r>
              <w:rPr>
                <w:sz w:val="15"/>
              </w:rPr>
              <w:t>0.93</w:t>
            </w:r>
          </w:p>
        </w:tc>
        <w:tc>
          <w:tcPr>
            <w:tcW w:type="dxa" w:w="1461"/>
            <w:vAlign w:val="center"/>
          </w:tcPr>
          <w:p>
            <w:r>
              <w:rPr>
                <w:sz w:val="15"/>
              </w:rPr>
              <w:t>0.94</w:t>
            </w:r>
          </w:p>
        </w:tc>
        <w:tc>
          <w:tcPr>
            <w:tcW w:type="dxa" w:w="1461"/>
            <w:vAlign w:val="center"/>
          </w:tcPr>
          <w:p>
            <w:r>
              <w:rPr>
                <w:sz w:val="15"/>
              </w:rPr>
              <w:t>56.5 d</w:t>
            </w:r>
          </w:p>
        </w:tc>
        <w:tc>
          <w:tcPr>
            <w:tcW w:type="dxa" w:w="1461"/>
            <w:vAlign w:val="center"/>
          </w:tcPr>
          <w:p>
            <w:r>
              <w:rPr>
                <w:sz w:val="15"/>
              </w:rPr>
              <w:t>72.0</w:t>
            </w:r>
          </w:p>
        </w:tc>
        <w:tc>
          <w:tcPr>
            <w:tcW w:type="dxa" w:w="1461"/>
            <w:vAlign w:val="center"/>
          </w:tcPr>
          <w:p>
            <w:r>
              <w:rPr>
                <w:sz w:val="15"/>
              </w:rPr>
              <w:t>70.5%</w:t>
            </w:r>
          </w:p>
        </w:tc>
      </w:tr>
      <w:tr>
        <w:tc>
          <w:tcPr>
            <w:tcW w:type="dxa" w:w="1461"/>
            <w:vAlign w:val="center"/>
          </w:tcPr>
          <w:p>
            <w:r>
              <w:rPr>
                <w:sz w:val="15"/>
              </w:rPr>
              <w:t>Operational Resilience</w:t>
            </w:r>
          </w:p>
        </w:tc>
        <w:tc>
          <w:tcPr>
            <w:tcW w:type="dxa" w:w="1461"/>
            <w:vAlign w:val="center"/>
          </w:tcPr>
          <w:p>
            <w:r>
              <w:rPr>
                <w:sz w:val="15"/>
              </w:rPr>
              <w:t>13</w:t>
            </w:r>
          </w:p>
        </w:tc>
        <w:tc>
          <w:tcPr>
            <w:tcW w:type="dxa" w:w="1461"/>
            <w:vAlign w:val="center"/>
          </w:tcPr>
          <w:p>
            <w:r>
              <w:rPr>
                <w:sz w:val="15"/>
              </w:rPr>
              <w:t>0.95</w:t>
            </w:r>
          </w:p>
        </w:tc>
        <w:tc>
          <w:tcPr>
            <w:tcW w:type="dxa" w:w="1461"/>
            <w:vAlign w:val="center"/>
          </w:tcPr>
          <w:p>
            <w:r>
              <w:rPr>
                <w:sz w:val="15"/>
              </w:rPr>
              <w:t>0.93</w:t>
            </w:r>
          </w:p>
        </w:tc>
        <w:tc>
          <w:tcPr>
            <w:tcW w:type="dxa" w:w="1461"/>
            <w:vAlign w:val="center"/>
          </w:tcPr>
          <w:p>
            <w:r>
              <w:rPr>
                <w:sz w:val="15"/>
              </w:rPr>
              <w:t>70.8 d</w:t>
            </w:r>
          </w:p>
        </w:tc>
        <w:tc>
          <w:tcPr>
            <w:tcW w:type="dxa" w:w="1461"/>
            <w:vAlign w:val="center"/>
          </w:tcPr>
          <w:p>
            <w:r>
              <w:rPr>
                <w:sz w:val="15"/>
              </w:rPr>
              <w:t>68.1</w:t>
            </w:r>
          </w:p>
        </w:tc>
        <w:tc>
          <w:tcPr>
            <w:tcW w:type="dxa" w:w="1461"/>
            <w:vAlign w:val="center"/>
          </w:tcPr>
          <w:p>
            <w:r>
              <w:rPr>
                <w:sz w:val="15"/>
              </w:rPr>
              <w:t>61.4%</w:t>
            </w:r>
          </w:p>
        </w:tc>
      </w:tr>
      <w:tr>
        <w:tc>
          <w:tcPr>
            <w:tcW w:type="dxa" w:w="1461"/>
            <w:vAlign w:val="center"/>
          </w:tcPr>
          <w:p>
            <w:r>
              <w:rPr>
                <w:sz w:val="15"/>
              </w:rPr>
              <w:t>Revenue Growth</w:t>
            </w:r>
          </w:p>
        </w:tc>
        <w:tc>
          <w:tcPr>
            <w:tcW w:type="dxa" w:w="1461"/>
            <w:vAlign w:val="center"/>
          </w:tcPr>
          <w:p>
            <w:r>
              <w:rPr>
                <w:sz w:val="15"/>
              </w:rPr>
              <w:t>13</w:t>
            </w:r>
          </w:p>
        </w:tc>
        <w:tc>
          <w:tcPr>
            <w:tcW w:type="dxa" w:w="1461"/>
            <w:vAlign w:val="center"/>
          </w:tcPr>
          <w:p>
            <w:r>
              <w:rPr>
                <w:sz w:val="15"/>
              </w:rPr>
              <w:t>0.95</w:t>
            </w:r>
          </w:p>
        </w:tc>
        <w:tc>
          <w:tcPr>
            <w:tcW w:type="dxa" w:w="1461"/>
            <w:vAlign w:val="center"/>
          </w:tcPr>
          <w:p>
            <w:r>
              <w:rPr>
                <w:sz w:val="15"/>
              </w:rPr>
              <w:t>0.90</w:t>
            </w:r>
          </w:p>
        </w:tc>
        <w:tc>
          <w:tcPr>
            <w:tcW w:type="dxa" w:w="1461"/>
            <w:vAlign w:val="center"/>
          </w:tcPr>
          <w:p>
            <w:r>
              <w:rPr>
                <w:sz w:val="15"/>
              </w:rPr>
              <w:t>35.8 d</w:t>
            </w:r>
          </w:p>
        </w:tc>
        <w:tc>
          <w:tcPr>
            <w:tcW w:type="dxa" w:w="1461"/>
            <w:vAlign w:val="center"/>
          </w:tcPr>
          <w:p>
            <w:r>
              <w:rPr>
                <w:sz w:val="15"/>
              </w:rPr>
              <w:t>49.1</w:t>
            </w:r>
          </w:p>
        </w:tc>
        <w:tc>
          <w:tcPr>
            <w:tcW w:type="dxa" w:w="1461"/>
            <w:vAlign w:val="center"/>
          </w:tcPr>
          <w:p>
            <w:r>
              <w:rPr>
                <w:sz w:val="15"/>
              </w:rPr>
              <w:t>69.9%</w:t>
            </w:r>
          </w:p>
        </w:tc>
      </w:tr>
      <w:tr>
        <w:tc>
          <w:tcPr>
            <w:tcW w:type="dxa" w:w="1461"/>
            <w:vAlign w:val="center"/>
          </w:tcPr>
          <w:p>
            <w:r>
              <w:rPr>
                <w:sz w:val="15"/>
              </w:rPr>
              <w:t>Risk and Compliance</w:t>
            </w:r>
          </w:p>
        </w:tc>
        <w:tc>
          <w:tcPr>
            <w:tcW w:type="dxa" w:w="1461"/>
            <w:vAlign w:val="center"/>
          </w:tcPr>
          <w:p>
            <w:r>
              <w:rPr>
                <w:sz w:val="15"/>
              </w:rPr>
              <w:t>12</w:t>
            </w:r>
          </w:p>
        </w:tc>
        <w:tc>
          <w:tcPr>
            <w:tcW w:type="dxa" w:w="1461"/>
            <w:vAlign w:val="center"/>
          </w:tcPr>
          <w:p>
            <w:r>
              <w:rPr>
                <w:sz w:val="15"/>
              </w:rPr>
              <w:t>0.93</w:t>
            </w:r>
          </w:p>
        </w:tc>
        <w:tc>
          <w:tcPr>
            <w:tcW w:type="dxa" w:w="1461"/>
            <w:vAlign w:val="center"/>
          </w:tcPr>
          <w:p>
            <w:r>
              <w:rPr>
                <w:sz w:val="15"/>
              </w:rPr>
              <w:t>0.91</w:t>
            </w:r>
          </w:p>
        </w:tc>
        <w:tc>
          <w:tcPr>
            <w:tcW w:type="dxa" w:w="1461"/>
            <w:vAlign w:val="center"/>
          </w:tcPr>
          <w:p>
            <w:r>
              <w:rPr>
                <w:sz w:val="15"/>
              </w:rPr>
              <w:t>62.7 d</w:t>
            </w:r>
          </w:p>
        </w:tc>
        <w:tc>
          <w:tcPr>
            <w:tcW w:type="dxa" w:w="1461"/>
            <w:vAlign w:val="center"/>
          </w:tcPr>
          <w:p>
            <w:r>
              <w:rPr>
                <w:sz w:val="15"/>
              </w:rPr>
              <w:t>58.2</w:t>
            </w:r>
          </w:p>
        </w:tc>
        <w:tc>
          <w:tcPr>
            <w:tcW w:type="dxa" w:w="1461"/>
            <w:vAlign w:val="center"/>
          </w:tcPr>
          <w:p>
            <w:r>
              <w:rPr>
                <w:sz w:val="15"/>
              </w:rPr>
              <w:t>62.1%</w:t>
            </w:r>
          </w:p>
        </w:tc>
      </w:tr>
      <w:tr>
        <w:tc>
          <w:tcPr>
            <w:tcW w:type="dxa" w:w="1461"/>
            <w:vAlign w:val="center"/>
          </w:tcPr>
          <w:p>
            <w:r>
              <w:rPr>
                <w:sz w:val="15"/>
              </w:rPr>
              <w:t>Sustainability</w:t>
            </w:r>
          </w:p>
        </w:tc>
        <w:tc>
          <w:tcPr>
            <w:tcW w:type="dxa" w:w="1461"/>
            <w:vAlign w:val="center"/>
          </w:tcPr>
          <w:p>
            <w:r>
              <w:rPr>
                <w:sz w:val="15"/>
              </w:rPr>
              <w:t>12</w:t>
            </w:r>
          </w:p>
        </w:tc>
        <w:tc>
          <w:tcPr>
            <w:tcW w:type="dxa" w:w="1461"/>
            <w:vAlign w:val="center"/>
          </w:tcPr>
          <w:p>
            <w:r>
              <w:rPr>
                <w:sz w:val="15"/>
              </w:rPr>
              <w:t>0.96</w:t>
            </w:r>
          </w:p>
        </w:tc>
        <w:tc>
          <w:tcPr>
            <w:tcW w:type="dxa" w:w="1461"/>
            <w:vAlign w:val="center"/>
          </w:tcPr>
          <w:p>
            <w:r>
              <w:rPr>
                <w:sz w:val="15"/>
              </w:rPr>
              <w:t>0.94</w:t>
            </w:r>
          </w:p>
        </w:tc>
        <w:tc>
          <w:tcPr>
            <w:tcW w:type="dxa" w:w="1461"/>
            <w:vAlign w:val="center"/>
          </w:tcPr>
          <w:p>
            <w:r>
              <w:rPr>
                <w:sz w:val="15"/>
              </w:rPr>
              <w:t>34.7 d</w:t>
            </w:r>
          </w:p>
        </w:tc>
        <w:tc>
          <w:tcPr>
            <w:tcW w:type="dxa" w:w="1461"/>
            <w:vAlign w:val="center"/>
          </w:tcPr>
          <w:p>
            <w:r>
              <w:rPr>
                <w:sz w:val="15"/>
              </w:rPr>
              <w:t>44.7</w:t>
            </w:r>
          </w:p>
        </w:tc>
        <w:tc>
          <w:tcPr>
            <w:tcW w:type="dxa" w:w="1461"/>
            <w:vAlign w:val="center"/>
          </w:tcPr>
          <w:p>
            <w:r>
              <w:rPr>
                <w:sz w:val="15"/>
              </w:rPr>
              <w:t>73.1%</w:t>
            </w:r>
          </w:p>
        </w:tc>
      </w:tr>
      <w:tr>
        <w:tc>
          <w:tcPr>
            <w:tcW w:type="dxa" w:w="1461"/>
            <w:vAlign w:val="center"/>
          </w:tcPr>
          <w:p>
            <w:r>
              <w:rPr>
                <w:sz w:val="15"/>
              </w:rPr>
              <w:t>Technology Modernisation</w:t>
            </w:r>
          </w:p>
        </w:tc>
        <w:tc>
          <w:tcPr>
            <w:tcW w:type="dxa" w:w="1461"/>
            <w:vAlign w:val="center"/>
          </w:tcPr>
          <w:p>
            <w:r>
              <w:rPr>
                <w:sz w:val="15"/>
              </w:rPr>
              <w:t>12</w:t>
            </w:r>
          </w:p>
        </w:tc>
        <w:tc>
          <w:tcPr>
            <w:tcW w:type="dxa" w:w="1461"/>
            <w:vAlign w:val="center"/>
          </w:tcPr>
          <w:p>
            <w:r>
              <w:rPr>
                <w:sz w:val="15"/>
              </w:rPr>
              <w:t>0.94</w:t>
            </w:r>
          </w:p>
        </w:tc>
        <w:tc>
          <w:tcPr>
            <w:tcW w:type="dxa" w:w="1461"/>
            <w:vAlign w:val="center"/>
          </w:tcPr>
          <w:p>
            <w:r>
              <w:rPr>
                <w:sz w:val="15"/>
              </w:rPr>
              <w:t>0.93</w:t>
            </w:r>
          </w:p>
        </w:tc>
        <w:tc>
          <w:tcPr>
            <w:tcW w:type="dxa" w:w="1461"/>
            <w:vAlign w:val="center"/>
          </w:tcPr>
          <w:p>
            <w:r>
              <w:rPr>
                <w:sz w:val="15"/>
              </w:rPr>
              <w:t>42.2 d</w:t>
            </w:r>
          </w:p>
        </w:tc>
        <w:tc>
          <w:tcPr>
            <w:tcW w:type="dxa" w:w="1461"/>
            <w:vAlign w:val="center"/>
          </w:tcPr>
          <w:p>
            <w:r>
              <w:rPr>
                <w:sz w:val="15"/>
              </w:rPr>
              <w:t>61.7</w:t>
            </w:r>
          </w:p>
        </w:tc>
        <w:tc>
          <w:tcPr>
            <w:tcW w:type="dxa" w:w="1461"/>
            <w:vAlign w:val="center"/>
          </w:tcPr>
          <w:p>
            <w:r>
              <w:rPr>
                <w:sz w:val="15"/>
              </w:rPr>
              <w:t>69.5%</w:t>
            </w:r>
          </w:p>
        </w:tc>
      </w:tr>
      <w:tr>
        <w:tc>
          <w:tcPr>
            <w:tcW w:type="dxa" w:w="1461"/>
            <w:vAlign w:val="center"/>
          </w:tcPr>
          <w:p>
            <w:r>
              <w:rPr>
                <w:sz w:val="15"/>
              </w:rPr>
              <w:t>Workforce Capability</w:t>
            </w:r>
          </w:p>
        </w:tc>
        <w:tc>
          <w:tcPr>
            <w:tcW w:type="dxa" w:w="1461"/>
            <w:vAlign w:val="center"/>
          </w:tcPr>
          <w:p>
            <w:r>
              <w:rPr>
                <w:sz w:val="15"/>
              </w:rPr>
              <w:t>12</w:t>
            </w:r>
          </w:p>
        </w:tc>
        <w:tc>
          <w:tcPr>
            <w:tcW w:type="dxa" w:w="1461"/>
            <w:vAlign w:val="center"/>
          </w:tcPr>
          <w:p>
            <w:r>
              <w:rPr>
                <w:sz w:val="15"/>
              </w:rPr>
              <w:t>0.97</w:t>
            </w:r>
          </w:p>
        </w:tc>
        <w:tc>
          <w:tcPr>
            <w:tcW w:type="dxa" w:w="1461"/>
            <w:vAlign w:val="center"/>
          </w:tcPr>
          <w:p>
            <w:r>
              <w:rPr>
                <w:sz w:val="15"/>
              </w:rPr>
              <w:t>0.90</w:t>
            </w:r>
          </w:p>
        </w:tc>
        <w:tc>
          <w:tcPr>
            <w:tcW w:type="dxa" w:w="1461"/>
            <w:vAlign w:val="center"/>
          </w:tcPr>
          <w:p>
            <w:r>
              <w:rPr>
                <w:sz w:val="15"/>
              </w:rPr>
              <w:t>19.0 d</w:t>
            </w:r>
          </w:p>
        </w:tc>
        <w:tc>
          <w:tcPr>
            <w:tcW w:type="dxa" w:w="1461"/>
            <w:vAlign w:val="center"/>
          </w:tcPr>
          <w:p>
            <w:r>
              <w:rPr>
                <w:sz w:val="15"/>
              </w:rPr>
              <w:t>55.8</w:t>
            </w:r>
          </w:p>
        </w:tc>
        <w:tc>
          <w:tcPr>
            <w:tcW w:type="dxa" w:w="1461"/>
            <w:vAlign w:val="center"/>
          </w:tcPr>
          <w:p>
            <w:r>
              <w:rPr>
                <w:sz w:val="15"/>
              </w:rPr>
              <w:t>71.4%</w:t>
            </w:r>
          </w:p>
        </w:tc>
      </w:tr>
    </w:tbl>
    <w:p>
      <w:r>
        <w:t>Interpretation: these are descriptive averages. Differences may reflect project size, maturity, complexity and risk mix; they should be treated as prompts for deeper investigation rather than evidence that one delivery method or priority causes better performance.</w:t>
      </w:r>
    </w:p>
    <w:p>
      <w:r>
        <w:t>Delivery model comparison (latest available snapshot per project):</w:t>
      </w:r>
    </w:p>
    <w:tbl>
      <w:tblPr>
        <w:tblStyle w:val="LightShading-Accent1"/>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163052"/>
          </w:tcPr>
          <w:p>
            <w:r>
              <w:rPr>
                <w:b/>
                <w:color w:val="FFFFFF"/>
                <w:sz w:val="16"/>
              </w:rPr>
              <w:t>Delivery model</w:t>
            </w:r>
          </w:p>
        </w:tc>
        <w:tc>
          <w:tcPr>
            <w:tcW w:type="dxa" w:w="1461"/>
            <w:shd w:fill="163052"/>
          </w:tcPr>
          <w:p>
            <w:r>
              <w:rPr>
                <w:b/>
                <w:color w:val="FFFFFF"/>
                <w:sz w:val="16"/>
              </w:rPr>
              <w:t>Projects</w:t>
            </w:r>
          </w:p>
        </w:tc>
        <w:tc>
          <w:tcPr>
            <w:tcW w:type="dxa" w:w="1461"/>
            <w:shd w:fill="163052"/>
          </w:tcPr>
          <w:p>
            <w:r>
              <w:rPr>
                <w:b/>
                <w:color w:val="FFFFFF"/>
                <w:sz w:val="16"/>
              </w:rPr>
              <w:t>Avg SPI</w:t>
            </w:r>
          </w:p>
        </w:tc>
        <w:tc>
          <w:tcPr>
            <w:tcW w:type="dxa" w:w="1461"/>
            <w:shd w:fill="163052"/>
          </w:tcPr>
          <w:p>
            <w:r>
              <w:rPr>
                <w:b/>
                <w:color w:val="FFFFFF"/>
                <w:sz w:val="16"/>
              </w:rPr>
              <w:t>Avg CPI</w:t>
            </w:r>
          </w:p>
        </w:tc>
        <w:tc>
          <w:tcPr>
            <w:tcW w:type="dxa" w:w="1461"/>
            <w:shd w:fill="163052"/>
          </w:tcPr>
          <w:p>
            <w:r>
              <w:rPr>
                <w:b/>
                <w:color w:val="FFFFFF"/>
                <w:sz w:val="16"/>
              </w:rPr>
              <w:t>Avg delay</w:t>
            </w:r>
          </w:p>
        </w:tc>
        <w:tc>
          <w:tcPr>
            <w:tcW w:type="dxa" w:w="1461"/>
            <w:shd w:fill="163052"/>
          </w:tcPr>
          <w:p>
            <w:r>
              <w:rPr>
                <w:b/>
                <w:color w:val="FFFFFF"/>
                <w:sz w:val="16"/>
              </w:rPr>
              <w:t>Avg risk</w:t>
            </w:r>
          </w:p>
        </w:tc>
        <w:tc>
          <w:tcPr>
            <w:tcW w:type="dxa" w:w="1461"/>
            <w:shd w:fill="163052"/>
          </w:tcPr>
          <w:p>
            <w:r>
              <w:rPr>
                <w:b/>
                <w:color w:val="FFFFFF"/>
                <w:sz w:val="16"/>
              </w:rPr>
              <w:t>Avg benefit realisation</w:t>
            </w:r>
          </w:p>
        </w:tc>
      </w:tr>
      <w:tr>
        <w:tc>
          <w:tcPr>
            <w:tcW w:type="dxa" w:w="1461"/>
            <w:vAlign w:val="center"/>
          </w:tcPr>
          <w:p>
            <w:r>
              <w:rPr>
                <w:sz w:val="15"/>
              </w:rPr>
              <w:t>Agile</w:t>
            </w:r>
          </w:p>
        </w:tc>
        <w:tc>
          <w:tcPr>
            <w:tcW w:type="dxa" w:w="1461"/>
            <w:vAlign w:val="center"/>
          </w:tcPr>
          <w:p>
            <w:r>
              <w:rPr>
                <w:sz w:val="15"/>
              </w:rPr>
              <w:t>40</w:t>
            </w:r>
          </w:p>
        </w:tc>
        <w:tc>
          <w:tcPr>
            <w:tcW w:type="dxa" w:w="1461"/>
            <w:vAlign w:val="center"/>
          </w:tcPr>
          <w:p>
            <w:r>
              <w:rPr>
                <w:sz w:val="15"/>
              </w:rPr>
              <w:t>0.96</w:t>
            </w:r>
          </w:p>
        </w:tc>
        <w:tc>
          <w:tcPr>
            <w:tcW w:type="dxa" w:w="1461"/>
            <w:vAlign w:val="center"/>
          </w:tcPr>
          <w:p>
            <w:r>
              <w:rPr>
                <w:sz w:val="15"/>
              </w:rPr>
              <w:t>0.93</w:t>
            </w:r>
          </w:p>
        </w:tc>
        <w:tc>
          <w:tcPr>
            <w:tcW w:type="dxa" w:w="1461"/>
            <w:vAlign w:val="center"/>
          </w:tcPr>
          <w:p>
            <w:r>
              <w:rPr>
                <w:sz w:val="15"/>
              </w:rPr>
              <w:t>38.1 d</w:t>
            </w:r>
          </w:p>
        </w:tc>
        <w:tc>
          <w:tcPr>
            <w:tcW w:type="dxa" w:w="1461"/>
            <w:vAlign w:val="center"/>
          </w:tcPr>
          <w:p>
            <w:r>
              <w:rPr>
                <w:sz w:val="15"/>
              </w:rPr>
              <w:t>51.4</w:t>
            </w:r>
          </w:p>
        </w:tc>
        <w:tc>
          <w:tcPr>
            <w:tcW w:type="dxa" w:w="1461"/>
            <w:vAlign w:val="center"/>
          </w:tcPr>
          <w:p>
            <w:r>
              <w:rPr>
                <w:sz w:val="15"/>
              </w:rPr>
              <w:t>69.4%</w:t>
            </w:r>
          </w:p>
        </w:tc>
      </w:tr>
      <w:tr>
        <w:tc>
          <w:tcPr>
            <w:tcW w:type="dxa" w:w="1461"/>
            <w:vAlign w:val="center"/>
          </w:tcPr>
          <w:p>
            <w:r>
              <w:rPr>
                <w:sz w:val="15"/>
              </w:rPr>
              <w:t>Hybrid</w:t>
            </w:r>
          </w:p>
        </w:tc>
        <w:tc>
          <w:tcPr>
            <w:tcW w:type="dxa" w:w="1461"/>
            <w:vAlign w:val="center"/>
          </w:tcPr>
          <w:p>
            <w:r>
              <w:rPr>
                <w:sz w:val="15"/>
              </w:rPr>
              <w:t>32</w:t>
            </w:r>
          </w:p>
        </w:tc>
        <w:tc>
          <w:tcPr>
            <w:tcW w:type="dxa" w:w="1461"/>
            <w:vAlign w:val="center"/>
          </w:tcPr>
          <w:p>
            <w:r>
              <w:rPr>
                <w:sz w:val="15"/>
              </w:rPr>
              <w:t>0.93</w:t>
            </w:r>
          </w:p>
        </w:tc>
        <w:tc>
          <w:tcPr>
            <w:tcW w:type="dxa" w:w="1461"/>
            <w:vAlign w:val="center"/>
          </w:tcPr>
          <w:p>
            <w:r>
              <w:rPr>
                <w:sz w:val="15"/>
              </w:rPr>
              <w:t>0.90</w:t>
            </w:r>
          </w:p>
        </w:tc>
        <w:tc>
          <w:tcPr>
            <w:tcW w:type="dxa" w:w="1461"/>
            <w:vAlign w:val="center"/>
          </w:tcPr>
          <w:p>
            <w:r>
              <w:rPr>
                <w:sz w:val="15"/>
              </w:rPr>
              <w:t>57.3 d</w:t>
            </w:r>
          </w:p>
        </w:tc>
        <w:tc>
          <w:tcPr>
            <w:tcW w:type="dxa" w:w="1461"/>
            <w:vAlign w:val="center"/>
          </w:tcPr>
          <w:p>
            <w:r>
              <w:rPr>
                <w:sz w:val="15"/>
              </w:rPr>
              <w:t>68.1</w:t>
            </w:r>
          </w:p>
        </w:tc>
        <w:tc>
          <w:tcPr>
            <w:tcW w:type="dxa" w:w="1461"/>
            <w:vAlign w:val="center"/>
          </w:tcPr>
          <w:p>
            <w:r>
              <w:rPr>
                <w:sz w:val="15"/>
              </w:rPr>
              <w:t>67.2%</w:t>
            </w:r>
          </w:p>
        </w:tc>
      </w:tr>
      <w:tr>
        <w:tc>
          <w:tcPr>
            <w:tcW w:type="dxa" w:w="1461"/>
            <w:vAlign w:val="center"/>
          </w:tcPr>
          <w:p>
            <w:r>
              <w:rPr>
                <w:sz w:val="15"/>
              </w:rPr>
              <w:t>Waterfall</w:t>
            </w:r>
          </w:p>
        </w:tc>
        <w:tc>
          <w:tcPr>
            <w:tcW w:type="dxa" w:w="1461"/>
            <w:vAlign w:val="center"/>
          </w:tcPr>
          <w:p>
            <w:r>
              <w:rPr>
                <w:sz w:val="15"/>
              </w:rPr>
              <w:t>28</w:t>
            </w:r>
          </w:p>
        </w:tc>
        <w:tc>
          <w:tcPr>
            <w:tcW w:type="dxa" w:w="1461"/>
            <w:vAlign w:val="center"/>
          </w:tcPr>
          <w:p>
            <w:r>
              <w:rPr>
                <w:sz w:val="15"/>
              </w:rPr>
              <w:t>0.95</w:t>
            </w:r>
          </w:p>
        </w:tc>
        <w:tc>
          <w:tcPr>
            <w:tcW w:type="dxa" w:w="1461"/>
            <w:vAlign w:val="center"/>
          </w:tcPr>
          <w:p>
            <w:r>
              <w:rPr>
                <w:sz w:val="15"/>
              </w:rPr>
              <w:t>0.92</w:t>
            </w:r>
          </w:p>
        </w:tc>
        <w:tc>
          <w:tcPr>
            <w:tcW w:type="dxa" w:w="1461"/>
            <w:vAlign w:val="center"/>
          </w:tcPr>
          <w:p>
            <w:r>
              <w:rPr>
                <w:sz w:val="15"/>
              </w:rPr>
              <w:t>44.2 d</w:t>
            </w:r>
          </w:p>
        </w:tc>
        <w:tc>
          <w:tcPr>
            <w:tcW w:type="dxa" w:w="1461"/>
            <w:vAlign w:val="center"/>
          </w:tcPr>
          <w:p>
            <w:r>
              <w:rPr>
                <w:sz w:val="15"/>
              </w:rPr>
              <w:t>60.1</w:t>
            </w:r>
          </w:p>
        </w:tc>
        <w:tc>
          <w:tcPr>
            <w:tcW w:type="dxa" w:w="1461"/>
            <w:vAlign w:val="center"/>
          </w:tcPr>
          <w:p>
            <w:r>
              <w:rPr>
                <w:sz w:val="15"/>
              </w:rPr>
              <w:t>73.9%</w:t>
            </w:r>
          </w:p>
        </w:tc>
      </w:tr>
    </w:tbl>
    <w:p>
      <w:r>
        <w:t>Interpretation: these are descriptive averages. Differences may reflect project size, maturity, complexity and risk mix; they should be treated as prompts for deeper investigation rather than evidence that one delivery method or priority causes better performance.</w:t>
      </w:r>
    </w:p>
    <w:p>
      <w:r>
        <w:t>Priority comparison (latest available snapshot per project):</w:t>
      </w:r>
    </w:p>
    <w:tbl>
      <w:tblPr>
        <w:tblStyle w:val="LightShading-Accent1"/>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163052"/>
          </w:tcPr>
          <w:p>
            <w:r>
              <w:rPr>
                <w:b/>
                <w:color w:val="FFFFFF"/>
                <w:sz w:val="16"/>
              </w:rPr>
              <w:t>Priority</w:t>
            </w:r>
          </w:p>
        </w:tc>
        <w:tc>
          <w:tcPr>
            <w:tcW w:type="dxa" w:w="1461"/>
            <w:shd w:fill="163052"/>
          </w:tcPr>
          <w:p>
            <w:r>
              <w:rPr>
                <w:b/>
                <w:color w:val="FFFFFF"/>
                <w:sz w:val="16"/>
              </w:rPr>
              <w:t>Projects</w:t>
            </w:r>
          </w:p>
        </w:tc>
        <w:tc>
          <w:tcPr>
            <w:tcW w:type="dxa" w:w="1461"/>
            <w:shd w:fill="163052"/>
          </w:tcPr>
          <w:p>
            <w:r>
              <w:rPr>
                <w:b/>
                <w:color w:val="FFFFFF"/>
                <w:sz w:val="16"/>
              </w:rPr>
              <w:t>Avg SPI</w:t>
            </w:r>
          </w:p>
        </w:tc>
        <w:tc>
          <w:tcPr>
            <w:tcW w:type="dxa" w:w="1461"/>
            <w:shd w:fill="163052"/>
          </w:tcPr>
          <w:p>
            <w:r>
              <w:rPr>
                <w:b/>
                <w:color w:val="FFFFFF"/>
                <w:sz w:val="16"/>
              </w:rPr>
              <w:t>Avg CPI</w:t>
            </w:r>
          </w:p>
        </w:tc>
        <w:tc>
          <w:tcPr>
            <w:tcW w:type="dxa" w:w="1461"/>
            <w:shd w:fill="163052"/>
          </w:tcPr>
          <w:p>
            <w:r>
              <w:rPr>
                <w:b/>
                <w:color w:val="FFFFFF"/>
                <w:sz w:val="16"/>
              </w:rPr>
              <w:t>Avg delay</w:t>
            </w:r>
          </w:p>
        </w:tc>
        <w:tc>
          <w:tcPr>
            <w:tcW w:type="dxa" w:w="1461"/>
            <w:shd w:fill="163052"/>
          </w:tcPr>
          <w:p>
            <w:r>
              <w:rPr>
                <w:b/>
                <w:color w:val="FFFFFF"/>
                <w:sz w:val="16"/>
              </w:rPr>
              <w:t>Avg risk</w:t>
            </w:r>
          </w:p>
        </w:tc>
        <w:tc>
          <w:tcPr>
            <w:tcW w:type="dxa" w:w="1461"/>
            <w:shd w:fill="163052"/>
          </w:tcPr>
          <w:p>
            <w:r>
              <w:rPr>
                <w:b/>
                <w:color w:val="FFFFFF"/>
                <w:sz w:val="16"/>
              </w:rPr>
              <w:t>Avg benefit realisation</w:t>
            </w:r>
          </w:p>
        </w:tc>
      </w:tr>
      <w:tr>
        <w:tc>
          <w:tcPr>
            <w:tcW w:type="dxa" w:w="1461"/>
            <w:vAlign w:val="center"/>
          </w:tcPr>
          <w:p>
            <w:r>
              <w:rPr>
                <w:sz w:val="15"/>
              </w:rPr>
              <w:t>Medium</w:t>
            </w:r>
          </w:p>
        </w:tc>
        <w:tc>
          <w:tcPr>
            <w:tcW w:type="dxa" w:w="1461"/>
            <w:vAlign w:val="center"/>
          </w:tcPr>
          <w:p>
            <w:r>
              <w:rPr>
                <w:sz w:val="15"/>
              </w:rPr>
              <w:t>48</w:t>
            </w:r>
          </w:p>
        </w:tc>
        <w:tc>
          <w:tcPr>
            <w:tcW w:type="dxa" w:w="1461"/>
            <w:vAlign w:val="center"/>
          </w:tcPr>
          <w:p>
            <w:r>
              <w:rPr>
                <w:sz w:val="15"/>
              </w:rPr>
              <w:t>0.94</w:t>
            </w:r>
          </w:p>
        </w:tc>
        <w:tc>
          <w:tcPr>
            <w:tcW w:type="dxa" w:w="1461"/>
            <w:vAlign w:val="center"/>
          </w:tcPr>
          <w:p>
            <w:r>
              <w:rPr>
                <w:sz w:val="15"/>
              </w:rPr>
              <w:t>0.91</w:t>
            </w:r>
          </w:p>
        </w:tc>
        <w:tc>
          <w:tcPr>
            <w:tcW w:type="dxa" w:w="1461"/>
            <w:vAlign w:val="center"/>
          </w:tcPr>
          <w:p>
            <w:r>
              <w:rPr>
                <w:sz w:val="15"/>
              </w:rPr>
              <w:t>47.9 d</w:t>
            </w:r>
          </w:p>
        </w:tc>
        <w:tc>
          <w:tcPr>
            <w:tcW w:type="dxa" w:w="1461"/>
            <w:vAlign w:val="center"/>
          </w:tcPr>
          <w:p>
            <w:r>
              <w:rPr>
                <w:sz w:val="15"/>
              </w:rPr>
              <w:t>66.2</w:t>
            </w:r>
          </w:p>
        </w:tc>
        <w:tc>
          <w:tcPr>
            <w:tcW w:type="dxa" w:w="1461"/>
            <w:vAlign w:val="center"/>
          </w:tcPr>
          <w:p>
            <w:r>
              <w:rPr>
                <w:sz w:val="15"/>
              </w:rPr>
              <w:t>67.1%</w:t>
            </w:r>
          </w:p>
        </w:tc>
      </w:tr>
      <w:tr>
        <w:tc>
          <w:tcPr>
            <w:tcW w:type="dxa" w:w="1461"/>
            <w:vAlign w:val="center"/>
          </w:tcPr>
          <w:p>
            <w:r>
              <w:rPr>
                <w:sz w:val="15"/>
              </w:rPr>
              <w:t>High</w:t>
            </w:r>
          </w:p>
        </w:tc>
        <w:tc>
          <w:tcPr>
            <w:tcW w:type="dxa" w:w="1461"/>
            <w:vAlign w:val="center"/>
          </w:tcPr>
          <w:p>
            <w:r>
              <w:rPr>
                <w:sz w:val="15"/>
              </w:rPr>
              <w:t>21</w:t>
            </w:r>
          </w:p>
        </w:tc>
        <w:tc>
          <w:tcPr>
            <w:tcW w:type="dxa" w:w="1461"/>
            <w:vAlign w:val="center"/>
          </w:tcPr>
          <w:p>
            <w:r>
              <w:rPr>
                <w:sz w:val="15"/>
              </w:rPr>
              <w:t>0.97</w:t>
            </w:r>
          </w:p>
        </w:tc>
        <w:tc>
          <w:tcPr>
            <w:tcW w:type="dxa" w:w="1461"/>
            <w:vAlign w:val="center"/>
          </w:tcPr>
          <w:p>
            <w:r>
              <w:rPr>
                <w:sz w:val="15"/>
              </w:rPr>
              <w:t>0.93</w:t>
            </w:r>
          </w:p>
        </w:tc>
        <w:tc>
          <w:tcPr>
            <w:tcW w:type="dxa" w:w="1461"/>
            <w:vAlign w:val="center"/>
          </w:tcPr>
          <w:p>
            <w:r>
              <w:rPr>
                <w:sz w:val="15"/>
              </w:rPr>
              <w:t>27.8 d</w:t>
            </w:r>
          </w:p>
        </w:tc>
        <w:tc>
          <w:tcPr>
            <w:tcW w:type="dxa" w:w="1461"/>
            <w:vAlign w:val="center"/>
          </w:tcPr>
          <w:p>
            <w:r>
              <w:rPr>
                <w:sz w:val="15"/>
              </w:rPr>
              <w:t>41.2</w:t>
            </w:r>
          </w:p>
        </w:tc>
        <w:tc>
          <w:tcPr>
            <w:tcW w:type="dxa" w:w="1461"/>
            <w:vAlign w:val="center"/>
          </w:tcPr>
          <w:p>
            <w:r>
              <w:rPr>
                <w:sz w:val="15"/>
              </w:rPr>
              <w:t>72.4%</w:t>
            </w:r>
          </w:p>
        </w:tc>
      </w:tr>
      <w:tr>
        <w:tc>
          <w:tcPr>
            <w:tcW w:type="dxa" w:w="1461"/>
            <w:vAlign w:val="center"/>
          </w:tcPr>
          <w:p>
            <w:r>
              <w:rPr>
                <w:sz w:val="15"/>
              </w:rPr>
              <w:t>Critical</w:t>
            </w:r>
          </w:p>
        </w:tc>
        <w:tc>
          <w:tcPr>
            <w:tcW w:type="dxa" w:w="1461"/>
            <w:vAlign w:val="center"/>
          </w:tcPr>
          <w:p>
            <w:r>
              <w:rPr>
                <w:sz w:val="15"/>
              </w:rPr>
              <w:t>17</w:t>
            </w:r>
          </w:p>
        </w:tc>
        <w:tc>
          <w:tcPr>
            <w:tcW w:type="dxa" w:w="1461"/>
            <w:vAlign w:val="center"/>
          </w:tcPr>
          <w:p>
            <w:r>
              <w:rPr>
                <w:sz w:val="15"/>
              </w:rPr>
              <w:t>0.95</w:t>
            </w:r>
          </w:p>
        </w:tc>
        <w:tc>
          <w:tcPr>
            <w:tcW w:type="dxa" w:w="1461"/>
            <w:vAlign w:val="center"/>
          </w:tcPr>
          <w:p>
            <w:r>
              <w:rPr>
                <w:sz w:val="15"/>
              </w:rPr>
              <w:t>0.91</w:t>
            </w:r>
          </w:p>
        </w:tc>
        <w:tc>
          <w:tcPr>
            <w:tcW w:type="dxa" w:w="1461"/>
            <w:vAlign w:val="center"/>
          </w:tcPr>
          <w:p>
            <w:r>
              <w:rPr>
                <w:sz w:val="15"/>
              </w:rPr>
              <w:t>50.4 d</w:t>
            </w:r>
          </w:p>
        </w:tc>
        <w:tc>
          <w:tcPr>
            <w:tcW w:type="dxa" w:w="1461"/>
            <w:vAlign w:val="center"/>
          </w:tcPr>
          <w:p>
            <w:r>
              <w:rPr>
                <w:sz w:val="15"/>
              </w:rPr>
              <w:t>49.4</w:t>
            </w:r>
          </w:p>
        </w:tc>
        <w:tc>
          <w:tcPr>
            <w:tcW w:type="dxa" w:w="1461"/>
            <w:vAlign w:val="center"/>
          </w:tcPr>
          <w:p>
            <w:r>
              <w:rPr>
                <w:sz w:val="15"/>
              </w:rPr>
              <w:t>72.3%</w:t>
            </w:r>
          </w:p>
        </w:tc>
      </w:tr>
      <w:tr>
        <w:tc>
          <w:tcPr>
            <w:tcW w:type="dxa" w:w="1461"/>
            <w:vAlign w:val="center"/>
          </w:tcPr>
          <w:p>
            <w:r>
              <w:rPr>
                <w:sz w:val="15"/>
              </w:rPr>
              <w:t>Low</w:t>
            </w:r>
          </w:p>
        </w:tc>
        <w:tc>
          <w:tcPr>
            <w:tcW w:type="dxa" w:w="1461"/>
            <w:vAlign w:val="center"/>
          </w:tcPr>
          <w:p>
            <w:r>
              <w:rPr>
                <w:sz w:val="15"/>
              </w:rPr>
              <w:t>14</w:t>
            </w:r>
          </w:p>
        </w:tc>
        <w:tc>
          <w:tcPr>
            <w:tcW w:type="dxa" w:w="1461"/>
            <w:vAlign w:val="center"/>
          </w:tcPr>
          <w:p>
            <w:r>
              <w:rPr>
                <w:sz w:val="15"/>
              </w:rPr>
              <w:t>0.92</w:t>
            </w:r>
          </w:p>
        </w:tc>
        <w:tc>
          <w:tcPr>
            <w:tcW w:type="dxa" w:w="1461"/>
            <w:vAlign w:val="center"/>
          </w:tcPr>
          <w:p>
            <w:r>
              <w:rPr>
                <w:sz w:val="15"/>
              </w:rPr>
              <w:t>0.92</w:t>
            </w:r>
          </w:p>
        </w:tc>
        <w:tc>
          <w:tcPr>
            <w:tcW w:type="dxa" w:w="1461"/>
            <w:vAlign w:val="center"/>
          </w:tcPr>
          <w:p>
            <w:r>
              <w:rPr>
                <w:sz w:val="15"/>
              </w:rPr>
              <w:t>61.3 d</w:t>
            </w:r>
          </w:p>
        </w:tc>
        <w:tc>
          <w:tcPr>
            <w:tcW w:type="dxa" w:w="1461"/>
            <w:vAlign w:val="center"/>
          </w:tcPr>
          <w:p>
            <w:r>
              <w:rPr>
                <w:sz w:val="15"/>
              </w:rPr>
              <w:t>73.9</w:t>
            </w:r>
          </w:p>
        </w:tc>
        <w:tc>
          <w:tcPr>
            <w:tcW w:type="dxa" w:w="1461"/>
            <w:vAlign w:val="center"/>
          </w:tcPr>
          <w:p>
            <w:r>
              <w:rPr>
                <w:sz w:val="15"/>
              </w:rPr>
              <w:t>71.6%</w:t>
            </w:r>
          </w:p>
        </w:tc>
      </w:tr>
    </w:tbl>
    <w:p>
      <w:r>
        <w:t>Interpretation: these are descriptive averages. Differences may reflect project size, maturity, complexity and risk mix; they should be treated as prompts for deeper investigation rather than evidence that one delivery method or priority causes better performance.</w:t>
      </w:r>
    </w:p>
    <w:p>
      <w:pPr>
        <w:pStyle w:val="Heading2"/>
      </w:pPr>
      <w:r>
        <w:t>7. Are there any outliers or unusual project patterns that require further investigation?</w:t>
      </w:r>
    </w:p>
    <w:p>
      <w:r>
        <w:t>High-delay / high-risk examples:</w:t>
      </w:r>
    </w:p>
    <w:p>
      <w:pPr>
        <w:pStyle w:val="ListBullet"/>
      </w:pPr>
      <w:r>
        <w:t>Customer Modernisation 020 — delay 319 days, risk 178, 4 critical overdue milestones, 3 overdue actions.</w:t>
      </w:r>
    </w:p>
    <w:p>
      <w:pPr>
        <w:pStyle w:val="ListBullet"/>
      </w:pPr>
      <w:r>
        <w:t>Commerce Renewal 062 — delay 301 days, risk 118, 3 critical overdue milestones, 2 overdue actions.</w:t>
      </w:r>
    </w:p>
    <w:p>
      <w:pPr>
        <w:pStyle w:val="ListBullet"/>
      </w:pPr>
      <w:r>
        <w:t>Planning Analytics 076 — delay 299 days, risk 136, 3 critical overdue milestones, 2 overdue actions.</w:t>
      </w:r>
    </w:p>
    <w:p>
      <w:pPr>
        <w:pStyle w:val="ListBullet"/>
      </w:pPr>
      <w:r>
        <w:t>Cyber Migration 034 — delay 255 days, risk 164, 3 critical overdue milestones, 3 overdue actions.</w:t>
      </w:r>
    </w:p>
    <w:p>
      <w:pPr>
        <w:pStyle w:val="ListBullet"/>
      </w:pPr>
      <w:r>
        <w:t>Cyber Consolidation 097 — delay 250 days, risk 136, 3 critical overdue milestones, 2 overdue actions.</w:t>
      </w:r>
    </w:p>
    <w:p>
      <w:r>
        <w:t>Project 13 (Regulatory Controls 013) has the highest risk score in the latest records (193), 188 forecast delay days and four overdue mitigation actions. Project 20 (Customer Modernisation 020) has the largest delay (319 days) among the latest snapshots, with risk score 178 and SPI 0.70. Project 76 (Planning Analytics 076) combines a 299-day delay with risk score 136 and StrategicAlignmentScore 82, suggesting that recovery options deserve review before any stop decision.</w:t>
      </w:r>
    </w:p>
    <w:p>
      <w:r>
        <w:t>Recommended action: validate the baseline and forecast dates, check data freshness and scope changes, and ask the accountable project manager to provide a recovery plan with dated milestones.</w:t>
      </w:r>
    </w:p>
    <w:p>
      <w:pPr>
        <w:pStyle w:val="Heading2"/>
      </w:pPr>
      <w:r>
        <w:t>8. Which factors appear most closely connected to better or worse project outcomes?</w:t>
      </w:r>
    </w:p>
    <w:p>
      <w:pPr>
        <w:pStyle w:val="ListBullet"/>
      </w:pPr>
      <w:r>
        <w:t>Forecast delay and overdue milestones: correlation +0.96.</w:t>
      </w:r>
    </w:p>
    <w:p>
      <w:pPr>
        <w:pStyle w:val="ListBullet"/>
      </w:pPr>
      <w:r>
        <w:t>Risk exposure and overdue mitigation actions: correlation +0.96.</w:t>
      </w:r>
    </w:p>
    <w:p>
      <w:pPr>
        <w:pStyle w:val="ListBullet"/>
      </w:pPr>
      <w:r>
        <w:t>SPI and forecast delay: correlation -0.88.</w:t>
      </w:r>
    </w:p>
    <w:p>
      <w:pPr>
        <w:pStyle w:val="ListBullet"/>
      </w:pPr>
      <w:r>
        <w:t>Portfolio health and stakeholder confidence: correlation +0.96.</w:t>
      </w:r>
    </w:p>
    <w:p>
      <w:pPr>
        <w:pStyle w:val="ListBullet"/>
      </w:pPr>
      <w:r>
        <w:t>CPI and forecast delay: correlation -0.66.</w:t>
      </w:r>
    </w:p>
    <w:p>
      <w:r>
        <w:t>The strongest observed associations are between delay and overdue milestones, risk exposure and overdue mitigation actions, and lower SPI with higher delay. These patterns are consistent with delivery-control issues occurring together. Correlation does not establish direction or causality, and some fields may be components of the portfolio-health scoring logic.</w:t>
      </w:r>
    </w:p>
    <w:p>
      <w:r>
        <w:t>Recommended action: validate the patterns through project case reviews and test whether improving milestone discipline and mitigation closure is followed by better SPI and lower delay.</w:t>
      </w:r>
    </w:p>
    <w:p>
      <w:pPr>
        <w:pStyle w:val="Heading2"/>
      </w:pPr>
      <w:r>
        <w:t>9. Where are the strongest opportunities for operational or portfolio improvement?</w:t>
      </w:r>
    </w:p>
    <w:p>
      <w:r>
        <w:t>1) Resource allocation: Risk &amp; Compliance has a summed gap of -10,465 hours and Finance -5,596 hours. Check role/skill-level capacity before moving resources, since net hours do not show whether skills are interchangeable.</w:t>
      </w:r>
    </w:p>
    <w:p>
      <w:r>
        <w:t>2) Milestone and risk governance: 125 overdue milestones, including 55 critical ones, plus 107 overdue mitigation actions point to a need for dated owners, escalation triggers and closure evidence.</w:t>
      </w:r>
    </w:p>
    <w:p>
      <w:r>
        <w:t>3) Benefit delivery: realised-to-date benefits total €85.41M against planned-to-date benefits of €119.10M. The weighted realisation rate is 71.7%, leaving a planned-to-date gap of €33.69M.</w:t>
      </w:r>
    </w:p>
    <w:p>
      <w:r>
        <w:t>4) Forecast discipline: standardise review of forecast completion dates and forecast cost against baseline; track approved scope changes separately from unapproved variances.</w:t>
      </w:r>
    </w:p>
    <w:p>
      <w:r>
        <w:t>Recommended action: focus on a small portfolio-level recovery agenda: resource rebalancing, critical milestone recovery, mitigation closure and named benefit owners.</w:t>
      </w:r>
    </w:p>
    <w:p>
      <w:pPr>
        <w:pStyle w:val="Heading2"/>
      </w:pPr>
      <w:r>
        <w:t>10. What practical recommendations should leaders prioritise based on the data?</w:t>
      </w:r>
    </w:p>
    <w:p>
      <w:r>
        <w:rPr>
          <w:b/>
        </w:rPr>
        <w:t xml:space="preserve">Priority 1 — Stabilise the most delayed, high-risk projects. </w:t>
      </w:r>
      <w:r>
        <w:t>Run a short, sponsor-led recovery review for projects with high forecast delay, low SPI/CPI, critical overdue milestones and open mitigation actions.</w:t>
      </w:r>
    </w:p>
    <w:p>
      <w:r>
        <w:rPr>
          <w:b/>
        </w:rPr>
        <w:t xml:space="preserve">Priority 2 — Address concentrated capacity gaps. </w:t>
      </w:r>
      <w:r>
        <w:t>Start with Risk &amp; Compliance and Finance. Review skill mix, competing demand, critical path roles and whether capacity can be redeployed from projects with surplus.</w:t>
      </w:r>
    </w:p>
    <w:p>
      <w:r>
        <w:rPr>
          <w:b/>
        </w:rPr>
        <w:t xml:space="preserve">Priority 3 — Strengthen risk and milestone governance. </w:t>
      </w:r>
      <w:r>
        <w:t>Assign a named owner and due date to every overdue critical mitigation action; escalate missed dates and track evidence of closure.</w:t>
      </w:r>
    </w:p>
    <w:p>
      <w:r>
        <w:rPr>
          <w:b/>
        </w:rPr>
        <w:t xml:space="preserve">Priority 4 — Protect value and benefits. </w:t>
      </w:r>
      <w:r>
        <w:t>For high forecast-benefit projects, validate delivery confidence and dependencies. For low benefit realisation, assign benefit owners and test whether benefits are delayed, overstated or no longer achievable.</w:t>
      </w:r>
    </w:p>
    <w:p>
      <w:r>
        <w:rPr>
          <w:b/>
        </w:rPr>
        <w:t xml:space="preserve">Priority 5 — Improve forecast and data quality. </w:t>
      </w:r>
      <w:r>
        <w:t>Use a consistent latest-snapshot date, validate forecast dates and baseline changes, and avoid summing monthly cumulative measures.</w:t>
      </w:r>
    </w:p>
    <w:p>
      <w:r>
        <w:rPr>
          <w:b/>
        </w:rPr>
        <w:t xml:space="preserve">Priority 6 — Make portfolio decisions explicit. </w:t>
      </w:r>
      <w:r>
        <w:t>Classify projects as accelerate, recover, maintain, pause-review or termination-review using strategic alignment, risk, delivery performance, dependencies and benefit case.</w:t>
      </w:r>
    </w:p>
    <w:p>
      <w:pPr>
        <w:pStyle w:val="Heading2"/>
      </w:pPr>
      <w:r>
        <w:t>11. Which projects are delivering the greatest expected value relative to their approved budget?</w:t>
      </w:r>
    </w:p>
    <w:p>
      <w:r>
        <w:t>The following projects have the highest forecast-benefit-to-baseline-budget ratios in the latest available snapshots. This is a screening list, not an automatic funding recommendation:</w:t>
      </w:r>
    </w:p>
    <w:tbl>
      <w:tblPr>
        <w:tblStyle w:val="LightShading-Accent1"/>
        <w:tblW w:type="auto" w:w="0"/>
        <w:jc w:val="center"/>
        <w:tblLook w:firstColumn="1" w:firstRow="1" w:lastColumn="0" w:lastRow="0" w:noHBand="0" w:noVBand="1" w:val="04A0"/>
      </w:tblPr>
      <w:tblGrid>
        <w:gridCol w:w="2045"/>
        <w:gridCol w:w="2045"/>
        <w:gridCol w:w="2045"/>
        <w:gridCol w:w="2045"/>
        <w:gridCol w:w="2045"/>
      </w:tblGrid>
      <w:tr>
        <w:tc>
          <w:tcPr>
            <w:tcW w:type="dxa" w:w="2045"/>
            <w:shd w:fill="163052"/>
          </w:tcPr>
          <w:p>
            <w:r>
              <w:rPr>
                <w:b/>
                <w:color w:val="FFFFFF"/>
                <w:sz w:val="16"/>
              </w:rPr>
              <w:t>Project</w:t>
            </w:r>
          </w:p>
        </w:tc>
        <w:tc>
          <w:tcPr>
            <w:tcW w:type="dxa" w:w="2045"/>
            <w:shd w:fill="163052"/>
          </w:tcPr>
          <w:p>
            <w:r>
              <w:rPr>
                <w:b/>
                <w:color w:val="FFFFFF"/>
                <w:sz w:val="16"/>
              </w:rPr>
              <w:t>Forecast benefit</w:t>
            </w:r>
          </w:p>
        </w:tc>
        <w:tc>
          <w:tcPr>
            <w:tcW w:type="dxa" w:w="2045"/>
            <w:shd w:fill="163052"/>
          </w:tcPr>
          <w:p>
            <w:r>
              <w:rPr>
                <w:b/>
                <w:color w:val="FFFFFF"/>
                <w:sz w:val="16"/>
              </w:rPr>
              <w:t>Baseline budget</w:t>
            </w:r>
          </w:p>
        </w:tc>
        <w:tc>
          <w:tcPr>
            <w:tcW w:type="dxa" w:w="2045"/>
            <w:shd w:fill="163052"/>
          </w:tcPr>
          <w:p>
            <w:r>
              <w:rPr>
                <w:b/>
                <w:color w:val="FFFFFF"/>
                <w:sz w:val="16"/>
              </w:rPr>
              <w:t>Benefit / budget</w:t>
            </w:r>
          </w:p>
        </w:tc>
        <w:tc>
          <w:tcPr>
            <w:tcW w:type="dxa" w:w="2045"/>
            <w:shd w:fill="163052"/>
          </w:tcPr>
          <w:p>
            <w:r>
              <w:rPr>
                <w:b/>
                <w:color w:val="FFFFFF"/>
                <w:sz w:val="16"/>
              </w:rPr>
              <w:t>Strategic alignment</w:t>
            </w:r>
          </w:p>
        </w:tc>
      </w:tr>
      <w:tr>
        <w:tc>
          <w:tcPr>
            <w:tcW w:type="dxa" w:w="2045"/>
          </w:tcPr>
          <w:p>
            <w:r>
              <w:rPr>
                <w:sz w:val="16"/>
              </w:rPr>
              <w:t>Finance Renewal 092 (Key 92)</w:t>
            </w:r>
          </w:p>
        </w:tc>
        <w:tc>
          <w:tcPr>
            <w:tcW w:type="dxa" w:w="2045"/>
          </w:tcPr>
          <w:p>
            <w:r>
              <w:rPr>
                <w:sz w:val="16"/>
              </w:rPr>
              <w:t>€4.02M</w:t>
            </w:r>
          </w:p>
        </w:tc>
        <w:tc>
          <w:tcPr>
            <w:tcW w:type="dxa" w:w="2045"/>
          </w:tcPr>
          <w:p>
            <w:r>
              <w:rPr>
                <w:sz w:val="16"/>
              </w:rPr>
              <w:t>€1.34M</w:t>
            </w:r>
          </w:p>
        </w:tc>
        <w:tc>
          <w:tcPr>
            <w:tcW w:type="dxa" w:w="2045"/>
          </w:tcPr>
          <w:p>
            <w:r>
              <w:rPr>
                <w:sz w:val="16"/>
              </w:rPr>
              <w:t>3.00×</w:t>
            </w:r>
          </w:p>
        </w:tc>
        <w:tc>
          <w:tcPr>
            <w:tcW w:type="dxa" w:w="2045"/>
          </w:tcPr>
          <w:p>
            <w:r>
              <w:rPr>
                <w:sz w:val="16"/>
              </w:rPr>
              <w:t>64</w:t>
            </w:r>
          </w:p>
        </w:tc>
      </w:tr>
      <w:tr>
        <w:tc>
          <w:tcPr>
            <w:tcW w:type="dxa" w:w="2045"/>
          </w:tcPr>
          <w:p>
            <w:r>
              <w:rPr>
                <w:sz w:val="16"/>
              </w:rPr>
              <w:t>Regulatory Consolidation 079 (Key 79)</w:t>
            </w:r>
          </w:p>
        </w:tc>
        <w:tc>
          <w:tcPr>
            <w:tcW w:type="dxa" w:w="2045"/>
          </w:tcPr>
          <w:p>
            <w:r>
              <w:rPr>
                <w:sz w:val="16"/>
              </w:rPr>
              <w:t>€3.64M</w:t>
            </w:r>
          </w:p>
        </w:tc>
        <w:tc>
          <w:tcPr>
            <w:tcW w:type="dxa" w:w="2045"/>
          </w:tcPr>
          <w:p>
            <w:r>
              <w:rPr>
                <w:sz w:val="16"/>
              </w:rPr>
              <w:t>€1.23M</w:t>
            </w:r>
          </w:p>
        </w:tc>
        <w:tc>
          <w:tcPr>
            <w:tcW w:type="dxa" w:w="2045"/>
          </w:tcPr>
          <w:p>
            <w:r>
              <w:rPr>
                <w:sz w:val="16"/>
              </w:rPr>
              <w:t>2.96×</w:t>
            </w:r>
          </w:p>
        </w:tc>
        <w:tc>
          <w:tcPr>
            <w:tcW w:type="dxa" w:w="2045"/>
          </w:tcPr>
          <w:p>
            <w:r>
              <w:rPr>
                <w:sz w:val="16"/>
              </w:rPr>
              <w:t>82</w:t>
            </w:r>
          </w:p>
        </w:tc>
      </w:tr>
      <w:tr>
        <w:tc>
          <w:tcPr>
            <w:tcW w:type="dxa" w:w="2045"/>
          </w:tcPr>
          <w:p>
            <w:r>
              <w:rPr>
                <w:sz w:val="16"/>
              </w:rPr>
              <w:t>Customer Modernisation 037 (Key 37)</w:t>
            </w:r>
          </w:p>
        </w:tc>
        <w:tc>
          <w:tcPr>
            <w:tcW w:type="dxa" w:w="2045"/>
          </w:tcPr>
          <w:p>
            <w:r>
              <w:rPr>
                <w:sz w:val="16"/>
              </w:rPr>
              <w:t>€6.54M</w:t>
            </w:r>
          </w:p>
        </w:tc>
        <w:tc>
          <w:tcPr>
            <w:tcW w:type="dxa" w:w="2045"/>
          </w:tcPr>
          <w:p>
            <w:r>
              <w:rPr>
                <w:sz w:val="16"/>
              </w:rPr>
              <w:t>€2.23M</w:t>
            </w:r>
          </w:p>
        </w:tc>
        <w:tc>
          <w:tcPr>
            <w:tcW w:type="dxa" w:w="2045"/>
          </w:tcPr>
          <w:p>
            <w:r>
              <w:rPr>
                <w:sz w:val="16"/>
              </w:rPr>
              <w:t>2.93×</w:t>
            </w:r>
          </w:p>
        </w:tc>
        <w:tc>
          <w:tcPr>
            <w:tcW w:type="dxa" w:w="2045"/>
          </w:tcPr>
          <w:p>
            <w:r>
              <w:rPr>
                <w:sz w:val="16"/>
              </w:rPr>
              <w:t>74</w:t>
            </w:r>
          </w:p>
        </w:tc>
      </w:tr>
      <w:tr>
        <w:tc>
          <w:tcPr>
            <w:tcW w:type="dxa" w:w="2045"/>
          </w:tcPr>
          <w:p>
            <w:r>
              <w:rPr>
                <w:sz w:val="16"/>
              </w:rPr>
              <w:t>Regulatory Optimisation 099 (Key 99)</w:t>
            </w:r>
          </w:p>
        </w:tc>
        <w:tc>
          <w:tcPr>
            <w:tcW w:type="dxa" w:w="2045"/>
          </w:tcPr>
          <w:p>
            <w:r>
              <w:rPr>
                <w:sz w:val="16"/>
              </w:rPr>
              <w:t>€0.61M</w:t>
            </w:r>
          </w:p>
        </w:tc>
        <w:tc>
          <w:tcPr>
            <w:tcW w:type="dxa" w:w="2045"/>
          </w:tcPr>
          <w:p>
            <w:r>
              <w:rPr>
                <w:sz w:val="16"/>
              </w:rPr>
              <w:t>€0.21M</w:t>
            </w:r>
          </w:p>
        </w:tc>
        <w:tc>
          <w:tcPr>
            <w:tcW w:type="dxa" w:w="2045"/>
          </w:tcPr>
          <w:p>
            <w:r>
              <w:rPr>
                <w:sz w:val="16"/>
              </w:rPr>
              <w:t>2.92×</w:t>
            </w:r>
          </w:p>
        </w:tc>
        <w:tc>
          <w:tcPr>
            <w:tcW w:type="dxa" w:w="2045"/>
          </w:tcPr>
          <w:p>
            <w:r>
              <w:rPr>
                <w:sz w:val="16"/>
              </w:rPr>
              <w:t>83</w:t>
            </w:r>
          </w:p>
        </w:tc>
      </w:tr>
      <w:tr>
        <w:tc>
          <w:tcPr>
            <w:tcW w:type="dxa" w:w="2045"/>
          </w:tcPr>
          <w:p>
            <w:r>
              <w:rPr>
                <w:sz w:val="16"/>
              </w:rPr>
              <w:t>Regulatory Automation 017 (Key 17)</w:t>
            </w:r>
          </w:p>
        </w:tc>
        <w:tc>
          <w:tcPr>
            <w:tcW w:type="dxa" w:w="2045"/>
          </w:tcPr>
          <w:p>
            <w:r>
              <w:rPr>
                <w:sz w:val="16"/>
              </w:rPr>
              <w:t>€5.21M</w:t>
            </w:r>
          </w:p>
        </w:tc>
        <w:tc>
          <w:tcPr>
            <w:tcW w:type="dxa" w:w="2045"/>
          </w:tcPr>
          <w:p>
            <w:r>
              <w:rPr>
                <w:sz w:val="16"/>
              </w:rPr>
              <w:t>€1.86M</w:t>
            </w:r>
          </w:p>
        </w:tc>
        <w:tc>
          <w:tcPr>
            <w:tcW w:type="dxa" w:w="2045"/>
          </w:tcPr>
          <w:p>
            <w:r>
              <w:rPr>
                <w:sz w:val="16"/>
              </w:rPr>
              <w:t>2.80×</w:t>
            </w:r>
          </w:p>
        </w:tc>
        <w:tc>
          <w:tcPr>
            <w:tcW w:type="dxa" w:w="2045"/>
          </w:tcPr>
          <w:p>
            <w:r>
              <w:rPr>
                <w:sz w:val="16"/>
              </w:rPr>
              <w:t>50</w:t>
            </w:r>
          </w:p>
        </w:tc>
      </w:tr>
      <w:tr>
        <w:tc>
          <w:tcPr>
            <w:tcW w:type="dxa" w:w="2045"/>
          </w:tcPr>
          <w:p>
            <w:r>
              <w:rPr>
                <w:sz w:val="16"/>
              </w:rPr>
              <w:t>Workforce Integration 071 (Key 71)</w:t>
            </w:r>
          </w:p>
        </w:tc>
        <w:tc>
          <w:tcPr>
            <w:tcW w:type="dxa" w:w="2045"/>
          </w:tcPr>
          <w:p>
            <w:r>
              <w:rPr>
                <w:sz w:val="16"/>
              </w:rPr>
              <w:t>€1.13M</w:t>
            </w:r>
          </w:p>
        </w:tc>
        <w:tc>
          <w:tcPr>
            <w:tcW w:type="dxa" w:w="2045"/>
          </w:tcPr>
          <w:p>
            <w:r>
              <w:rPr>
                <w:sz w:val="16"/>
              </w:rPr>
              <w:t>€0.42M</w:t>
            </w:r>
          </w:p>
        </w:tc>
        <w:tc>
          <w:tcPr>
            <w:tcW w:type="dxa" w:w="2045"/>
          </w:tcPr>
          <w:p>
            <w:r>
              <w:rPr>
                <w:sz w:val="16"/>
              </w:rPr>
              <w:t>2.71×</w:t>
            </w:r>
          </w:p>
        </w:tc>
        <w:tc>
          <w:tcPr>
            <w:tcW w:type="dxa" w:w="2045"/>
          </w:tcPr>
          <w:p>
            <w:r>
              <w:rPr>
                <w:sz w:val="16"/>
              </w:rPr>
              <w:t>60</w:t>
            </w:r>
          </w:p>
        </w:tc>
      </w:tr>
      <w:tr>
        <w:tc>
          <w:tcPr>
            <w:tcW w:type="dxa" w:w="2045"/>
          </w:tcPr>
          <w:p>
            <w:r>
              <w:rPr>
                <w:sz w:val="16"/>
              </w:rPr>
              <w:t>Commerce Consolidation 085 (Key 85)</w:t>
            </w:r>
          </w:p>
        </w:tc>
        <w:tc>
          <w:tcPr>
            <w:tcW w:type="dxa" w:w="2045"/>
          </w:tcPr>
          <w:p>
            <w:r>
              <w:rPr>
                <w:sz w:val="16"/>
              </w:rPr>
              <w:t>€0.70M</w:t>
            </w:r>
          </w:p>
        </w:tc>
        <w:tc>
          <w:tcPr>
            <w:tcW w:type="dxa" w:w="2045"/>
          </w:tcPr>
          <w:p>
            <w:r>
              <w:rPr>
                <w:sz w:val="16"/>
              </w:rPr>
              <w:t>€0.26M</w:t>
            </w:r>
          </w:p>
        </w:tc>
        <w:tc>
          <w:tcPr>
            <w:tcW w:type="dxa" w:w="2045"/>
          </w:tcPr>
          <w:p>
            <w:r>
              <w:rPr>
                <w:sz w:val="16"/>
              </w:rPr>
              <w:t>2.68×</w:t>
            </w:r>
          </w:p>
        </w:tc>
        <w:tc>
          <w:tcPr>
            <w:tcW w:type="dxa" w:w="2045"/>
          </w:tcPr>
          <w:p>
            <w:r>
              <w:rPr>
                <w:sz w:val="16"/>
              </w:rPr>
              <w:t>64</w:t>
            </w:r>
          </w:p>
        </w:tc>
      </w:tr>
      <w:tr>
        <w:tc>
          <w:tcPr>
            <w:tcW w:type="dxa" w:w="2045"/>
          </w:tcPr>
          <w:p>
            <w:r>
              <w:rPr>
                <w:sz w:val="16"/>
              </w:rPr>
              <w:t>Data Transformation 003 (Key 3)</w:t>
            </w:r>
          </w:p>
        </w:tc>
        <w:tc>
          <w:tcPr>
            <w:tcW w:type="dxa" w:w="2045"/>
          </w:tcPr>
          <w:p>
            <w:r>
              <w:rPr>
                <w:sz w:val="16"/>
              </w:rPr>
              <w:t>€3.28M</w:t>
            </w:r>
          </w:p>
        </w:tc>
        <w:tc>
          <w:tcPr>
            <w:tcW w:type="dxa" w:w="2045"/>
          </w:tcPr>
          <w:p>
            <w:r>
              <w:rPr>
                <w:sz w:val="16"/>
              </w:rPr>
              <w:t>€1.23M</w:t>
            </w:r>
          </w:p>
        </w:tc>
        <w:tc>
          <w:tcPr>
            <w:tcW w:type="dxa" w:w="2045"/>
          </w:tcPr>
          <w:p>
            <w:r>
              <w:rPr>
                <w:sz w:val="16"/>
              </w:rPr>
              <w:t>2.67×</w:t>
            </w:r>
          </w:p>
        </w:tc>
        <w:tc>
          <w:tcPr>
            <w:tcW w:type="dxa" w:w="2045"/>
          </w:tcPr>
          <w:p>
            <w:r>
              <w:rPr>
                <w:sz w:val="16"/>
              </w:rPr>
              <w:t>78</w:t>
            </w:r>
          </w:p>
        </w:tc>
      </w:tr>
    </w:tbl>
    <w:p>
      <w:r>
        <w:t>Interpretation: a high ratio can result from a smaller budget, an optimistic forecast, or a genuine strong expected value case. Before accelerating, validate benefit assumptions, delivery feasibility, strategic alignment, risk and dependency constraints.</w:t>
      </w:r>
    </w:p>
    <w:p>
      <w:pPr>
        <w:pStyle w:val="Heading2"/>
      </w:pPr>
      <w:r>
        <w:t>12. Where are resource-capacity gaps affecting project progress and milestone delivery?</w:t>
      </w:r>
    </w:p>
    <w:p>
      <w:r>
        <w:t>The summed ResourceCapacityGapHours across latest snapshots is -22,831 hours. The largest negative business-unit totals are:</w:t>
      </w:r>
    </w:p>
    <w:p>
      <w:pPr>
        <w:pStyle w:val="ListBullet"/>
      </w:pPr>
      <w:r>
        <w:t>Risk &amp; Compliance: -10,465 hours.</w:t>
      </w:r>
    </w:p>
    <w:p>
      <w:pPr>
        <w:pStyle w:val="ListBullet"/>
      </w:pPr>
      <w:r>
        <w:t>Finance: -5,596 hours.</w:t>
      </w:r>
    </w:p>
    <w:p>
      <w:pPr>
        <w:pStyle w:val="ListBullet"/>
      </w:pPr>
      <w:r>
        <w:t>Operations: -3,273 hours.</w:t>
      </w:r>
    </w:p>
    <w:p>
      <w:pPr>
        <w:pStyle w:val="ListBullet"/>
      </w:pPr>
      <w:r>
        <w:t>Sustainability: -2,141 hours.</w:t>
      </w:r>
    </w:p>
    <w:p>
      <w:pPr>
        <w:pStyle w:val="ListBullet"/>
      </w:pPr>
      <w:r>
        <w:t>Technology: -1,303 hours.</w:t>
      </w:r>
    </w:p>
    <w:p>
      <w:r>
        <w:t>The project-level data show a negative association between resource gap and SPI (positive resource-gap values tend to occur with stronger SPI in this dataset). Because the gap is netted across projects and does not identify skills or timing, it should not be interpreted as a direct causal estimate.</w:t>
      </w:r>
    </w:p>
    <w:p>
      <w:r>
        <w:t>Recommended action: map shortages to critical-path activities, skills and milestone dates; then reallocate only where receiving projects can use the capacity and donor projects will not be harmed.</w:t>
      </w:r>
    </w:p>
    <w:p>
      <w:pPr>
        <w:pStyle w:val="Heading2"/>
      </w:pPr>
      <w:r>
        <w:t>13. Which projects have the highest risk exposure, and are their mitigation actions being completed on time?</w:t>
      </w:r>
    </w:p>
    <w:p>
      <w:r>
        <w:t>The latest records contain 397 open risks, including 54 critical risks, and 107 overdue mitigation actions.</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shd w:fill="163052"/>
          </w:tcPr>
          <w:p>
            <w:r>
              <w:rPr>
                <w:b/>
                <w:color w:val="FFFFFF"/>
                <w:sz w:val="16"/>
              </w:rPr>
              <w:t>Project</w:t>
            </w:r>
          </w:p>
        </w:tc>
        <w:tc>
          <w:tcPr>
            <w:tcW w:type="dxa" w:w="2045"/>
            <w:shd w:fill="163052"/>
          </w:tcPr>
          <w:p>
            <w:r>
              <w:rPr>
                <w:b/>
                <w:color w:val="FFFFFF"/>
                <w:sz w:val="16"/>
              </w:rPr>
              <w:t>Risk score</w:t>
            </w:r>
          </w:p>
        </w:tc>
        <w:tc>
          <w:tcPr>
            <w:tcW w:type="dxa" w:w="2045"/>
            <w:shd w:fill="163052"/>
          </w:tcPr>
          <w:p>
            <w:r>
              <w:rPr>
                <w:b/>
                <w:color w:val="FFFFFF"/>
                <w:sz w:val="16"/>
              </w:rPr>
              <w:t>Delay days</w:t>
            </w:r>
          </w:p>
        </w:tc>
        <w:tc>
          <w:tcPr>
            <w:tcW w:type="dxa" w:w="2045"/>
            <w:shd w:fill="163052"/>
          </w:tcPr>
          <w:p>
            <w:r>
              <w:rPr>
                <w:b/>
                <w:color w:val="FFFFFF"/>
                <w:sz w:val="16"/>
              </w:rPr>
              <w:t>Critical risks</w:t>
            </w:r>
          </w:p>
        </w:tc>
        <w:tc>
          <w:tcPr>
            <w:tcW w:type="dxa" w:w="2045"/>
            <w:shd w:fill="163052"/>
          </w:tcPr>
          <w:p>
            <w:r>
              <w:rPr>
                <w:b/>
                <w:color w:val="FFFFFF"/>
                <w:sz w:val="16"/>
              </w:rPr>
              <w:t>Overdue actions</w:t>
            </w:r>
          </w:p>
        </w:tc>
      </w:tr>
      <w:tr>
        <w:tc>
          <w:tcPr>
            <w:tcW w:type="dxa" w:w="2045"/>
          </w:tcPr>
          <w:p>
            <w:r>
              <w:rPr>
                <w:sz w:val="16"/>
              </w:rPr>
              <w:t>Regulatory Controls 013 (Key 13)</w:t>
            </w:r>
          </w:p>
        </w:tc>
        <w:tc>
          <w:tcPr>
            <w:tcW w:type="dxa" w:w="2045"/>
          </w:tcPr>
          <w:p>
            <w:r>
              <w:rPr>
                <w:sz w:val="16"/>
              </w:rPr>
              <w:t>193</w:t>
            </w:r>
          </w:p>
        </w:tc>
        <w:tc>
          <w:tcPr>
            <w:tcW w:type="dxa" w:w="2045"/>
          </w:tcPr>
          <w:p>
            <w:r>
              <w:rPr>
                <w:sz w:val="16"/>
              </w:rPr>
              <w:t>188</w:t>
            </w:r>
          </w:p>
        </w:tc>
        <w:tc>
          <w:tcPr>
            <w:tcW w:type="dxa" w:w="2045"/>
          </w:tcPr>
          <w:p>
            <w:r>
              <w:rPr>
                <w:sz w:val="16"/>
              </w:rPr>
              <w:t>2</w:t>
            </w:r>
          </w:p>
        </w:tc>
        <w:tc>
          <w:tcPr>
            <w:tcW w:type="dxa" w:w="2045"/>
          </w:tcPr>
          <w:p>
            <w:r>
              <w:rPr>
                <w:sz w:val="16"/>
              </w:rPr>
              <w:t>4</w:t>
            </w:r>
          </w:p>
        </w:tc>
      </w:tr>
      <w:tr>
        <w:tc>
          <w:tcPr>
            <w:tcW w:type="dxa" w:w="2045"/>
          </w:tcPr>
          <w:p>
            <w:r>
              <w:rPr>
                <w:sz w:val="16"/>
              </w:rPr>
              <w:t>Finance Migration 006 (Key 6)</w:t>
            </w:r>
          </w:p>
        </w:tc>
        <w:tc>
          <w:tcPr>
            <w:tcW w:type="dxa" w:w="2045"/>
          </w:tcPr>
          <w:p>
            <w:r>
              <w:rPr>
                <w:sz w:val="16"/>
              </w:rPr>
              <w:t>178</w:t>
            </w:r>
          </w:p>
        </w:tc>
        <w:tc>
          <w:tcPr>
            <w:tcW w:type="dxa" w:w="2045"/>
          </w:tcPr>
          <w:p>
            <w:r>
              <w:rPr>
                <w:sz w:val="16"/>
              </w:rPr>
              <w:t>153</w:t>
            </w:r>
          </w:p>
        </w:tc>
        <w:tc>
          <w:tcPr>
            <w:tcW w:type="dxa" w:w="2045"/>
          </w:tcPr>
          <w:p>
            <w:r>
              <w:rPr>
                <w:sz w:val="16"/>
              </w:rPr>
              <w:t>2</w:t>
            </w:r>
          </w:p>
        </w:tc>
        <w:tc>
          <w:tcPr>
            <w:tcW w:type="dxa" w:w="2045"/>
          </w:tcPr>
          <w:p>
            <w:r>
              <w:rPr>
                <w:sz w:val="16"/>
              </w:rPr>
              <w:t>3</w:t>
            </w:r>
          </w:p>
        </w:tc>
      </w:tr>
      <w:tr>
        <w:tc>
          <w:tcPr>
            <w:tcW w:type="dxa" w:w="2045"/>
          </w:tcPr>
          <w:p>
            <w:r>
              <w:rPr>
                <w:sz w:val="16"/>
              </w:rPr>
              <w:t>Customer Modernisation 020 (Key 20)</w:t>
            </w:r>
          </w:p>
        </w:tc>
        <w:tc>
          <w:tcPr>
            <w:tcW w:type="dxa" w:w="2045"/>
          </w:tcPr>
          <w:p>
            <w:r>
              <w:rPr>
                <w:sz w:val="16"/>
              </w:rPr>
              <w:t>178</w:t>
            </w:r>
          </w:p>
        </w:tc>
        <w:tc>
          <w:tcPr>
            <w:tcW w:type="dxa" w:w="2045"/>
          </w:tcPr>
          <w:p>
            <w:r>
              <w:rPr>
                <w:sz w:val="16"/>
              </w:rPr>
              <w:t>319</w:t>
            </w:r>
          </w:p>
        </w:tc>
        <w:tc>
          <w:tcPr>
            <w:tcW w:type="dxa" w:w="2045"/>
          </w:tcPr>
          <w:p>
            <w:r>
              <w:rPr>
                <w:sz w:val="16"/>
              </w:rPr>
              <w:t>2</w:t>
            </w:r>
          </w:p>
        </w:tc>
        <w:tc>
          <w:tcPr>
            <w:tcW w:type="dxa" w:w="2045"/>
          </w:tcPr>
          <w:p>
            <w:r>
              <w:rPr>
                <w:sz w:val="16"/>
              </w:rPr>
              <w:t>3</w:t>
            </w:r>
          </w:p>
        </w:tc>
      </w:tr>
      <w:tr>
        <w:tc>
          <w:tcPr>
            <w:tcW w:type="dxa" w:w="2045"/>
          </w:tcPr>
          <w:p>
            <w:r>
              <w:rPr>
                <w:sz w:val="16"/>
              </w:rPr>
              <w:t>Regulatory Consolidation 069 (Key 69)</w:t>
            </w:r>
          </w:p>
        </w:tc>
        <w:tc>
          <w:tcPr>
            <w:tcW w:type="dxa" w:w="2045"/>
          </w:tcPr>
          <w:p>
            <w:r>
              <w:rPr>
                <w:sz w:val="16"/>
              </w:rPr>
              <w:t>164</w:t>
            </w:r>
          </w:p>
        </w:tc>
        <w:tc>
          <w:tcPr>
            <w:tcW w:type="dxa" w:w="2045"/>
          </w:tcPr>
          <w:p>
            <w:r>
              <w:rPr>
                <w:sz w:val="16"/>
              </w:rPr>
              <w:t>185</w:t>
            </w:r>
          </w:p>
        </w:tc>
        <w:tc>
          <w:tcPr>
            <w:tcW w:type="dxa" w:w="2045"/>
          </w:tcPr>
          <w:p>
            <w:r>
              <w:rPr>
                <w:sz w:val="16"/>
              </w:rPr>
              <w:t>2</w:t>
            </w:r>
          </w:p>
        </w:tc>
        <w:tc>
          <w:tcPr>
            <w:tcW w:type="dxa" w:w="2045"/>
          </w:tcPr>
          <w:p>
            <w:r>
              <w:rPr>
                <w:sz w:val="16"/>
              </w:rPr>
              <w:t>3</w:t>
            </w:r>
          </w:p>
        </w:tc>
      </w:tr>
      <w:tr>
        <w:tc>
          <w:tcPr>
            <w:tcW w:type="dxa" w:w="2045"/>
          </w:tcPr>
          <w:p>
            <w:r>
              <w:rPr>
                <w:sz w:val="16"/>
              </w:rPr>
              <w:t>Cloud Enablement 055 (Key 55)</w:t>
            </w:r>
          </w:p>
        </w:tc>
        <w:tc>
          <w:tcPr>
            <w:tcW w:type="dxa" w:w="2045"/>
          </w:tcPr>
          <w:p>
            <w:r>
              <w:rPr>
                <w:sz w:val="16"/>
              </w:rPr>
              <w:t>164</w:t>
            </w:r>
          </w:p>
        </w:tc>
        <w:tc>
          <w:tcPr>
            <w:tcW w:type="dxa" w:w="2045"/>
          </w:tcPr>
          <w:p>
            <w:r>
              <w:rPr>
                <w:sz w:val="16"/>
              </w:rPr>
              <w:t>110</w:t>
            </w:r>
          </w:p>
        </w:tc>
        <w:tc>
          <w:tcPr>
            <w:tcW w:type="dxa" w:w="2045"/>
          </w:tcPr>
          <w:p>
            <w:r>
              <w:rPr>
                <w:sz w:val="16"/>
              </w:rPr>
              <w:t>2</w:t>
            </w:r>
          </w:p>
        </w:tc>
        <w:tc>
          <w:tcPr>
            <w:tcW w:type="dxa" w:w="2045"/>
          </w:tcPr>
          <w:p>
            <w:r>
              <w:rPr>
                <w:sz w:val="16"/>
              </w:rPr>
              <w:t>3</w:t>
            </w:r>
          </w:p>
        </w:tc>
      </w:tr>
      <w:tr>
        <w:tc>
          <w:tcPr>
            <w:tcW w:type="dxa" w:w="2045"/>
          </w:tcPr>
          <w:p>
            <w:r>
              <w:rPr>
                <w:sz w:val="16"/>
              </w:rPr>
              <w:t>Identity Optimisation 090 (Key 90)</w:t>
            </w:r>
          </w:p>
        </w:tc>
        <w:tc>
          <w:tcPr>
            <w:tcW w:type="dxa" w:w="2045"/>
          </w:tcPr>
          <w:p>
            <w:r>
              <w:rPr>
                <w:sz w:val="16"/>
              </w:rPr>
              <w:t>164</w:t>
            </w:r>
          </w:p>
        </w:tc>
        <w:tc>
          <w:tcPr>
            <w:tcW w:type="dxa" w:w="2045"/>
          </w:tcPr>
          <w:p>
            <w:r>
              <w:rPr>
                <w:sz w:val="16"/>
              </w:rPr>
              <w:t>210</w:t>
            </w:r>
          </w:p>
        </w:tc>
        <w:tc>
          <w:tcPr>
            <w:tcW w:type="dxa" w:w="2045"/>
          </w:tcPr>
          <w:p>
            <w:r>
              <w:rPr>
                <w:sz w:val="16"/>
              </w:rPr>
              <w:t>2</w:t>
            </w:r>
          </w:p>
        </w:tc>
        <w:tc>
          <w:tcPr>
            <w:tcW w:type="dxa" w:w="2045"/>
          </w:tcPr>
          <w:p>
            <w:r>
              <w:rPr>
                <w:sz w:val="16"/>
              </w:rPr>
              <w:t>3</w:t>
            </w:r>
          </w:p>
        </w:tc>
      </w:tr>
      <w:tr>
        <w:tc>
          <w:tcPr>
            <w:tcW w:type="dxa" w:w="2045"/>
          </w:tcPr>
          <w:p>
            <w:r>
              <w:rPr>
                <w:sz w:val="16"/>
              </w:rPr>
              <w:t>Cyber Migration 034 (Key 34)</w:t>
            </w:r>
          </w:p>
        </w:tc>
        <w:tc>
          <w:tcPr>
            <w:tcW w:type="dxa" w:w="2045"/>
          </w:tcPr>
          <w:p>
            <w:r>
              <w:rPr>
                <w:sz w:val="16"/>
              </w:rPr>
              <w:t>164</w:t>
            </w:r>
          </w:p>
        </w:tc>
        <w:tc>
          <w:tcPr>
            <w:tcW w:type="dxa" w:w="2045"/>
          </w:tcPr>
          <w:p>
            <w:r>
              <w:rPr>
                <w:sz w:val="16"/>
              </w:rPr>
              <w:t>255</w:t>
            </w:r>
          </w:p>
        </w:tc>
        <w:tc>
          <w:tcPr>
            <w:tcW w:type="dxa" w:w="2045"/>
          </w:tcPr>
          <w:p>
            <w:r>
              <w:rPr>
                <w:sz w:val="16"/>
              </w:rPr>
              <w:t>2</w:t>
            </w:r>
          </w:p>
        </w:tc>
        <w:tc>
          <w:tcPr>
            <w:tcW w:type="dxa" w:w="2045"/>
          </w:tcPr>
          <w:p>
            <w:r>
              <w:rPr>
                <w:sz w:val="16"/>
              </w:rPr>
              <w:t>3</w:t>
            </w:r>
          </w:p>
        </w:tc>
      </w:tr>
      <w:tr>
        <w:tc>
          <w:tcPr>
            <w:tcW w:type="dxa" w:w="2045"/>
          </w:tcPr>
          <w:p>
            <w:r>
              <w:rPr>
                <w:sz w:val="16"/>
              </w:rPr>
              <w:t>Digital Analytics 083 (Key 83)</w:t>
            </w:r>
          </w:p>
        </w:tc>
        <w:tc>
          <w:tcPr>
            <w:tcW w:type="dxa" w:w="2045"/>
          </w:tcPr>
          <w:p>
            <w:r>
              <w:rPr>
                <w:sz w:val="16"/>
              </w:rPr>
              <w:t>150</w:t>
            </w:r>
          </w:p>
        </w:tc>
        <w:tc>
          <w:tcPr>
            <w:tcW w:type="dxa" w:w="2045"/>
          </w:tcPr>
          <w:p>
            <w:r>
              <w:rPr>
                <w:sz w:val="16"/>
              </w:rPr>
              <w:t>226</w:t>
            </w:r>
          </w:p>
        </w:tc>
        <w:tc>
          <w:tcPr>
            <w:tcW w:type="dxa" w:w="2045"/>
          </w:tcPr>
          <w:p>
            <w:r>
              <w:rPr>
                <w:sz w:val="16"/>
              </w:rPr>
              <w:t>2</w:t>
            </w:r>
          </w:p>
        </w:tc>
        <w:tc>
          <w:tcPr>
            <w:tcW w:type="dxa" w:w="2045"/>
          </w:tcPr>
          <w:p>
            <w:r>
              <w:rPr>
                <w:sz w:val="16"/>
              </w:rPr>
              <w:t>3</w:t>
            </w:r>
          </w:p>
        </w:tc>
      </w:tr>
    </w:tbl>
    <w:p>
      <w:r>
        <w:t>The presence of overdue mitigation actions means actions are not all being completed by their recorded due dates. Project 13 has the highest risk score (193) and four overdue actions; Projects 6, 20, 34, 55, 69 and 90 also warrant scrutiny because of high risk, delays and/or overdue actions.</w:t>
      </w:r>
    </w:p>
    <w:p>
      <w:r>
        <w:t>Recommended action: focus on risk severity, proximity, owner, due date and evidence of mitigation effectiveness, not simply the count of open risks.</w:t>
      </w:r>
    </w:p>
    <w:p>
      <w:pPr>
        <w:pStyle w:val="Heading2"/>
      </w:pPr>
      <w:r>
        <w:t>14. Which projects are failing to realise planned benefits despite appearing financially or operationally healthy?</w:t>
      </w:r>
    </w:p>
    <w:p>
      <w:r>
        <w:t>Examples of Green-RAG projects with low benefit realisation against planned-to-date benefits include:</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shd w:fill="163052"/>
          </w:tcPr>
          <w:p>
            <w:r>
              <w:rPr>
                <w:b/>
                <w:color w:val="FFFFFF"/>
                <w:sz w:val="16"/>
              </w:rPr>
              <w:t>Project</w:t>
            </w:r>
          </w:p>
        </w:tc>
        <w:tc>
          <w:tcPr>
            <w:tcW w:type="dxa" w:w="2045"/>
            <w:shd w:fill="163052"/>
          </w:tcPr>
          <w:p>
            <w:r>
              <w:rPr>
                <w:b/>
                <w:color w:val="FFFFFF"/>
                <w:sz w:val="16"/>
              </w:rPr>
              <w:t>Benefit realisation</w:t>
            </w:r>
          </w:p>
        </w:tc>
        <w:tc>
          <w:tcPr>
            <w:tcW w:type="dxa" w:w="2045"/>
            <w:shd w:fill="163052"/>
          </w:tcPr>
          <w:p>
            <w:r>
              <w:rPr>
                <w:b/>
                <w:color w:val="FFFFFF"/>
                <w:sz w:val="16"/>
              </w:rPr>
              <w:t>Planned to date</w:t>
            </w:r>
          </w:p>
        </w:tc>
        <w:tc>
          <w:tcPr>
            <w:tcW w:type="dxa" w:w="2045"/>
            <w:shd w:fill="163052"/>
          </w:tcPr>
          <w:p>
            <w:r>
              <w:rPr>
                <w:b/>
                <w:color w:val="FFFFFF"/>
                <w:sz w:val="16"/>
              </w:rPr>
              <w:t>Realised to date</w:t>
            </w:r>
          </w:p>
        </w:tc>
        <w:tc>
          <w:tcPr>
            <w:tcW w:type="dxa" w:w="2045"/>
            <w:shd w:fill="163052"/>
          </w:tcPr>
          <w:p>
            <w:r>
              <w:rPr>
                <w:b/>
                <w:color w:val="FFFFFF"/>
                <w:sz w:val="16"/>
              </w:rPr>
              <w:t>Portfolio health</w:t>
            </w:r>
          </w:p>
        </w:tc>
      </w:tr>
      <w:tr>
        <w:tc>
          <w:tcPr>
            <w:tcW w:type="dxa" w:w="2045"/>
          </w:tcPr>
          <w:p>
            <w:r>
              <w:rPr>
                <w:sz w:val="16"/>
              </w:rPr>
              <w:t>Payments Automation 046 (Key 46)</w:t>
            </w:r>
          </w:p>
        </w:tc>
        <w:tc>
          <w:tcPr>
            <w:tcW w:type="dxa" w:w="2045"/>
          </w:tcPr>
          <w:p>
            <w:r>
              <w:rPr>
                <w:sz w:val="16"/>
              </w:rPr>
              <w:t>0.0%</w:t>
            </w:r>
          </w:p>
        </w:tc>
        <w:tc>
          <w:tcPr>
            <w:tcW w:type="dxa" w:w="2045"/>
          </w:tcPr>
          <w:p>
            <w:r>
              <w:rPr>
                <w:sz w:val="16"/>
              </w:rPr>
              <w:t>€0.01M</w:t>
            </w:r>
          </w:p>
        </w:tc>
        <w:tc>
          <w:tcPr>
            <w:tcW w:type="dxa" w:w="2045"/>
          </w:tcPr>
          <w:p>
            <w:r>
              <w:rPr>
                <w:sz w:val="16"/>
              </w:rPr>
              <w:t>€0.00M</w:t>
            </w:r>
          </w:p>
        </w:tc>
        <w:tc>
          <w:tcPr>
            <w:tcW w:type="dxa" w:w="2045"/>
          </w:tcPr>
          <w:p>
            <w:r>
              <w:rPr>
                <w:sz w:val="16"/>
              </w:rPr>
              <w:t>86.0</w:t>
            </w:r>
          </w:p>
        </w:tc>
      </w:tr>
      <w:tr>
        <w:tc>
          <w:tcPr>
            <w:tcW w:type="dxa" w:w="2045"/>
          </w:tcPr>
          <w:p>
            <w:r>
              <w:rPr>
                <w:sz w:val="16"/>
              </w:rPr>
              <w:t>Regulatory Consolidation 061 (Key 61)</w:t>
            </w:r>
          </w:p>
        </w:tc>
        <w:tc>
          <w:tcPr>
            <w:tcW w:type="dxa" w:w="2045"/>
          </w:tcPr>
          <w:p>
            <w:r>
              <w:rPr>
                <w:sz w:val="16"/>
              </w:rPr>
              <w:t>10.5%</w:t>
            </w:r>
          </w:p>
        </w:tc>
        <w:tc>
          <w:tcPr>
            <w:tcW w:type="dxa" w:w="2045"/>
          </w:tcPr>
          <w:p>
            <w:r>
              <w:rPr>
                <w:sz w:val="16"/>
              </w:rPr>
              <w:t>€0.46M</w:t>
            </w:r>
          </w:p>
        </w:tc>
        <w:tc>
          <w:tcPr>
            <w:tcW w:type="dxa" w:w="2045"/>
          </w:tcPr>
          <w:p>
            <w:r>
              <w:rPr>
                <w:sz w:val="16"/>
              </w:rPr>
              <w:t>€0.05M</w:t>
            </w:r>
          </w:p>
        </w:tc>
        <w:tc>
          <w:tcPr>
            <w:tcW w:type="dxa" w:w="2045"/>
          </w:tcPr>
          <w:p>
            <w:r>
              <w:rPr>
                <w:sz w:val="16"/>
              </w:rPr>
              <w:t>92.2</w:t>
            </w:r>
          </w:p>
        </w:tc>
      </w:tr>
      <w:tr>
        <w:tc>
          <w:tcPr>
            <w:tcW w:type="dxa" w:w="2045"/>
          </w:tcPr>
          <w:p>
            <w:r>
              <w:rPr>
                <w:sz w:val="16"/>
              </w:rPr>
              <w:t>Identity Automation 004 (Key 4)</w:t>
            </w:r>
          </w:p>
        </w:tc>
        <w:tc>
          <w:tcPr>
            <w:tcW w:type="dxa" w:w="2045"/>
          </w:tcPr>
          <w:p>
            <w:r>
              <w:rPr>
                <w:sz w:val="16"/>
              </w:rPr>
              <w:t>13.8%</w:t>
            </w:r>
          </w:p>
        </w:tc>
        <w:tc>
          <w:tcPr>
            <w:tcW w:type="dxa" w:w="2045"/>
          </w:tcPr>
          <w:p>
            <w:r>
              <w:rPr>
                <w:sz w:val="16"/>
              </w:rPr>
              <w:t>€0.51M</w:t>
            </w:r>
          </w:p>
        </w:tc>
        <w:tc>
          <w:tcPr>
            <w:tcW w:type="dxa" w:w="2045"/>
          </w:tcPr>
          <w:p>
            <w:r>
              <w:rPr>
                <w:sz w:val="16"/>
              </w:rPr>
              <w:t>€0.07M</w:t>
            </w:r>
          </w:p>
        </w:tc>
        <w:tc>
          <w:tcPr>
            <w:tcW w:type="dxa" w:w="2045"/>
          </w:tcPr>
          <w:p>
            <w:r>
              <w:rPr>
                <w:sz w:val="16"/>
              </w:rPr>
              <w:t>82.9</w:t>
            </w:r>
          </w:p>
        </w:tc>
      </w:tr>
      <w:tr>
        <w:tc>
          <w:tcPr>
            <w:tcW w:type="dxa" w:w="2045"/>
          </w:tcPr>
          <w:p>
            <w:r>
              <w:rPr>
                <w:sz w:val="16"/>
              </w:rPr>
              <w:t>Regulatory Consolidation 079 (Key 79)</w:t>
            </w:r>
          </w:p>
        </w:tc>
        <w:tc>
          <w:tcPr>
            <w:tcW w:type="dxa" w:w="2045"/>
          </w:tcPr>
          <w:p>
            <w:r>
              <w:rPr>
                <w:sz w:val="16"/>
              </w:rPr>
              <w:t>23.6%</w:t>
            </w:r>
          </w:p>
        </w:tc>
        <w:tc>
          <w:tcPr>
            <w:tcW w:type="dxa" w:w="2045"/>
          </w:tcPr>
          <w:p>
            <w:r>
              <w:rPr>
                <w:sz w:val="16"/>
              </w:rPr>
              <w:t>€0.97M</w:t>
            </w:r>
          </w:p>
        </w:tc>
        <w:tc>
          <w:tcPr>
            <w:tcW w:type="dxa" w:w="2045"/>
          </w:tcPr>
          <w:p>
            <w:r>
              <w:rPr>
                <w:sz w:val="16"/>
              </w:rPr>
              <w:t>€0.23M</w:t>
            </w:r>
          </w:p>
        </w:tc>
        <w:tc>
          <w:tcPr>
            <w:tcW w:type="dxa" w:w="2045"/>
          </w:tcPr>
          <w:p>
            <w:r>
              <w:rPr>
                <w:sz w:val="16"/>
              </w:rPr>
              <w:t>100.0</w:t>
            </w:r>
          </w:p>
        </w:tc>
      </w:tr>
      <w:tr>
        <w:tc>
          <w:tcPr>
            <w:tcW w:type="dxa" w:w="2045"/>
          </w:tcPr>
          <w:p>
            <w:r>
              <w:rPr>
                <w:sz w:val="16"/>
              </w:rPr>
              <w:t>Identity Renewal 070 (Key 70)</w:t>
            </w:r>
          </w:p>
        </w:tc>
        <w:tc>
          <w:tcPr>
            <w:tcW w:type="dxa" w:w="2045"/>
          </w:tcPr>
          <w:p>
            <w:r>
              <w:rPr>
                <w:sz w:val="16"/>
              </w:rPr>
              <w:t>35.7%</w:t>
            </w:r>
          </w:p>
        </w:tc>
        <w:tc>
          <w:tcPr>
            <w:tcW w:type="dxa" w:w="2045"/>
          </w:tcPr>
          <w:p>
            <w:r>
              <w:rPr>
                <w:sz w:val="16"/>
              </w:rPr>
              <w:t>€1.09M</w:t>
            </w:r>
          </w:p>
        </w:tc>
        <w:tc>
          <w:tcPr>
            <w:tcW w:type="dxa" w:w="2045"/>
          </w:tcPr>
          <w:p>
            <w:r>
              <w:rPr>
                <w:sz w:val="16"/>
              </w:rPr>
              <w:t>€0.39M</w:t>
            </w:r>
          </w:p>
        </w:tc>
        <w:tc>
          <w:tcPr>
            <w:tcW w:type="dxa" w:w="2045"/>
          </w:tcPr>
          <w:p>
            <w:r>
              <w:rPr>
                <w:sz w:val="16"/>
              </w:rPr>
              <w:t>83.1</w:t>
            </w:r>
          </w:p>
        </w:tc>
      </w:tr>
      <w:tr>
        <w:tc>
          <w:tcPr>
            <w:tcW w:type="dxa" w:w="2045"/>
          </w:tcPr>
          <w:p>
            <w:r>
              <w:rPr>
                <w:sz w:val="16"/>
              </w:rPr>
              <w:t>Data Transformation 057 (Key 57)</w:t>
            </w:r>
          </w:p>
        </w:tc>
        <w:tc>
          <w:tcPr>
            <w:tcW w:type="dxa" w:w="2045"/>
          </w:tcPr>
          <w:p>
            <w:r>
              <w:rPr>
                <w:sz w:val="16"/>
              </w:rPr>
              <w:t>39.6%</w:t>
            </w:r>
          </w:p>
        </w:tc>
        <w:tc>
          <w:tcPr>
            <w:tcW w:type="dxa" w:w="2045"/>
          </w:tcPr>
          <w:p>
            <w:r>
              <w:rPr>
                <w:sz w:val="16"/>
              </w:rPr>
              <w:t>€0.53M</w:t>
            </w:r>
          </w:p>
        </w:tc>
        <w:tc>
          <w:tcPr>
            <w:tcW w:type="dxa" w:w="2045"/>
          </w:tcPr>
          <w:p>
            <w:r>
              <w:rPr>
                <w:sz w:val="16"/>
              </w:rPr>
              <w:t>€0.21M</w:t>
            </w:r>
          </w:p>
        </w:tc>
        <w:tc>
          <w:tcPr>
            <w:tcW w:type="dxa" w:w="2045"/>
          </w:tcPr>
          <w:p>
            <w:r>
              <w:rPr>
                <w:sz w:val="16"/>
              </w:rPr>
              <w:t>100.0</w:t>
            </w:r>
          </w:p>
        </w:tc>
      </w:tr>
      <w:tr>
        <w:tc>
          <w:tcPr>
            <w:tcW w:type="dxa" w:w="2045"/>
          </w:tcPr>
          <w:p>
            <w:r>
              <w:rPr>
                <w:sz w:val="16"/>
              </w:rPr>
              <w:t>Digital Modernisation 054 (Key 54)</w:t>
            </w:r>
          </w:p>
        </w:tc>
        <w:tc>
          <w:tcPr>
            <w:tcW w:type="dxa" w:w="2045"/>
          </w:tcPr>
          <w:p>
            <w:r>
              <w:rPr>
                <w:sz w:val="16"/>
              </w:rPr>
              <w:t>47.9%</w:t>
            </w:r>
          </w:p>
        </w:tc>
        <w:tc>
          <w:tcPr>
            <w:tcW w:type="dxa" w:w="2045"/>
          </w:tcPr>
          <w:p>
            <w:r>
              <w:rPr>
                <w:sz w:val="16"/>
              </w:rPr>
              <w:t>€1.40M</w:t>
            </w:r>
          </w:p>
        </w:tc>
        <w:tc>
          <w:tcPr>
            <w:tcW w:type="dxa" w:w="2045"/>
          </w:tcPr>
          <w:p>
            <w:r>
              <w:rPr>
                <w:sz w:val="16"/>
              </w:rPr>
              <w:t>€0.67M</w:t>
            </w:r>
          </w:p>
        </w:tc>
        <w:tc>
          <w:tcPr>
            <w:tcW w:type="dxa" w:w="2045"/>
          </w:tcPr>
          <w:p>
            <w:r>
              <w:rPr>
                <w:sz w:val="16"/>
              </w:rPr>
              <w:t>90.8</w:t>
            </w:r>
          </w:p>
        </w:tc>
      </w:tr>
      <w:tr>
        <w:tc>
          <w:tcPr>
            <w:tcW w:type="dxa" w:w="2045"/>
          </w:tcPr>
          <w:p>
            <w:r>
              <w:rPr>
                <w:sz w:val="16"/>
              </w:rPr>
              <w:t>Payments Modernisation 089 (Key 89)</w:t>
            </w:r>
          </w:p>
        </w:tc>
        <w:tc>
          <w:tcPr>
            <w:tcW w:type="dxa" w:w="2045"/>
          </w:tcPr>
          <w:p>
            <w:r>
              <w:rPr>
                <w:sz w:val="16"/>
              </w:rPr>
              <w:t>48.8%</w:t>
            </w:r>
          </w:p>
        </w:tc>
        <w:tc>
          <w:tcPr>
            <w:tcW w:type="dxa" w:w="2045"/>
          </w:tcPr>
          <w:p>
            <w:r>
              <w:rPr>
                <w:sz w:val="16"/>
              </w:rPr>
              <w:t>€1.30M</w:t>
            </w:r>
          </w:p>
        </w:tc>
        <w:tc>
          <w:tcPr>
            <w:tcW w:type="dxa" w:w="2045"/>
          </w:tcPr>
          <w:p>
            <w:r>
              <w:rPr>
                <w:sz w:val="16"/>
              </w:rPr>
              <w:t>€0.63M</w:t>
            </w:r>
          </w:p>
        </w:tc>
        <w:tc>
          <w:tcPr>
            <w:tcW w:type="dxa" w:w="2045"/>
          </w:tcPr>
          <w:p>
            <w:r>
              <w:rPr>
                <w:sz w:val="16"/>
              </w:rPr>
              <w:t>82.4</w:t>
            </w:r>
          </w:p>
        </w:tc>
      </w:tr>
    </w:tbl>
    <w:p>
      <w:r>
        <w:t>These projects illustrate why a Green RAG or high portfolio-health score does not guarantee benefits are being realised. However, benefit realisation can be low early in a project or before benefits become measurable; check the project lifecycle, benefit schedule and expected lag before classifying this as failure.</w:t>
      </w:r>
    </w:p>
    <w:p>
      <w:r>
        <w:t>Recommended action: assign accountable benefit owners, define benefit measurement dates and validate whether each gap reflects timing, adoption, data quality or a weaker business case.</w:t>
      </w:r>
    </w:p>
    <w:p>
      <w:pPr>
        <w:pStyle w:val="Heading2"/>
      </w:pPr>
      <w:r>
        <w:t>15. Based on strategic value, delivery performance, risk and benefits, which projects should be accelerated, recovered, paused or terminated?</w:t>
      </w:r>
    </w:p>
    <w:p>
      <w:r>
        <w:t>The dataset supports an evidence-led shortlist for review, not an automatic final decision. The following categories are suggested using the latest available snapshot per project:</w:t>
      </w:r>
    </w:p>
    <w:p>
      <w:pPr>
        <w:pStyle w:val="Heading3"/>
      </w:pPr>
      <w:r>
        <w:t>Recover first</w:t>
      </w:r>
    </w:p>
    <w:p>
      <w:pPr>
        <w:pStyle w:val="ListBullet"/>
      </w:pPr>
      <w:r>
        <w:t>Regulatory Controls 013 (Key 13) — delay 188 days, risk 193, SPI 0.66, alignment 50.</w:t>
      </w:r>
    </w:p>
    <w:p>
      <w:pPr>
        <w:pStyle w:val="ListBullet"/>
      </w:pPr>
      <w:r>
        <w:t>Customer Modernisation 020 (Key 20) — delay 319 days, risk 178, SPI 0.70, alignment 59.</w:t>
      </w:r>
    </w:p>
    <w:p>
      <w:pPr>
        <w:pStyle w:val="ListBullet"/>
      </w:pPr>
      <w:r>
        <w:t>Cyber Migration 034 (Key 34) — delay 255 days, risk 164, SPI 0.72, alignment 86.</w:t>
      </w:r>
    </w:p>
    <w:p>
      <w:pPr>
        <w:pStyle w:val="ListBullet"/>
      </w:pPr>
      <w:r>
        <w:t>Identity Optimisation 090 (Key 90) — delay 210 days, risk 164, SPI 0.68, alignment 93.</w:t>
      </w:r>
    </w:p>
    <w:p>
      <w:pPr>
        <w:pStyle w:val="ListBullet"/>
      </w:pPr>
      <w:r>
        <w:t>Regulatory Consolidation 069 (Key 69) — delay 185 days, risk 164, SPI 0.65, alignment 56.</w:t>
      </w:r>
    </w:p>
    <w:p>
      <w:pPr>
        <w:pStyle w:val="ListBullet"/>
      </w:pPr>
      <w:r>
        <w:t>Digital Analytics 083 (Key 83) — delay 226 days, risk 150, SPI 0.71, alignment 71.</w:t>
      </w:r>
    </w:p>
    <w:p>
      <w:pPr>
        <w:pStyle w:val="ListBullet"/>
      </w:pPr>
      <w:r>
        <w:t>Planning Analytics 076 (Key 76) — delay 299 days, risk 136, SPI 0.72, alignment 82.</w:t>
      </w:r>
    </w:p>
    <w:p>
      <w:pPr>
        <w:pStyle w:val="ListBullet"/>
      </w:pPr>
      <w:r>
        <w:t>Cyber Consolidation 097 (Key 97) — delay 250 days, risk 136, SPI 0.69, alignment 91.</w:t>
      </w:r>
    </w:p>
    <w:p>
      <w:pPr>
        <w:pStyle w:val="Heading3"/>
      </w:pPr>
      <w:r>
        <w:t>Protect / consider acceleration after validation</w:t>
      </w:r>
    </w:p>
    <w:p>
      <w:pPr>
        <w:pStyle w:val="ListBullet"/>
      </w:pPr>
      <w:r>
        <w:t>Regulatory Migration 023 (Key 23) — alignment 93, benefit/budget 2.50×, SPI 1.05, risk 0.</w:t>
      </w:r>
    </w:p>
    <w:p>
      <w:pPr>
        <w:pStyle w:val="ListBullet"/>
      </w:pPr>
      <w:r>
        <w:t>Identity Automation 004 (Key 4) — alignment 92, benefit/budget 2.50×, SPI 0.92, risk 115.</w:t>
      </w:r>
    </w:p>
    <w:p>
      <w:pPr>
        <w:pStyle w:val="ListBullet"/>
      </w:pPr>
      <w:r>
        <w:t>Identity Optimisation 098 (Key 98) — alignment 92, benefit/budget 2.24×, SPI 0.93, risk 94.</w:t>
      </w:r>
    </w:p>
    <w:p>
      <w:pPr>
        <w:pStyle w:val="ListBullet"/>
      </w:pPr>
      <w:r>
        <w:t>Commerce Migration 015 (Key 15) — alignment 86, benefit/budget 2.67×, SPI 1.05, risk 10.</w:t>
      </w:r>
    </w:p>
    <w:p>
      <w:pPr>
        <w:pStyle w:val="ListBullet"/>
      </w:pPr>
      <w:r>
        <w:t>Regulatory Optimisation 099 (Key 99) — alignment 83, benefit/budget 2.92×, SPI 1.00, risk 19.</w:t>
      </w:r>
    </w:p>
    <w:p>
      <w:pPr>
        <w:pStyle w:val="ListBullet"/>
      </w:pPr>
      <w:r>
        <w:t>Operations Migration 077 (Key 77) — alignment 83, benefit/budget 2.55×, SPI 0.94, risk 81.</w:t>
      </w:r>
    </w:p>
    <w:p>
      <w:pPr>
        <w:pStyle w:val="Heading3"/>
      </w:pPr>
      <w:r>
        <w:t>Pause / termination review</w:t>
      </w:r>
    </w:p>
    <w:p>
      <w:r>
        <w:t>Do not recommend a specific project for pause or termination solely from these fields. Create a formal review list for projects with low strategic alignment, persistently weak SPI/CPI, high risk, poor benefit outlook and limited recovery feasibility. Check dependencies, contractual/regulatory obligations, sunk cost, exit cost, and whether benefits can be preserved through a revised scope before a final decision.</w:t>
      </w:r>
    </w:p>
    <w:p>
      <w:r>
        <w:t>Decision rule: accelerate when strategic alignment and expected value are high and delivery/risk are manageable; recover when value remains credible but execution is off track; pause-review when critical dependencies or assumptions need resolution; termination-review only after a documented business case and governance approval.</w:t>
      </w:r>
    </w:p>
    <w:p>
      <w:pPr>
        <w:pStyle w:val="Heading1"/>
      </w:pPr>
      <w:r>
        <w:t>Recommended leadership action plan</w:t>
      </w:r>
    </w:p>
    <w:tbl>
      <w:tblPr>
        <w:tblStyle w:val="LightShading-Accent1"/>
        <w:tblW w:type="auto" w:w="0"/>
        <w:tblLook w:firstColumn="1" w:firstRow="1" w:lastColumn="0" w:lastRow="0" w:noHBand="0" w:noVBand="1" w:val="04A0"/>
      </w:tblPr>
      <w:tblGrid>
        <w:gridCol w:w="5112"/>
        <w:gridCol w:w="5112"/>
      </w:tblGrid>
      <w:tr>
        <w:tc>
          <w:tcPr>
            <w:tcW w:type="dxa" w:w="5112"/>
            <w:shd w:fill="163052"/>
          </w:tcPr>
          <w:p>
            <w:r>
              <w:rPr>
                <w:b/>
                <w:color w:val="FFFFFF"/>
              </w:rPr>
              <w:t>Timing</w:t>
            </w:r>
          </w:p>
        </w:tc>
        <w:tc>
          <w:tcPr>
            <w:tcW w:type="dxa" w:w="5112"/>
            <w:shd w:fill="163052"/>
          </w:tcPr>
          <w:p>
            <w:r>
              <w:rPr>
                <w:b/>
                <w:color w:val="FFFFFF"/>
              </w:rPr>
              <w:t>Recommended action</w:t>
            </w:r>
          </w:p>
        </w:tc>
      </w:tr>
      <w:tr>
        <w:tc>
          <w:tcPr>
            <w:tcW w:type="dxa" w:w="5112"/>
          </w:tcPr>
          <w:p>
            <w:r>
              <w:t>Next 1–2 weeks</w:t>
            </w:r>
          </w:p>
        </w:tc>
        <w:tc>
          <w:tcPr>
            <w:tcW w:type="dxa" w:w="5112"/>
          </w:tcPr>
          <w:p>
            <w:r>
              <w:t>Sponsor-led recovery plans for the highest-delay/high-risk projects; verify forecast dates, critical path and dependencies.</w:t>
            </w:r>
          </w:p>
        </w:tc>
      </w:tr>
      <w:tr>
        <w:tc>
          <w:tcPr>
            <w:tcW w:type="dxa" w:w="5112"/>
          </w:tcPr>
          <w:p>
            <w:r>
              <w:t>Next month</w:t>
            </w:r>
          </w:p>
        </w:tc>
        <w:tc>
          <w:tcPr>
            <w:tcW w:type="dxa" w:w="5112"/>
          </w:tcPr>
          <w:p>
            <w:r>
              <w:t>Resolve priority skill/resource shortages in Risk &amp; Compliance and Finance; publish an accountable resource reallocation plan.</w:t>
            </w:r>
          </w:p>
        </w:tc>
      </w:tr>
      <w:tr>
        <w:tc>
          <w:tcPr>
            <w:tcW w:type="dxa" w:w="5112"/>
          </w:tcPr>
          <w:p>
            <w:r>
              <w:t>Every monthly review</w:t>
            </w:r>
          </w:p>
        </w:tc>
        <w:tc>
          <w:tcPr>
            <w:tcW w:type="dxa" w:w="5112"/>
          </w:tcPr>
          <w:p>
            <w:r>
              <w:t>Track critical overdue milestones and overdue mitigations with named owners, due dates and evidence of closure.</w:t>
            </w:r>
          </w:p>
        </w:tc>
      </w:tr>
      <w:tr>
        <w:tc>
          <w:tcPr>
            <w:tcW w:type="dxa" w:w="5112"/>
          </w:tcPr>
          <w:p>
            <w:r>
              <w:t>Benefits governance</w:t>
            </w:r>
          </w:p>
        </w:tc>
        <w:tc>
          <w:tcPr>
            <w:tcW w:type="dxa" w:w="5112"/>
          </w:tcPr>
          <w:p>
            <w:r>
              <w:t>Review low benefit realisation in Green-RAG projects; set benefit owners, measurement windows and a forecast-to-actual benefit bridge.</w:t>
            </w:r>
          </w:p>
        </w:tc>
      </w:tr>
      <w:tr>
        <w:tc>
          <w:tcPr>
            <w:tcW w:type="dxa" w:w="5112"/>
          </w:tcPr>
          <w:p>
            <w:r>
              <w:t>Portfolio decisions</w:t>
            </w:r>
          </w:p>
        </w:tc>
        <w:tc>
          <w:tcPr>
            <w:tcW w:type="dxa" w:w="5112"/>
          </w:tcPr>
          <w:p>
            <w:r>
              <w:t>Use an explicit accelerate/recover/maintain/pause-review/termination-review framework with strategic value, risk, delivery and benefit evidence.</w:t>
            </w:r>
          </w:p>
        </w:tc>
      </w:tr>
    </w:tbl>
    <w:p>
      <w:pPr>
        <w:pStyle w:val="Heading1"/>
      </w:pPr>
      <w:r>
        <w:t>Data and reporting cautions</w:t>
      </w:r>
    </w:p>
    <w:p>
      <w:pPr>
        <w:pStyle w:val="ListBullet"/>
      </w:pPr>
      <w:r>
        <w:t>ProjectKey should be replaced with ProjectName in the report wherever possible, while retaining ProjectKey for unambiguous identification.</w:t>
      </w:r>
    </w:p>
    <w:p>
      <w:pPr>
        <w:pStyle w:val="ListBullet"/>
      </w:pPr>
      <w:r>
        <w:t>Latest available records span different dates for different projects. A fully comparable point-in-time executive view should either filter to a common reporting date or clearly label the latest-available-per-project method.</w:t>
      </w:r>
    </w:p>
    <w:p>
      <w:pPr>
        <w:pStyle w:val="ListBullet"/>
      </w:pPr>
      <w:r>
        <w:t>Do not sum BaselineBudgetEUR, ForecastTotalCostEUR, ForecastBenefitEUR or other cumulative snapshot fields over all monthly rows. Use one applicable snapshot per project or a measure that selects the latest snapshot within the active reporting context.</w:t>
      </w:r>
    </w:p>
    <w:p>
      <w:pPr>
        <w:pStyle w:val="ListBullet"/>
      </w:pPr>
      <w:r>
        <w:t>BenefitRealisationPct may be blank where planned-to-date benefits are zero. Do not convert those blanks to zero without explaining the business rule.</w:t>
      </w:r>
    </w:p>
    <w:p>
      <w:pPr>
        <w:pStyle w:val="ListBullet"/>
      </w:pPr>
      <w:r>
        <w:t>A negative resource capacity gap signals shortage under the dataset's sign convention, but project/skill/timing detail is needed before reallocating resources.</w:t>
      </w:r>
    </w:p>
    <w:p>
      <w:pPr>
        <w:pStyle w:val="ListBullet"/>
      </w:pPr>
      <w:r>
        <w:t>The workbook's data supports prioritisation and investigation. It does not alone prove root causes or justify a termination decision.</w:t>
      </w:r>
    </w:p>
    <w:p>
      <w:pPr>
        <w:pStyle w:val="Heading1"/>
      </w:pPr>
      <w:r>
        <w:t>Source</w:t>
      </w:r>
    </w:p>
    <w:p>
      <w:r>
        <w:t>PMO Portfolio: From Strategy to Success — supplied Excel challenge dataset and Intro Brief. All quantitative findings in this document are calculated from the supplied workbook. Metric definitions and recommendations are stated explicitly where they involve interpretation.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t>FP20 Analytics Challenge 41  •  Analysis of supplied challenge workbook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PMO PORTFOLIO  |  FROM STRATEGY TO SUCCESS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34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05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4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6305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05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