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FE29BA" w14:paraId="71E1E364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600" w:type="dxa"/>
              <w:left w:w="600" w:type="dxa"/>
              <w:bottom w:w="600" w:type="dxa"/>
              <w:right w:w="600" w:type="dxa"/>
            </w:tcMar>
          </w:tcPr>
          <w:p w14:paraId="7F4E7814" w14:textId="77777777" w:rsidR="00FE29BA" w:rsidRDefault="00FE29BA">
            <w:pPr>
              <w:spacing w:before="200"/>
            </w:pPr>
          </w:p>
          <w:p w14:paraId="006186C3" w14:textId="7925A330" w:rsidR="00FE29BA" w:rsidRDefault="00000000">
            <w:pPr>
              <w:spacing w:before="80" w:after="100"/>
            </w:pPr>
            <w:r>
              <w:rPr>
                <w:b/>
                <w:bCs/>
                <w:color w:val="99BBCC"/>
                <w:spacing w:val="80"/>
                <w:sz w:val="18"/>
                <w:szCs w:val="18"/>
              </w:rPr>
              <w:t xml:space="preserve">THE LIFT </w:t>
            </w:r>
            <w:r w:rsidR="00BF3505">
              <w:rPr>
                <w:b/>
                <w:bCs/>
                <w:color w:val="99BBCC"/>
                <w:spacing w:val="80"/>
                <w:sz w:val="18"/>
                <w:szCs w:val="18"/>
              </w:rPr>
              <w:t>FRAMEWORK — COMPANION</w:t>
            </w:r>
            <w:r>
              <w:rPr>
                <w:b/>
                <w:bCs/>
                <w:color w:val="99BBCC"/>
                <w:spacing w:val="80"/>
                <w:sz w:val="18"/>
                <w:szCs w:val="18"/>
              </w:rPr>
              <w:t xml:space="preserve"> GUIDE</w:t>
            </w:r>
          </w:p>
          <w:p w14:paraId="387BA51B" w14:textId="77777777" w:rsidR="00FE29BA" w:rsidRDefault="00FE29BA">
            <w:pPr>
              <w:spacing w:before="60"/>
            </w:pPr>
          </w:p>
          <w:p w14:paraId="7A79D479" w14:textId="77777777" w:rsidR="00FE29BA" w:rsidRDefault="00000000">
            <w:pPr>
              <w:spacing w:before="80" w:after="100"/>
            </w:pPr>
            <w:r>
              <w:rPr>
                <w:b/>
                <w:bCs/>
                <w:color w:val="FFFFFF"/>
                <w:sz w:val="52"/>
                <w:szCs w:val="52"/>
              </w:rPr>
              <w:t>AI Vendor Assessment Guide</w:t>
            </w:r>
          </w:p>
          <w:p w14:paraId="2ED9221D" w14:textId="77777777" w:rsidR="00FE29BA" w:rsidRDefault="00FE29BA">
            <w:pPr>
              <w:spacing w:before="80"/>
            </w:pPr>
          </w:p>
          <w:p w14:paraId="5AFE8BA0" w14:textId="77777777" w:rsidR="00FE29BA" w:rsidRDefault="00000000">
            <w:pPr>
              <w:spacing w:before="80" w:after="100"/>
            </w:pPr>
            <w:r>
              <w:rPr>
                <w:i/>
                <w:iCs/>
                <w:color w:val="CCDDEE"/>
                <w:sz w:val="24"/>
                <w:szCs w:val="24"/>
              </w:rPr>
              <w:t>How to evaluate, select, and pressure-test AI vendors before you commit.</w:t>
            </w:r>
          </w:p>
          <w:p w14:paraId="723F51D6" w14:textId="77777777" w:rsidR="00FE29BA" w:rsidRDefault="00FE29BA">
            <w:pPr>
              <w:spacing w:before="300"/>
            </w:pPr>
          </w:p>
          <w:tbl>
            <w:tblPr>
              <w:tblW w:w="84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800"/>
              <w:gridCol w:w="2800"/>
              <w:gridCol w:w="2800"/>
            </w:tblGrid>
            <w:tr w:rsidR="00FE29BA" w14:paraId="2B7A721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86AB"/>
                  <w:tcMar>
                    <w:top w:w="140" w:type="dxa"/>
                    <w:left w:w="100" w:type="dxa"/>
                    <w:bottom w:w="140" w:type="dxa"/>
                    <w:right w:w="100" w:type="dxa"/>
                  </w:tcMar>
                </w:tcPr>
                <w:p w14:paraId="02338159" w14:textId="77777777" w:rsidR="00FE29BA" w:rsidRDefault="00000000">
                  <w:pPr>
                    <w:spacing w:after="20"/>
                    <w:jc w:val="center"/>
                  </w:pPr>
                  <w:r>
                    <w:rPr>
                      <w:b/>
                      <w:bCs/>
                      <w:color w:val="CCDDEE"/>
                      <w:sz w:val="18"/>
                      <w:szCs w:val="18"/>
                    </w:rPr>
                    <w:t>PART 1</w:t>
                  </w:r>
                </w:p>
                <w:p w14:paraId="0CF5D787" w14:textId="77777777" w:rsidR="00FE29BA" w:rsidRDefault="00000000">
                  <w:pPr>
                    <w:jc w:val="center"/>
                  </w:pPr>
                  <w:r>
                    <w:rPr>
                      <w:color w:val="FFFFFF"/>
                    </w:rPr>
                    <w:t>Decision Tree Use / Configure / Build?</w:t>
                  </w:r>
                </w:p>
              </w:tc>
              <w:tc>
                <w:tcPr>
                  <w:tcW w:w="2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86AB"/>
                  <w:tcMar>
                    <w:top w:w="140" w:type="dxa"/>
                    <w:left w:w="100" w:type="dxa"/>
                    <w:bottom w:w="140" w:type="dxa"/>
                    <w:right w:w="100" w:type="dxa"/>
                  </w:tcMar>
                </w:tcPr>
                <w:p w14:paraId="4E59FF41" w14:textId="77777777" w:rsidR="00FE29BA" w:rsidRDefault="00000000">
                  <w:pPr>
                    <w:spacing w:after="20"/>
                    <w:jc w:val="center"/>
                  </w:pPr>
                  <w:r>
                    <w:rPr>
                      <w:b/>
                      <w:bCs/>
                      <w:color w:val="CCDDEE"/>
                      <w:sz w:val="18"/>
                      <w:szCs w:val="18"/>
                    </w:rPr>
                    <w:t>PART 2</w:t>
                  </w:r>
                </w:p>
                <w:p w14:paraId="6DA24DB2" w14:textId="77777777" w:rsidR="00FE29BA" w:rsidRDefault="00000000">
                  <w:pPr>
                    <w:jc w:val="center"/>
                  </w:pPr>
                  <w:r>
                    <w:rPr>
                      <w:color w:val="FFFFFF"/>
                    </w:rPr>
                    <w:t>Red Flag Checklist</w:t>
                  </w:r>
                </w:p>
              </w:tc>
              <w:tc>
                <w:tcPr>
                  <w:tcW w:w="28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86AB"/>
                  <w:tcMar>
                    <w:top w:w="140" w:type="dxa"/>
                    <w:left w:w="100" w:type="dxa"/>
                    <w:bottom w:w="140" w:type="dxa"/>
                    <w:right w:w="100" w:type="dxa"/>
                  </w:tcMar>
                </w:tcPr>
                <w:p w14:paraId="068BA891" w14:textId="77777777" w:rsidR="00FE29BA" w:rsidRDefault="00000000">
                  <w:pPr>
                    <w:spacing w:after="20"/>
                    <w:jc w:val="center"/>
                  </w:pPr>
                  <w:r>
                    <w:rPr>
                      <w:b/>
                      <w:bCs/>
                      <w:color w:val="CCDDEE"/>
                      <w:sz w:val="18"/>
                      <w:szCs w:val="18"/>
                    </w:rPr>
                    <w:t>PART 3</w:t>
                  </w:r>
                </w:p>
                <w:p w14:paraId="36CE82BE" w14:textId="77777777" w:rsidR="00FE29BA" w:rsidRDefault="00000000">
                  <w:pPr>
                    <w:jc w:val="center"/>
                  </w:pPr>
                  <w:r>
                    <w:rPr>
                      <w:color w:val="FFFFFF"/>
                    </w:rPr>
                    <w:t>Vendor Scoring Matrix</w:t>
                  </w:r>
                </w:p>
              </w:tc>
            </w:tr>
          </w:tbl>
          <w:p w14:paraId="13789A21" w14:textId="77777777" w:rsidR="00FE29BA" w:rsidRDefault="00FE29BA">
            <w:pPr>
              <w:spacing w:before="200"/>
            </w:pPr>
          </w:p>
          <w:p w14:paraId="14BDA46E" w14:textId="7554B0F1" w:rsidR="00FE29BA" w:rsidRDefault="00000000">
            <w:pPr>
              <w:spacing w:before="80" w:after="100"/>
            </w:pPr>
            <w:r>
              <w:rPr>
                <w:color w:val="7799AA"/>
                <w:sz w:val="18"/>
                <w:szCs w:val="18"/>
              </w:rPr>
              <w:t xml:space="preserve">v1.0 — Open </w:t>
            </w:r>
            <w:r w:rsidR="00BF3505">
              <w:rPr>
                <w:color w:val="7799AA"/>
                <w:sz w:val="18"/>
                <w:szCs w:val="18"/>
              </w:rPr>
              <w:t xml:space="preserve">Source </w:t>
            </w:r>
            <w:proofErr w:type="gramStart"/>
            <w:r w:rsidR="00BF3505">
              <w:rPr>
                <w:color w:val="7799AA"/>
                <w:sz w:val="18"/>
                <w:szCs w:val="18"/>
              </w:rPr>
              <w:t>|</w:t>
            </w:r>
            <w:r>
              <w:rPr>
                <w:color w:val="7799AA"/>
                <w:sz w:val="18"/>
                <w:szCs w:val="18"/>
              </w:rPr>
              <w:t xml:space="preserve">  github.com</w:t>
            </w:r>
            <w:proofErr w:type="gramEnd"/>
            <w:r>
              <w:rPr>
                <w:color w:val="7799AA"/>
                <w:sz w:val="18"/>
                <w:szCs w:val="18"/>
              </w:rPr>
              <w:t>/lift-framework</w:t>
            </w:r>
          </w:p>
          <w:p w14:paraId="4A59CB87" w14:textId="77777777" w:rsidR="00FE29BA" w:rsidRDefault="00FE29BA">
            <w:pPr>
              <w:spacing w:before="200"/>
            </w:pPr>
          </w:p>
        </w:tc>
      </w:tr>
    </w:tbl>
    <w:p w14:paraId="01DD5C02" w14:textId="77777777" w:rsidR="00FE29BA" w:rsidRDefault="00FE29BA">
      <w:pPr>
        <w:spacing w:before="300"/>
      </w:pPr>
    </w:p>
    <w:p w14:paraId="241F62C3" w14:textId="77777777" w:rsidR="00FE29BA" w:rsidRDefault="00000000">
      <w:pPr>
        <w:spacing w:before="80" w:after="100"/>
      </w:pPr>
      <w:r>
        <w:rPr>
          <w:b/>
          <w:bCs/>
          <w:color w:val="1B3A5C"/>
        </w:rPr>
        <w:t>How to use this guide:</w:t>
      </w:r>
    </w:p>
    <w:p w14:paraId="631CA8DC" w14:textId="77777777" w:rsidR="00FE29BA" w:rsidRDefault="00FE29BA">
      <w:pPr>
        <w:spacing w:before="40"/>
      </w:pPr>
    </w:p>
    <w:p w14:paraId="5D86DE7B" w14:textId="77777777" w:rsidR="00FE29BA" w:rsidRDefault="00000000">
      <w:pPr>
        <w:spacing w:before="80" w:after="100"/>
      </w:pPr>
      <w:r>
        <w:rPr>
          <w:color w:val="1A1A1A"/>
        </w:rPr>
        <w:t>Work through the three parts in order. Part 1 confirms you are evaluating vendors at all — rather than building. Part 2 gives you a checklist of red flags to spot before you are sold. Part 3 is a structured scoring matrix to compare vendors objectively. This guide is designed to be used in an active procurement process — not as background reading.</w:t>
      </w:r>
    </w:p>
    <w:p w14:paraId="1A11F75E" w14:textId="77777777" w:rsidR="00FE29BA" w:rsidRDefault="00FE29BA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0"/>
        <w:gridCol w:w="7910"/>
      </w:tblGrid>
      <w:tr w:rsidR="00FE29BA" w14:paraId="407E8C2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E4B8D17" w14:textId="77777777" w:rsidR="00FE29B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IMPORTANT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370912E" w14:textId="77777777" w:rsidR="00FE29BA" w:rsidRDefault="00000000">
            <w:r>
              <w:rPr>
                <w:i/>
                <w:iCs/>
                <w:color w:val="1A1A1A"/>
              </w:rPr>
              <w:t>This guide is vendor-agnostic. It does not recommend specific AI products. The market changes too fast for any specific recommendation to remain accurate. What does not change are the questions you should always ask.</w:t>
            </w:r>
          </w:p>
        </w:tc>
      </w:tr>
    </w:tbl>
    <w:p w14:paraId="51D339C9" w14:textId="77777777" w:rsidR="00FE29BA" w:rsidRDefault="00FE29BA">
      <w:pPr>
        <w:spacing w:before="200"/>
      </w:pPr>
    </w:p>
    <w:p w14:paraId="2F5CC5C3" w14:textId="77777777" w:rsidR="00FE29BA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E29BA" w14:paraId="20DE220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200" w:type="dxa"/>
              <w:left w:w="360" w:type="dxa"/>
              <w:bottom w:w="200" w:type="dxa"/>
              <w:right w:w="360" w:type="dxa"/>
            </w:tcMar>
          </w:tcPr>
          <w:p w14:paraId="151B9957" w14:textId="77777777" w:rsidR="00FE29BA" w:rsidRDefault="00000000">
            <w:pPr>
              <w:spacing w:after="40"/>
            </w:pPr>
            <w:r>
              <w:rPr>
                <w:b/>
                <w:bCs/>
                <w:color w:val="99BBCC"/>
                <w:spacing w:val="100"/>
                <w:sz w:val="18"/>
                <w:szCs w:val="18"/>
              </w:rPr>
              <w:lastRenderedPageBreak/>
              <w:t>PART 1</w:t>
            </w:r>
          </w:p>
          <w:p w14:paraId="5ED66DBA" w14:textId="77777777" w:rsidR="00FE29BA" w:rsidRDefault="00000000"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>The Build vs. Buy Decision Tree</w:t>
            </w:r>
          </w:p>
          <w:p w14:paraId="633C7194" w14:textId="77777777" w:rsidR="00FE29BA" w:rsidRDefault="00000000">
            <w:r>
              <w:rPr>
                <w:i/>
                <w:iCs/>
                <w:color w:val="CCDDEE"/>
              </w:rPr>
              <w:t xml:space="preserve">Before evaluating vendors, confirm you </w:t>
            </w:r>
            <w:proofErr w:type="gramStart"/>
            <w:r>
              <w:rPr>
                <w:i/>
                <w:iCs/>
                <w:color w:val="CCDDEE"/>
              </w:rPr>
              <w:t>actually need</w:t>
            </w:r>
            <w:proofErr w:type="gramEnd"/>
            <w:r>
              <w:rPr>
                <w:i/>
                <w:iCs/>
                <w:color w:val="CCDDEE"/>
              </w:rPr>
              <w:t xml:space="preserve"> one.</w:t>
            </w:r>
          </w:p>
        </w:tc>
      </w:tr>
    </w:tbl>
    <w:p w14:paraId="04CBD8D6" w14:textId="77777777" w:rsidR="00FE29BA" w:rsidRDefault="00FE29BA">
      <w:pPr>
        <w:spacing w:before="200"/>
      </w:pPr>
    </w:p>
    <w:p w14:paraId="1B4A3401" w14:textId="77777777" w:rsidR="00FE29BA" w:rsidRDefault="00000000">
      <w:pPr>
        <w:spacing w:before="80" w:after="100"/>
      </w:pPr>
      <w:r>
        <w:rPr>
          <w:i/>
          <w:iCs/>
          <w:color w:val="555555"/>
        </w:rPr>
        <w:t>Work through each question in order. Stop when you reach a clear answer. Do not skip ahead.</w:t>
      </w:r>
    </w:p>
    <w:p w14:paraId="08B9CEED" w14:textId="77777777" w:rsidR="00FE29BA" w:rsidRDefault="00FE29BA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E29BA" w14:paraId="5DF1A4C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5B44154A" w14:textId="12214C41" w:rsidR="00FE29BA" w:rsidRDefault="00000000">
            <w:r>
              <w:rPr>
                <w:b/>
                <w:bCs/>
                <w:color w:val="FFFFFF"/>
                <w:sz w:val="21"/>
                <w:szCs w:val="21"/>
              </w:rPr>
              <w:t>Q</w:t>
            </w:r>
            <w:r w:rsidR="00BF3505">
              <w:rPr>
                <w:b/>
                <w:bCs/>
                <w:color w:val="FFFFFF"/>
                <w:sz w:val="21"/>
                <w:szCs w:val="21"/>
              </w:rPr>
              <w:t>1 — Does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a commercially available AI tool address this problem adequately, even if imperfectly?</w:t>
            </w:r>
          </w:p>
        </w:tc>
      </w:tr>
      <w:tr w:rsidR="00FE29BA" w14:paraId="17381B9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4A5708" w14:textId="77777777" w:rsidR="00FE29BA" w:rsidRDefault="00000000">
            <w:pPr>
              <w:spacing w:after="40"/>
            </w:pPr>
            <w:r>
              <w:rPr>
                <w:b/>
                <w:bCs/>
                <w:color w:val="2A7A4F"/>
              </w:rPr>
              <w:t>YES →</w:t>
            </w:r>
          </w:p>
          <w:p w14:paraId="30F99C5B" w14:textId="77777777" w:rsidR="00FE29BA" w:rsidRDefault="00000000">
            <w:r>
              <w:rPr>
                <w:color w:val="1A1A1A"/>
              </w:rPr>
              <w:t>Strongly consider using an off-the-shelf tool. Proceed to Part 2 to evaluate vendors.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F02FB7" w14:textId="77777777" w:rsidR="00FE29BA" w:rsidRDefault="00000000">
            <w:pPr>
              <w:spacing w:after="40"/>
            </w:pPr>
            <w:r>
              <w:rPr>
                <w:b/>
                <w:bCs/>
                <w:color w:val="B87A00"/>
              </w:rPr>
              <w:t>NO →</w:t>
            </w:r>
          </w:p>
          <w:p w14:paraId="03636576" w14:textId="77777777" w:rsidR="00FE29BA" w:rsidRDefault="00000000">
            <w:r>
              <w:rPr>
                <w:color w:val="1A1A1A"/>
              </w:rPr>
              <w:t xml:space="preserve">The problem may require configuration or build. </w:t>
            </w:r>
            <w:proofErr w:type="gramStart"/>
            <w:r>
              <w:rPr>
                <w:color w:val="1A1A1A"/>
              </w:rPr>
              <w:t>Continue</w:t>
            </w:r>
            <w:proofErr w:type="gramEnd"/>
            <w:r>
              <w:rPr>
                <w:color w:val="1A1A1A"/>
              </w:rPr>
              <w:t xml:space="preserve"> to Q2.</w:t>
            </w:r>
          </w:p>
        </w:tc>
      </w:tr>
    </w:tbl>
    <w:p w14:paraId="5E871A6A" w14:textId="77777777" w:rsidR="00FE29BA" w:rsidRDefault="00FE29BA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E29BA" w14:paraId="15B4D2A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000D34F2" w14:textId="2A0A6D21" w:rsidR="00FE29BA" w:rsidRDefault="00000000">
            <w:r>
              <w:rPr>
                <w:b/>
                <w:bCs/>
                <w:color w:val="FFFFFF"/>
                <w:sz w:val="21"/>
                <w:szCs w:val="21"/>
              </w:rPr>
              <w:t>Q</w:t>
            </w:r>
            <w:r w:rsidR="00BF3505">
              <w:rPr>
                <w:b/>
                <w:bCs/>
                <w:color w:val="FFFFFF"/>
                <w:sz w:val="21"/>
                <w:szCs w:val="21"/>
              </w:rPr>
              <w:t>2 — Is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your proprietary data the core differentiator — and would it be compromised by using a third-party platform?</w:t>
            </w:r>
          </w:p>
        </w:tc>
      </w:tr>
      <w:tr w:rsidR="00FE29BA" w14:paraId="0FA66B0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5010C22" w14:textId="77777777" w:rsidR="00FE29BA" w:rsidRDefault="00000000">
            <w:pPr>
              <w:spacing w:after="40"/>
            </w:pPr>
            <w:r>
              <w:rPr>
                <w:b/>
                <w:bCs/>
                <w:color w:val="B87A00"/>
              </w:rPr>
              <w:t>YES →</w:t>
            </w:r>
          </w:p>
          <w:p w14:paraId="243B4AD7" w14:textId="77777777" w:rsidR="00FE29BA" w:rsidRDefault="00000000">
            <w:r>
              <w:rPr>
                <w:color w:val="1A1A1A"/>
              </w:rPr>
              <w:t>A build or configure approach may be justified. Continue to Q3 to assess feasibility.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1B2DD3F" w14:textId="77777777" w:rsidR="00FE29BA" w:rsidRDefault="00000000">
            <w:pPr>
              <w:spacing w:after="40"/>
            </w:pPr>
            <w:r>
              <w:rPr>
                <w:b/>
                <w:bCs/>
                <w:color w:val="2A7A4F"/>
              </w:rPr>
              <w:t>NO →</w:t>
            </w:r>
          </w:p>
          <w:p w14:paraId="15DE63C6" w14:textId="77777777" w:rsidR="00FE29BA" w:rsidRDefault="00000000">
            <w:r>
              <w:rPr>
                <w:color w:val="1A1A1A"/>
              </w:rPr>
              <w:t>Configuration is likely your best path. Proceed to Part 2 to evaluate platform vendors.</w:t>
            </w:r>
          </w:p>
        </w:tc>
      </w:tr>
    </w:tbl>
    <w:p w14:paraId="7E6421E3" w14:textId="77777777" w:rsidR="00FE29BA" w:rsidRDefault="00FE29BA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E29BA" w14:paraId="3AA0536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6274EC76" w14:textId="2E17A54B" w:rsidR="00FE29BA" w:rsidRDefault="00000000">
            <w:r>
              <w:rPr>
                <w:b/>
                <w:bCs/>
                <w:color w:val="FFFFFF"/>
                <w:sz w:val="21"/>
                <w:szCs w:val="21"/>
              </w:rPr>
              <w:t>Q</w:t>
            </w:r>
            <w:r w:rsidR="00BF3505">
              <w:rPr>
                <w:b/>
                <w:bCs/>
                <w:color w:val="FFFFFF"/>
                <w:sz w:val="21"/>
                <w:szCs w:val="21"/>
              </w:rPr>
              <w:t>3 — Do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you have dedicated engineering talent — in-house or contracted — to build and maintain this for 2+ years?</w:t>
            </w:r>
          </w:p>
        </w:tc>
      </w:tr>
      <w:tr w:rsidR="00FE29BA" w14:paraId="6C81B63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AC0C14" w14:textId="77777777" w:rsidR="00FE29BA" w:rsidRDefault="00000000">
            <w:pPr>
              <w:spacing w:after="40"/>
            </w:pPr>
            <w:r>
              <w:rPr>
                <w:b/>
                <w:bCs/>
                <w:color w:val="2A7A4F"/>
              </w:rPr>
              <w:t>YES →</w:t>
            </w:r>
          </w:p>
          <w:p w14:paraId="6A58328E" w14:textId="77777777" w:rsidR="00FE29BA" w:rsidRDefault="00000000">
            <w:r>
              <w:rPr>
                <w:color w:val="1A1A1A"/>
              </w:rPr>
              <w:t>Build is viable. Scope it fully including ongoing maintenance cost before committing.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49862E0" w14:textId="77777777" w:rsidR="00FE29BA" w:rsidRDefault="00000000">
            <w:pPr>
              <w:spacing w:after="40"/>
            </w:pPr>
            <w:r>
              <w:rPr>
                <w:b/>
                <w:bCs/>
                <w:color w:val="8B3A3A"/>
              </w:rPr>
              <w:t>NO →</w:t>
            </w:r>
          </w:p>
          <w:p w14:paraId="75161DCA" w14:textId="77777777" w:rsidR="00FE29BA" w:rsidRDefault="00000000">
            <w:r>
              <w:rPr>
                <w:color w:val="1A1A1A"/>
              </w:rPr>
              <w:t>Do not build. You will create a liability. Return to Q1 and select a vendor path.</w:t>
            </w:r>
          </w:p>
        </w:tc>
      </w:tr>
    </w:tbl>
    <w:p w14:paraId="4738EC58" w14:textId="77777777" w:rsidR="00FE29BA" w:rsidRDefault="00FE29BA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E29BA" w14:paraId="586B564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6DCFCFFF" w14:textId="44B49190" w:rsidR="00FE29BA" w:rsidRDefault="00000000">
            <w:r>
              <w:rPr>
                <w:b/>
                <w:bCs/>
                <w:color w:val="FFFFFF"/>
                <w:sz w:val="21"/>
                <w:szCs w:val="21"/>
              </w:rPr>
              <w:t>Q</w:t>
            </w:r>
            <w:r w:rsidR="00BF3505">
              <w:rPr>
                <w:b/>
                <w:bCs/>
                <w:color w:val="FFFFFF"/>
                <w:sz w:val="21"/>
                <w:szCs w:val="21"/>
              </w:rPr>
              <w:t>4 — Do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 you need this </w:t>
            </w:r>
            <w:proofErr w:type="gramStart"/>
            <w:r w:rsidR="00BF3505">
              <w:rPr>
                <w:b/>
                <w:bCs/>
                <w:color w:val="FFFFFF"/>
                <w:sz w:val="21"/>
                <w:szCs w:val="21"/>
              </w:rPr>
              <w:t>operational</w:t>
            </w:r>
            <w:proofErr w:type="gramEnd"/>
            <w:r>
              <w:rPr>
                <w:b/>
                <w:bCs/>
                <w:color w:val="FFFFFF"/>
                <w:sz w:val="21"/>
                <w:szCs w:val="21"/>
              </w:rPr>
              <w:t xml:space="preserve"> in less than 90 days?</w:t>
            </w:r>
          </w:p>
        </w:tc>
      </w:tr>
      <w:tr w:rsidR="00FE29BA" w14:paraId="5EA84D3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D9F0AF" w14:textId="77777777" w:rsidR="00FE29BA" w:rsidRDefault="00000000">
            <w:pPr>
              <w:spacing w:after="40"/>
            </w:pPr>
            <w:r>
              <w:rPr>
                <w:b/>
                <w:bCs/>
                <w:color w:val="B87A00"/>
              </w:rPr>
              <w:t>YES →</w:t>
            </w:r>
          </w:p>
          <w:p w14:paraId="4BF32BF6" w14:textId="1699E998" w:rsidR="00FE29BA" w:rsidRDefault="00000000">
            <w:r>
              <w:rPr>
                <w:color w:val="1A1A1A"/>
              </w:rPr>
              <w:t xml:space="preserve">Use or </w:t>
            </w:r>
            <w:r w:rsidR="00BF3505">
              <w:rPr>
                <w:color w:val="1A1A1A"/>
              </w:rPr>
              <w:t>configure</w:t>
            </w:r>
            <w:r>
              <w:rPr>
                <w:color w:val="1A1A1A"/>
              </w:rPr>
              <w:t xml:space="preserve"> only. Building will not meet your timeline. Proceed to Part 2.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EA53A9" w14:textId="77777777" w:rsidR="00FE29BA" w:rsidRDefault="00000000">
            <w:pPr>
              <w:spacing w:after="40"/>
            </w:pPr>
            <w:r>
              <w:rPr>
                <w:b/>
                <w:bCs/>
                <w:color w:val="2A7A4F"/>
              </w:rPr>
              <w:t>NO →</w:t>
            </w:r>
          </w:p>
          <w:p w14:paraId="1A984553" w14:textId="77777777" w:rsidR="00FE29BA" w:rsidRDefault="00000000">
            <w:r>
              <w:rPr>
                <w:color w:val="1A1A1A"/>
              </w:rPr>
              <w:t>Build remains on the table if Q2 and Q3 were both YES. Otherwise, proceed to Part 2.</w:t>
            </w:r>
          </w:p>
        </w:tc>
      </w:tr>
    </w:tbl>
    <w:p w14:paraId="79A6ABBD" w14:textId="77777777" w:rsidR="00FE29BA" w:rsidRDefault="00FE29BA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E29BA" w14:paraId="3F0DCD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0A17686D" w14:textId="77777777" w:rsidR="00FE29BA" w:rsidRDefault="00000000">
            <w:r>
              <w:rPr>
                <w:b/>
                <w:bCs/>
                <w:color w:val="FFFFFF"/>
                <w:sz w:val="21"/>
                <w:szCs w:val="21"/>
              </w:rPr>
              <w:t>Q</w:t>
            </w:r>
            <w:proofErr w:type="gramStart"/>
            <w:r>
              <w:rPr>
                <w:b/>
                <w:bCs/>
                <w:color w:val="FFFFFF"/>
                <w:sz w:val="21"/>
                <w:szCs w:val="21"/>
              </w:rPr>
              <w:t>5  —</w:t>
            </w:r>
            <w:proofErr w:type="gramEnd"/>
            <w:r>
              <w:rPr>
                <w:b/>
                <w:bCs/>
                <w:color w:val="FFFFFF"/>
                <w:sz w:val="21"/>
                <w:szCs w:val="21"/>
              </w:rPr>
              <w:t xml:space="preserve">  Have you mapped the full 3-year total cost of each path — including maintenance, training, switching, and failure costs?</w:t>
            </w:r>
          </w:p>
        </w:tc>
      </w:tr>
      <w:tr w:rsidR="00FE29BA" w14:paraId="2CA1665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5E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8ADE0B" w14:textId="77777777" w:rsidR="00FE29BA" w:rsidRDefault="00000000">
            <w:pPr>
              <w:spacing w:after="40"/>
            </w:pPr>
            <w:r>
              <w:rPr>
                <w:b/>
                <w:bCs/>
                <w:color w:val="2A7A4F"/>
              </w:rPr>
              <w:t>YES →</w:t>
            </w:r>
          </w:p>
          <w:p w14:paraId="5D750D42" w14:textId="77777777" w:rsidR="00FE29BA" w:rsidRDefault="00000000">
            <w:r>
              <w:rPr>
                <w:color w:val="1A1A1A"/>
              </w:rPr>
              <w:t>You are ready to decide. Choose the lowest total-cost path that meets your requirements.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E8A7ED5" w14:textId="77777777" w:rsidR="00FE29BA" w:rsidRDefault="00000000">
            <w:pPr>
              <w:spacing w:after="40"/>
            </w:pPr>
            <w:r>
              <w:rPr>
                <w:b/>
                <w:bCs/>
                <w:color w:val="8B3A3A"/>
              </w:rPr>
              <w:t>STOP →</w:t>
            </w:r>
          </w:p>
          <w:p w14:paraId="523093C2" w14:textId="77777777" w:rsidR="00FE29BA" w:rsidRDefault="00000000">
            <w:r>
              <w:rPr>
                <w:color w:val="1A1A1A"/>
              </w:rPr>
              <w:t>Do this analysis before committing to any path. Decisions made without total cost are guesses.</w:t>
            </w:r>
          </w:p>
        </w:tc>
      </w:tr>
    </w:tbl>
    <w:p w14:paraId="46E03B40" w14:textId="77777777" w:rsidR="00FE29BA" w:rsidRDefault="00FE29BA">
      <w:pPr>
        <w:spacing w:before="120"/>
      </w:pPr>
    </w:p>
    <w:p w14:paraId="234DD4B4" w14:textId="77777777" w:rsidR="00FE29BA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E29BA" w14:paraId="0EF482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200" w:type="dxa"/>
              <w:left w:w="360" w:type="dxa"/>
              <w:bottom w:w="200" w:type="dxa"/>
              <w:right w:w="360" w:type="dxa"/>
            </w:tcMar>
          </w:tcPr>
          <w:p w14:paraId="7BE5B7AE" w14:textId="77777777" w:rsidR="00FE29BA" w:rsidRDefault="00000000">
            <w:pPr>
              <w:spacing w:after="40"/>
            </w:pPr>
            <w:r>
              <w:rPr>
                <w:b/>
                <w:bCs/>
                <w:color w:val="99BBCC"/>
                <w:spacing w:val="100"/>
                <w:sz w:val="18"/>
                <w:szCs w:val="18"/>
              </w:rPr>
              <w:lastRenderedPageBreak/>
              <w:t>PART 2</w:t>
            </w:r>
          </w:p>
          <w:p w14:paraId="36C49A8D" w14:textId="77777777" w:rsidR="00FE29BA" w:rsidRDefault="00000000"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>The Red Flag Checklist</w:t>
            </w:r>
          </w:p>
          <w:p w14:paraId="2F69F54E" w14:textId="77777777" w:rsidR="00FE29BA" w:rsidRDefault="00000000">
            <w:r>
              <w:rPr>
                <w:i/>
                <w:iCs/>
                <w:color w:val="CCDDEE"/>
              </w:rPr>
              <w:t>Spot these before you sign. Each one is a sign the vendor may be overselling.</w:t>
            </w:r>
          </w:p>
        </w:tc>
      </w:tr>
    </w:tbl>
    <w:p w14:paraId="5535FE69" w14:textId="77777777" w:rsidR="00FE29BA" w:rsidRDefault="00FE29BA">
      <w:pPr>
        <w:spacing w:before="200"/>
      </w:pPr>
    </w:p>
    <w:p w14:paraId="136DD338" w14:textId="77777777" w:rsidR="00FE29BA" w:rsidRDefault="00000000">
      <w:pPr>
        <w:spacing w:before="80" w:after="100"/>
      </w:pPr>
      <w:r>
        <w:rPr>
          <w:color w:val="1A1A1A"/>
        </w:rPr>
        <w:t>Use this checklist in vendor demos and sales conversations. Every red flag you encounter is a data point. One or two may be manageable. Four or more is a pattern.</w:t>
      </w:r>
    </w:p>
    <w:p w14:paraId="774CD359" w14:textId="77777777" w:rsidR="00FE29BA" w:rsidRDefault="00FE29BA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4400"/>
        <w:gridCol w:w="4560"/>
      </w:tblGrid>
      <w:tr w:rsidR="00FE29BA" w14:paraId="2A02BF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3A3A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954EC86" w14:textId="77777777" w:rsidR="00FE29BA" w:rsidRDefault="00000000">
            <w:r>
              <w:rPr>
                <w:b/>
                <w:bCs/>
                <w:color w:val="FFFFFF"/>
                <w:sz w:val="22"/>
                <w:szCs w:val="22"/>
              </w:rPr>
              <w:t>DEMO &amp; SALES RED FLAGS</w:t>
            </w:r>
          </w:p>
        </w:tc>
      </w:tr>
      <w:tr w:rsidR="00FE29BA" w14:paraId="64ABF51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84DD42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29193F" w14:textId="77777777" w:rsidR="00FE29BA" w:rsidRDefault="00000000">
            <w:r>
              <w:rPr>
                <w:b/>
                <w:bCs/>
                <w:color w:val="1A1A1A"/>
              </w:rPr>
              <w:t>They cannot show you a live working demo — only slides and screenshots.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BA71C9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>Real products work in demos. If they can't show it live, it may not be ready.</w:t>
            </w:r>
          </w:p>
        </w:tc>
      </w:tr>
      <w:tr w:rsidR="00FE29BA" w14:paraId="03E428A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E5B790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BFEB1A" w14:textId="77777777" w:rsidR="00FE29BA" w:rsidRDefault="00000000">
            <w:r>
              <w:rPr>
                <w:b/>
                <w:bCs/>
                <w:color w:val="1A1A1A"/>
              </w:rPr>
              <w:t>The demo uses their curated data, not anything resembling your actual workflows.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AB0B79" w14:textId="0176A775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 xml:space="preserve">Ask them to </w:t>
            </w:r>
            <w:r w:rsidR="00BF3505">
              <w:rPr>
                <w:i/>
                <w:iCs/>
                <w:color w:val="555555"/>
                <w:sz w:val="19"/>
                <w:szCs w:val="19"/>
              </w:rPr>
              <w:t>demonstrate</w:t>
            </w:r>
            <w:r>
              <w:rPr>
                <w:i/>
                <w:iCs/>
                <w:color w:val="555555"/>
                <w:sz w:val="19"/>
                <w:szCs w:val="19"/>
              </w:rPr>
              <w:t xml:space="preserve"> a real example from your work. If they refuse, ask why.</w:t>
            </w:r>
          </w:p>
        </w:tc>
      </w:tr>
      <w:tr w:rsidR="00FE29BA" w14:paraId="42AB515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F866B5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891800" w14:textId="77777777" w:rsidR="00FE29BA" w:rsidRDefault="00000000">
            <w:r>
              <w:rPr>
                <w:b/>
                <w:bCs/>
                <w:color w:val="1A1A1A"/>
              </w:rPr>
              <w:t>They lead with the technology, not the problem it solves.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6AA792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>Vendors who open with 'we use GPT-4' or 'our model is fine-tuned on X' before understanding your problem are selling, not solving.</w:t>
            </w:r>
          </w:p>
        </w:tc>
      </w:tr>
      <w:tr w:rsidR="00FE29BA" w14:paraId="30B97F4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5C9DD8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20517F" w14:textId="77777777" w:rsidR="00FE29BA" w:rsidRDefault="00000000">
            <w:r>
              <w:rPr>
                <w:b/>
                <w:bCs/>
                <w:color w:val="1A1A1A"/>
              </w:rPr>
              <w:t xml:space="preserve">They cannot name a client </w:t>
            </w:r>
            <w:proofErr w:type="gramStart"/>
            <w:r>
              <w:rPr>
                <w:b/>
                <w:bCs/>
                <w:color w:val="1A1A1A"/>
              </w:rPr>
              <w:t>similar to</w:t>
            </w:r>
            <w:proofErr w:type="gramEnd"/>
            <w:r>
              <w:rPr>
                <w:b/>
                <w:bCs/>
                <w:color w:val="1A1A1A"/>
              </w:rPr>
              <w:t xml:space="preserve"> you who is using it successfully.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E32971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>Reference customers matter. If they cannot produce one in your industry or at your maturity level, be cautious.</w:t>
            </w:r>
          </w:p>
        </w:tc>
      </w:tr>
      <w:tr w:rsidR="00FE29BA" w14:paraId="1096BA7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754E5F1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0620E5" w14:textId="77777777" w:rsidR="00FE29BA" w:rsidRDefault="00000000">
            <w:r>
              <w:rPr>
                <w:b/>
                <w:bCs/>
                <w:color w:val="1A1A1A"/>
              </w:rPr>
              <w:t>They promise ROI numbers without asking about your current baseline.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28E2EE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>'Save 40% of your time' is meaningless without knowing where your time goes today. Generic ROI claims are marketing, not analysis.</w:t>
            </w:r>
          </w:p>
        </w:tc>
      </w:tr>
    </w:tbl>
    <w:p w14:paraId="017C9106" w14:textId="77777777" w:rsidR="00FE29BA" w:rsidRDefault="00FE29BA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4400"/>
        <w:gridCol w:w="4560"/>
      </w:tblGrid>
      <w:tr w:rsidR="00FE29BA" w14:paraId="4257475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2D43739" w14:textId="77777777" w:rsidR="00FE29BA" w:rsidRDefault="00000000">
            <w:r>
              <w:rPr>
                <w:b/>
                <w:bCs/>
                <w:color w:val="FFFFFF"/>
                <w:sz w:val="22"/>
                <w:szCs w:val="22"/>
              </w:rPr>
              <w:t>DATA &amp; SECURITY RED FLAGS</w:t>
            </w:r>
          </w:p>
        </w:tc>
      </w:tr>
      <w:tr w:rsidR="00FE29BA" w14:paraId="5D1033E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58E4CF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4E8F4C" w14:textId="77777777" w:rsidR="00FE29BA" w:rsidRDefault="00000000">
            <w:r>
              <w:rPr>
                <w:b/>
                <w:bCs/>
                <w:color w:val="1A1A1A"/>
              </w:rPr>
              <w:t>They cannot clearly explain where your data goes and who can access it.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DC35FF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>This is not a detail. This is a fundamental. If they are vague, assume the worst.</w:t>
            </w:r>
          </w:p>
        </w:tc>
      </w:tr>
      <w:tr w:rsidR="00FE29BA" w14:paraId="4D829A9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A31A13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2C34D9" w14:textId="77777777" w:rsidR="00FE29BA" w:rsidRDefault="00000000">
            <w:r>
              <w:rPr>
                <w:b/>
                <w:bCs/>
                <w:color w:val="1A1A1A"/>
              </w:rPr>
              <w:t>Your data will be used to train their models — and you cannot opt out.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F462E4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>Some vendors use customer data to improve their models by default. Understand the terms before you input anything sensitive.</w:t>
            </w:r>
          </w:p>
        </w:tc>
      </w:tr>
      <w:tr w:rsidR="00FE29BA" w14:paraId="42C1376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729EC7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420A0B" w14:textId="77777777" w:rsidR="00FE29BA" w:rsidRDefault="00000000">
            <w:r>
              <w:rPr>
                <w:b/>
                <w:bCs/>
                <w:color w:val="1A1A1A"/>
              </w:rPr>
              <w:t>They do not have a data processing agreement (DPA) ready to share.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8801FD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>Any legitimate vendor working with business data should have a DPA. If they do not, that tells you something about their operational maturity.</w:t>
            </w:r>
          </w:p>
        </w:tc>
      </w:tr>
      <w:tr w:rsidR="00FE29BA" w14:paraId="2137AD1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765072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F8CE7A" w14:textId="77777777" w:rsidR="00FE29BA" w:rsidRDefault="00000000">
            <w:r>
              <w:rPr>
                <w:b/>
                <w:bCs/>
                <w:color w:val="1A1A1A"/>
              </w:rPr>
              <w:t>They cannot tell you what happens to your data when you cancel.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15E67A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>Data portability and deletion rights matter. You need to know you can leave.</w:t>
            </w:r>
          </w:p>
        </w:tc>
      </w:tr>
    </w:tbl>
    <w:p w14:paraId="6FF80BDE" w14:textId="77777777" w:rsidR="00FE29BA" w:rsidRDefault="00FE29BA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4400"/>
        <w:gridCol w:w="4560"/>
      </w:tblGrid>
      <w:tr w:rsidR="00FE29BA" w14:paraId="1475DC1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7A00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9EC2C8D" w14:textId="77777777" w:rsidR="00FE29BA" w:rsidRDefault="00000000">
            <w:r>
              <w:rPr>
                <w:b/>
                <w:bCs/>
                <w:color w:val="FFFFFF"/>
                <w:sz w:val="22"/>
                <w:szCs w:val="22"/>
              </w:rPr>
              <w:t>CONTRACT &amp; COMMERCIAL RED FLAGS</w:t>
            </w:r>
          </w:p>
        </w:tc>
      </w:tr>
      <w:tr w:rsidR="00FE29BA" w14:paraId="62DB95E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89210C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C56FCD" w14:textId="77777777" w:rsidR="00FE29BA" w:rsidRDefault="00000000">
            <w:r>
              <w:rPr>
                <w:b/>
                <w:bCs/>
                <w:color w:val="1A1A1A"/>
              </w:rPr>
              <w:t>Pricing is tied to usage in ways that are hard to predict or cap.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5EC5EB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>Token-based or API-call pricing can balloon unexpectedly. Understand the ceiling before you commit.</w:t>
            </w:r>
          </w:p>
        </w:tc>
      </w:tr>
      <w:tr w:rsidR="00FE29BA" w14:paraId="669D7E4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135880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lastRenderedPageBreak/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36F135" w14:textId="77777777" w:rsidR="00FE29BA" w:rsidRDefault="00000000">
            <w:r>
              <w:rPr>
                <w:b/>
                <w:bCs/>
                <w:color w:val="1A1A1A"/>
              </w:rPr>
              <w:t>They reserve the right to change the underlying model without notice.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D03566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>If the model changes, your workflow may break. You need contractual protection or at minimum advance notice.</w:t>
            </w:r>
          </w:p>
        </w:tc>
      </w:tr>
      <w:tr w:rsidR="00FE29BA" w14:paraId="419871B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01EC6A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D7860F" w14:textId="78C9254D" w:rsidR="00FE29BA" w:rsidRDefault="00000000">
            <w:r>
              <w:rPr>
                <w:b/>
                <w:bCs/>
                <w:color w:val="1A1A1A"/>
              </w:rPr>
              <w:t>There is no clear off-</w:t>
            </w:r>
            <w:r w:rsidR="00BF3505">
              <w:rPr>
                <w:b/>
                <w:bCs/>
                <w:color w:val="1A1A1A"/>
              </w:rPr>
              <w:t>ramp exiting, which</w:t>
            </w:r>
            <w:r>
              <w:rPr>
                <w:b/>
                <w:bCs/>
                <w:color w:val="1A1A1A"/>
              </w:rPr>
              <w:t xml:space="preserve"> is expensive or technically complex.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3EC856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>Vendor lock-in is real. Understand the switching cost before you are inside.</w:t>
            </w:r>
          </w:p>
        </w:tc>
      </w:tr>
      <w:tr w:rsidR="00FE29BA" w14:paraId="03B8754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507273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4352E2" w14:textId="77777777" w:rsidR="00FE29BA" w:rsidRDefault="00000000">
            <w:r>
              <w:rPr>
                <w:b/>
                <w:bCs/>
                <w:color w:val="1A1A1A"/>
              </w:rPr>
              <w:t>The contract auto-renews on terms that are hard to exit.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CF8F48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 xml:space="preserve">Annual contracts that </w:t>
            </w:r>
            <w:proofErr w:type="gramStart"/>
            <w:r>
              <w:rPr>
                <w:i/>
                <w:iCs/>
                <w:color w:val="555555"/>
                <w:sz w:val="19"/>
                <w:szCs w:val="19"/>
              </w:rPr>
              <w:t>auto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>-renew with 90-day cancellation windows are common. Know your exit window before you sign.</w:t>
            </w:r>
          </w:p>
        </w:tc>
      </w:tr>
    </w:tbl>
    <w:p w14:paraId="56780081" w14:textId="77777777" w:rsidR="00FE29BA" w:rsidRDefault="00FE29BA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4400"/>
        <w:gridCol w:w="4560"/>
      </w:tblGrid>
      <w:tr w:rsidR="00FE29BA" w14:paraId="3AC76B5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A5C3A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4B83B4A" w14:textId="77777777" w:rsidR="00FE29BA" w:rsidRDefault="00000000">
            <w:r>
              <w:rPr>
                <w:b/>
                <w:bCs/>
                <w:color w:val="FFFFFF"/>
                <w:sz w:val="22"/>
                <w:szCs w:val="22"/>
              </w:rPr>
              <w:t>SUPPORT &amp; LONGEVITY RED FLAGS</w:t>
            </w:r>
          </w:p>
        </w:tc>
      </w:tr>
      <w:tr w:rsidR="00FE29BA" w14:paraId="039F4A0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6D99D6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B3672D" w14:textId="77777777" w:rsidR="00FE29BA" w:rsidRDefault="00000000">
            <w:r>
              <w:rPr>
                <w:b/>
                <w:bCs/>
                <w:color w:val="1A1A1A"/>
              </w:rPr>
              <w:t>They cannot tell you who your point of contact will be after the sale.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8A31A4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>In early-stage AI vendors, post-sale support is often where things fall apart. Know who you call when it breaks.</w:t>
            </w:r>
          </w:p>
        </w:tc>
      </w:tr>
      <w:tr w:rsidR="00FE29BA" w14:paraId="136309C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E6D1A5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057326" w14:textId="77777777" w:rsidR="00FE29BA" w:rsidRDefault="00000000">
            <w:r>
              <w:rPr>
                <w:b/>
                <w:bCs/>
                <w:color w:val="1A1A1A"/>
              </w:rPr>
              <w:t>The company is less than 18 months old and has not raised institutional funding.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1F21DE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 xml:space="preserve">Not a disqualifier, but a risk factor. Early-stage AI vendors carry real longevity risk. Factor that </w:t>
            </w:r>
            <w:proofErr w:type="gramStart"/>
            <w:r>
              <w:rPr>
                <w:i/>
                <w:iCs/>
                <w:color w:val="555555"/>
                <w:sz w:val="19"/>
                <w:szCs w:val="19"/>
              </w:rPr>
              <w:t>into</w:t>
            </w:r>
            <w:proofErr w:type="gramEnd"/>
            <w:r>
              <w:rPr>
                <w:i/>
                <w:iCs/>
                <w:color w:val="555555"/>
                <w:sz w:val="19"/>
                <w:szCs w:val="19"/>
              </w:rPr>
              <w:t xml:space="preserve"> your decision.</w:t>
            </w:r>
          </w:p>
        </w:tc>
      </w:tr>
      <w:tr w:rsidR="00FE29BA" w14:paraId="12AAADE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97C119B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BC451F" w14:textId="77777777" w:rsidR="00FE29BA" w:rsidRDefault="00000000">
            <w:r>
              <w:rPr>
                <w:b/>
                <w:bCs/>
                <w:color w:val="1A1A1A"/>
              </w:rPr>
              <w:t xml:space="preserve">They have no </w:t>
            </w:r>
            <w:proofErr w:type="gramStart"/>
            <w:r>
              <w:rPr>
                <w:b/>
                <w:bCs/>
                <w:color w:val="1A1A1A"/>
              </w:rPr>
              <w:t>documented</w:t>
            </w:r>
            <w:proofErr w:type="gramEnd"/>
            <w:r>
              <w:rPr>
                <w:b/>
                <w:bCs/>
                <w:color w:val="1A1A1A"/>
              </w:rPr>
              <w:t xml:space="preserve"> process for handling model errors or output failures.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B4799F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>Things go wrong. What matters is whether the vendor has a mature way of dealing with it.</w:t>
            </w:r>
          </w:p>
        </w:tc>
      </w:tr>
      <w:tr w:rsidR="00FE29BA" w14:paraId="7E2E0D2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EDE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DECC17" w14:textId="77777777" w:rsidR="00FE29BA" w:rsidRDefault="00000000">
            <w:pPr>
              <w:jc w:val="center"/>
            </w:pPr>
            <w:r>
              <w:rPr>
                <w:b/>
                <w:bCs/>
                <w:color w:val="8B3A3A"/>
                <w:sz w:val="22"/>
                <w:szCs w:val="22"/>
              </w:rPr>
              <w:t>⚑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485F47" w14:textId="77777777" w:rsidR="00FE29BA" w:rsidRDefault="00000000">
            <w:r>
              <w:rPr>
                <w:b/>
                <w:bCs/>
                <w:color w:val="1A1A1A"/>
              </w:rPr>
              <w:t>They cannot describe their product roadmap or show evidence of ongoing investment.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7C073A" w14:textId="77777777" w:rsidR="00FE29BA" w:rsidRDefault="00000000">
            <w:r>
              <w:rPr>
                <w:i/>
                <w:iCs/>
                <w:color w:val="555555"/>
                <w:sz w:val="19"/>
                <w:szCs w:val="19"/>
              </w:rPr>
              <w:t>The AI landscape is moving fast. A vendor who is not actively investing will fall behind quickly.</w:t>
            </w:r>
          </w:p>
        </w:tc>
      </w:tr>
    </w:tbl>
    <w:p w14:paraId="47BB0C73" w14:textId="77777777" w:rsidR="00FE29BA" w:rsidRDefault="00FE29BA">
      <w:pPr>
        <w:spacing w:before="160"/>
      </w:pPr>
    </w:p>
    <w:p w14:paraId="6DD960AE" w14:textId="77777777" w:rsidR="00FE29BA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E29BA" w14:paraId="4452814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5C"/>
            <w:tcMar>
              <w:top w:w="200" w:type="dxa"/>
              <w:left w:w="360" w:type="dxa"/>
              <w:bottom w:w="200" w:type="dxa"/>
              <w:right w:w="360" w:type="dxa"/>
            </w:tcMar>
          </w:tcPr>
          <w:p w14:paraId="475EE94C" w14:textId="77777777" w:rsidR="00FE29BA" w:rsidRDefault="00000000">
            <w:pPr>
              <w:spacing w:after="40"/>
            </w:pPr>
            <w:r>
              <w:rPr>
                <w:b/>
                <w:bCs/>
                <w:color w:val="99BBCC"/>
                <w:spacing w:val="100"/>
                <w:sz w:val="18"/>
                <w:szCs w:val="18"/>
              </w:rPr>
              <w:lastRenderedPageBreak/>
              <w:t>PART 3</w:t>
            </w:r>
          </w:p>
          <w:p w14:paraId="1F28ECA4" w14:textId="77777777" w:rsidR="00FE29BA" w:rsidRDefault="00000000"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>The Vendor Scoring Matrix</w:t>
            </w:r>
          </w:p>
          <w:p w14:paraId="000B15DD" w14:textId="77777777" w:rsidR="00FE29BA" w:rsidRDefault="00000000">
            <w:r>
              <w:rPr>
                <w:i/>
                <w:iCs/>
                <w:color w:val="CCDDEE"/>
              </w:rPr>
              <w:t>Compare vendors objectively. Score each criterion 1–5. Weight reflects priority for service organizations.</w:t>
            </w:r>
          </w:p>
        </w:tc>
      </w:tr>
    </w:tbl>
    <w:p w14:paraId="2C371B6D" w14:textId="77777777" w:rsidR="00FE29BA" w:rsidRDefault="00FE29BA">
      <w:pPr>
        <w:spacing w:before="200"/>
      </w:pPr>
    </w:p>
    <w:p w14:paraId="5923EB67" w14:textId="77777777" w:rsidR="00FE29BA" w:rsidRDefault="00000000">
      <w:pPr>
        <w:spacing w:before="80" w:after="100"/>
      </w:pPr>
      <w:r>
        <w:rPr>
          <w:color w:val="1A1A1A"/>
        </w:rPr>
        <w:t>Instructions: Score each vendor 1–5 on each criterion. Multiply by the weight. Sum the weighted scores. Use the totals to compare — but also pay attention to any criterion scored 1 or 2, regardless of overall total. A critical weakness can disqualify an otherwise strong vendor.</w:t>
      </w:r>
    </w:p>
    <w:p w14:paraId="520AC135" w14:textId="77777777" w:rsidR="00FE29BA" w:rsidRDefault="00FE29BA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FE29BA" w14:paraId="5480686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1A2F296" w14:textId="77777777" w:rsidR="00FE29B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SCORING GUIDE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412048" w14:textId="46548174" w:rsidR="00FE29BA" w:rsidRDefault="00000000">
            <w:r>
              <w:rPr>
                <w:i/>
                <w:iCs/>
                <w:color w:val="1A1A1A"/>
              </w:rPr>
              <w:t xml:space="preserve">1 = Does not meet </w:t>
            </w:r>
            <w:r w:rsidR="00BF3505">
              <w:rPr>
                <w:i/>
                <w:iCs/>
                <w:color w:val="1A1A1A"/>
              </w:rPr>
              <w:t>requirement | 2</w:t>
            </w:r>
            <w:r>
              <w:rPr>
                <w:i/>
                <w:iCs/>
                <w:color w:val="1A1A1A"/>
              </w:rPr>
              <w:t xml:space="preserve"> = Partially </w:t>
            </w:r>
            <w:r w:rsidR="00BF3505">
              <w:rPr>
                <w:i/>
                <w:iCs/>
                <w:color w:val="1A1A1A"/>
              </w:rPr>
              <w:t>meets | 3</w:t>
            </w:r>
            <w:r>
              <w:rPr>
                <w:i/>
                <w:iCs/>
                <w:color w:val="1A1A1A"/>
              </w:rPr>
              <w:t xml:space="preserve"> = Meets </w:t>
            </w:r>
            <w:r w:rsidR="00BF3505">
              <w:rPr>
                <w:i/>
                <w:iCs/>
                <w:color w:val="1A1A1A"/>
              </w:rPr>
              <w:t>adequately || 4</w:t>
            </w:r>
            <w:r>
              <w:rPr>
                <w:i/>
                <w:iCs/>
                <w:color w:val="1A1A1A"/>
              </w:rPr>
              <w:t xml:space="preserve">= Meets </w:t>
            </w:r>
            <w:r w:rsidR="00BF3505">
              <w:rPr>
                <w:i/>
                <w:iCs/>
                <w:color w:val="1A1A1A"/>
              </w:rPr>
              <w:t xml:space="preserve">well </w:t>
            </w:r>
            <w:proofErr w:type="gramStart"/>
            <w:r w:rsidR="00BF3505">
              <w:rPr>
                <w:i/>
                <w:iCs/>
                <w:color w:val="1A1A1A"/>
              </w:rPr>
              <w:t>|</w:t>
            </w:r>
            <w:r>
              <w:rPr>
                <w:i/>
                <w:iCs/>
                <w:color w:val="1A1A1A"/>
              </w:rPr>
              <w:t xml:space="preserve">  5</w:t>
            </w:r>
            <w:proofErr w:type="gramEnd"/>
            <w:r>
              <w:rPr>
                <w:i/>
                <w:iCs/>
                <w:color w:val="1A1A1A"/>
              </w:rPr>
              <w:t xml:space="preserve"> = Exceeds — genuinely differentiated</w:t>
            </w:r>
          </w:p>
        </w:tc>
      </w:tr>
    </w:tbl>
    <w:p w14:paraId="5D326BEB" w14:textId="77777777" w:rsidR="00FE29BA" w:rsidRDefault="00FE29BA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35"/>
        <w:gridCol w:w="874"/>
        <w:gridCol w:w="1029"/>
        <w:gridCol w:w="1186"/>
        <w:gridCol w:w="1044"/>
        <w:gridCol w:w="1192"/>
      </w:tblGrid>
      <w:tr w:rsidR="00FE29BA" w14:paraId="7417222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30629" w14:textId="77777777" w:rsidR="00FE29B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Assessment Criterion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05365" w14:textId="77777777" w:rsidR="00FE29B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Weight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C3750" w14:textId="77777777" w:rsidR="00FE29B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Vendor A Score (1–5)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2C7F0" w14:textId="77777777" w:rsidR="00FE29B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Vendor A Weighted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0DCB" w14:textId="77777777" w:rsidR="00FE29B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Vendor B Score (1–5)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6E2C9" w14:textId="77777777" w:rsidR="00FE29B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Vendor B Weighted</w:t>
            </w:r>
          </w:p>
        </w:tc>
      </w:tr>
      <w:tr w:rsidR="00FE29BA" w14:paraId="09F0EF9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85B936" w14:textId="77777777" w:rsidR="00FE29BA" w:rsidRDefault="00000000">
            <w:r>
              <w:rPr>
                <w:b/>
                <w:bCs/>
                <w:color w:val="1B3A5C"/>
              </w:rPr>
              <w:t>PROBLEM FIT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1F2974" w14:textId="77777777" w:rsidR="00FE29BA" w:rsidRDefault="00FE29BA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862301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F9AB5D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FEBFF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7D6DF9" w14:textId="77777777" w:rsidR="00FE29BA" w:rsidRDefault="00FE29BA"/>
        </w:tc>
      </w:tr>
      <w:tr w:rsidR="00FE29BA" w14:paraId="15900B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0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23DFFF" w14:textId="77777777" w:rsidR="00FE29BA" w:rsidRDefault="00000000">
            <w:r>
              <w:rPr>
                <w:b/>
                <w:bCs/>
                <w:color w:val="8B3A3A"/>
                <w:sz w:val="19"/>
                <w:szCs w:val="19"/>
              </w:rPr>
              <w:t>The vendor deeply understands your specific workflow — not just AI generally ★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0F0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A5534AC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1D267DA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FE6E6F8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8378A96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5CC9C2D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154737C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0C1965" w14:textId="77777777" w:rsidR="00FE29BA" w:rsidRDefault="00000000">
            <w:r>
              <w:rPr>
                <w:color w:val="1A1A1A"/>
                <w:sz w:val="19"/>
                <w:szCs w:val="19"/>
              </w:rPr>
              <w:t>Their product has been used successfully in a comparable service organization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53729A9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045F670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70BE973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F07B48C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5A63B8C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7C70915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33F043" w14:textId="77777777" w:rsidR="00FE29BA" w:rsidRDefault="00000000">
            <w:r>
              <w:rPr>
                <w:color w:val="1A1A1A"/>
                <w:sz w:val="19"/>
                <w:szCs w:val="19"/>
              </w:rPr>
              <w:t>The solution addresses your problem without requiring major workflow redesign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B9516CE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19895DC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5B9D52B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5338798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4E5BC2C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63E4A07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83A626" w14:textId="77777777" w:rsidR="00FE29BA" w:rsidRDefault="00000000">
            <w:r>
              <w:rPr>
                <w:color w:val="1A1A1A"/>
                <w:sz w:val="19"/>
                <w:szCs w:val="19"/>
              </w:rPr>
              <w:t>They can articulate clearly what the product does NOT do well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689AB7D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A84B048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F6B73C7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84566EA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98A261B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787637B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ECDA15" w14:textId="77777777" w:rsidR="00FE29BA" w:rsidRDefault="00000000">
            <w:r>
              <w:rPr>
                <w:b/>
                <w:bCs/>
                <w:color w:val="1B3A5C"/>
              </w:rPr>
              <w:t>DATA &amp; SECURITY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74434" w14:textId="77777777" w:rsidR="00FE29BA" w:rsidRDefault="00FE29BA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039F0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3B64C2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9545A3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D4BEA" w14:textId="77777777" w:rsidR="00FE29BA" w:rsidRDefault="00FE29BA"/>
        </w:tc>
      </w:tr>
      <w:tr w:rsidR="00FE29BA" w14:paraId="66C5CCE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0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440394" w14:textId="77777777" w:rsidR="00FE29BA" w:rsidRDefault="00000000">
            <w:r>
              <w:rPr>
                <w:b/>
                <w:bCs/>
                <w:color w:val="8B3A3A"/>
                <w:sz w:val="19"/>
                <w:szCs w:val="19"/>
              </w:rPr>
              <w:t>Data handling is transparent — clear policy on storage, access, and training use ★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0F0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E4A231A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D316A39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BC4D503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92CB8CC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3BA2262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696D62D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0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51FEA6" w14:textId="77777777" w:rsidR="00FE29BA" w:rsidRDefault="00000000">
            <w:r>
              <w:rPr>
                <w:b/>
                <w:bCs/>
                <w:color w:val="8B3A3A"/>
                <w:sz w:val="19"/>
                <w:szCs w:val="19"/>
              </w:rPr>
              <w:t>A data processing agreement (DPA) is available and covers your requirements ★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0F0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DA30C81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323A7C6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9E83AE3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D27D5C7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C411FC9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524AFA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74F56C" w14:textId="77777777" w:rsidR="00FE29BA" w:rsidRDefault="00000000">
            <w:r>
              <w:rPr>
                <w:color w:val="1A1A1A"/>
                <w:sz w:val="19"/>
                <w:szCs w:val="19"/>
              </w:rPr>
              <w:t>Your data is not used to train their models (or you have explicit opt-out)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5F7EFA0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3B09A3B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9197964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152AE65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BF933F4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6BA81A4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7D7DA8" w14:textId="77777777" w:rsidR="00FE29BA" w:rsidRDefault="00000000">
            <w:r>
              <w:rPr>
                <w:color w:val="1A1A1A"/>
                <w:sz w:val="19"/>
                <w:szCs w:val="19"/>
              </w:rPr>
              <w:t>Data portability and deletion rights are contractually guaranteed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64A4BFA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B51ADA1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77EE457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A0A91D4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2896303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45B11FF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049B0B" w14:textId="77777777" w:rsidR="00FE29BA" w:rsidRDefault="00000000">
            <w:r>
              <w:rPr>
                <w:b/>
                <w:bCs/>
                <w:color w:val="1B3A5C"/>
              </w:rPr>
              <w:t>COMMERCIAL TERMS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CB49C" w14:textId="77777777" w:rsidR="00FE29BA" w:rsidRDefault="00FE29BA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69A6AD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C2B2A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0CECF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8AD244" w14:textId="77777777" w:rsidR="00FE29BA" w:rsidRDefault="00FE29BA"/>
        </w:tc>
      </w:tr>
      <w:tr w:rsidR="00FE29BA" w14:paraId="4337AE5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2344F5" w14:textId="77777777" w:rsidR="00FE29BA" w:rsidRDefault="00000000">
            <w:r>
              <w:rPr>
                <w:color w:val="1A1A1A"/>
                <w:sz w:val="19"/>
                <w:szCs w:val="19"/>
              </w:rPr>
              <w:t>Pricing is predictable and scalable — no surprise usage-based ceilings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F19393A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5B5582F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904F569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E47C464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24604EC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39379B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28534A" w14:textId="77777777" w:rsidR="00FE29BA" w:rsidRDefault="00000000">
            <w:r>
              <w:rPr>
                <w:color w:val="1A1A1A"/>
                <w:sz w:val="19"/>
                <w:szCs w:val="19"/>
              </w:rPr>
              <w:t>Contract terms are reasonable — renewal, cancellation, and exit are clear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8101840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C7F04F9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FEEA75C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1976BA2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908FF52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0E296DC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59EA65" w14:textId="77777777" w:rsidR="00FE29BA" w:rsidRDefault="00000000">
            <w:r>
              <w:rPr>
                <w:color w:val="1A1A1A"/>
                <w:sz w:val="19"/>
                <w:szCs w:val="19"/>
              </w:rPr>
              <w:lastRenderedPageBreak/>
              <w:t>Model changes require advance notice and/or contractual protection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581F10C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509105B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7C55956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9010FC2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8C66550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726CBE0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447B9" w14:textId="77777777" w:rsidR="00FE29BA" w:rsidRDefault="00000000">
            <w:r>
              <w:rPr>
                <w:b/>
                <w:bCs/>
                <w:color w:val="1B3A5C"/>
              </w:rPr>
              <w:t>IMPLEMENTATION &amp; SUPPORT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207068" w14:textId="77777777" w:rsidR="00FE29BA" w:rsidRDefault="00FE29BA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50458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049781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353383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0607FA" w14:textId="77777777" w:rsidR="00FE29BA" w:rsidRDefault="00FE29BA"/>
        </w:tc>
      </w:tr>
      <w:tr w:rsidR="00FE29BA" w14:paraId="1FA4357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C44726" w14:textId="77777777" w:rsidR="00FE29BA" w:rsidRDefault="00000000">
            <w:proofErr w:type="gramStart"/>
            <w:r>
              <w:rPr>
                <w:color w:val="1A1A1A"/>
                <w:sz w:val="19"/>
                <w:szCs w:val="19"/>
              </w:rPr>
              <w:t>Implementation</w:t>
            </w:r>
            <w:proofErr w:type="gramEnd"/>
            <w:r>
              <w:rPr>
                <w:color w:val="1A1A1A"/>
                <w:sz w:val="19"/>
                <w:szCs w:val="19"/>
              </w:rPr>
              <w:t xml:space="preserve"> timeline and resource requirements are clearly defined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4EA66D5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F77ADAD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D4EBDCF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0D480B2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35A05FB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706192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A2FFEC" w14:textId="77777777" w:rsidR="00FE29BA" w:rsidRDefault="00000000">
            <w:r>
              <w:rPr>
                <w:color w:val="1A1A1A"/>
                <w:sz w:val="19"/>
                <w:szCs w:val="19"/>
              </w:rPr>
              <w:t>Post-sale support is structured — named contact, SLA, escalation path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D40F2B2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FABA182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65FC208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2A38387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5F9849F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02E8726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3F9C9C" w14:textId="77777777" w:rsidR="00FE29BA" w:rsidRDefault="00000000">
            <w:r>
              <w:rPr>
                <w:color w:val="1A1A1A"/>
                <w:sz w:val="19"/>
                <w:szCs w:val="19"/>
              </w:rPr>
              <w:t>Training and onboarding for your team is included or available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567FCD7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15B9ABA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24B8425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6197096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900E89D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6AC7C4D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79A912" w14:textId="77777777" w:rsidR="00FE29BA" w:rsidRDefault="00000000">
            <w:r>
              <w:rPr>
                <w:b/>
                <w:bCs/>
                <w:color w:val="1B3A5C"/>
              </w:rPr>
              <w:t>VENDOR VIABILITY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7CE3E" w14:textId="77777777" w:rsidR="00FE29BA" w:rsidRDefault="00FE29BA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8FDB90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7289C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DC7E8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BAE3F4" w14:textId="77777777" w:rsidR="00FE29BA" w:rsidRDefault="00FE29BA"/>
        </w:tc>
      </w:tr>
      <w:tr w:rsidR="00FE29BA" w14:paraId="3A0698F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D7EEC3" w14:textId="77777777" w:rsidR="00FE29BA" w:rsidRDefault="00000000">
            <w:r>
              <w:rPr>
                <w:color w:val="1A1A1A"/>
                <w:sz w:val="19"/>
                <w:szCs w:val="19"/>
              </w:rPr>
              <w:t>The vendor has demonstrable financial stability or institutional backing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2EF6337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4BE0D8C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A1A8229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600319D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07C4242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089D50D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2653E2" w14:textId="77777777" w:rsidR="00FE29BA" w:rsidRDefault="00000000">
            <w:r>
              <w:rPr>
                <w:color w:val="1A1A1A"/>
                <w:sz w:val="19"/>
                <w:szCs w:val="19"/>
              </w:rPr>
              <w:t>Active product development is evident — roadmap exists and is being executed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B6CCD7C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813D35B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BA02492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9A7DF0F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825438D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023009F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34038E" w14:textId="77777777" w:rsidR="00FE29BA" w:rsidRDefault="00000000">
            <w:r>
              <w:rPr>
                <w:color w:val="1A1A1A"/>
                <w:sz w:val="19"/>
                <w:szCs w:val="19"/>
              </w:rPr>
              <w:t>References in your industry or a comparable service context are available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4792D2F" w14:textId="77777777" w:rsidR="00FE29BA" w:rsidRDefault="00000000">
            <w:pPr>
              <w:jc w:val="center"/>
            </w:pPr>
            <w:r>
              <w:rPr>
                <w:b/>
                <w:bCs/>
                <w:color w:val="2E86AB"/>
                <w:sz w:val="19"/>
                <w:szCs w:val="19"/>
              </w:rPr>
              <w:t>×2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7C752AC" w14:textId="77777777" w:rsidR="00FE29BA" w:rsidRDefault="00FE29BA"/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4BB47DB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FC07F51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8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6E10957" w14:textId="77777777" w:rsidR="00FE29BA" w:rsidRDefault="00000000">
            <w:pPr>
              <w:jc w:val="center"/>
            </w:pPr>
            <w:r>
              <w:rPr>
                <w:color w:val="AAAAAA"/>
                <w:sz w:val="19"/>
                <w:szCs w:val="19"/>
              </w:rPr>
              <w:t>—</w:t>
            </w:r>
          </w:p>
        </w:tc>
      </w:tr>
      <w:tr w:rsidR="00FE29BA" w14:paraId="230DAB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FA83BA" w14:textId="77777777" w:rsidR="00FE29BA" w:rsidRDefault="00000000">
            <w:r>
              <w:rPr>
                <w:b/>
                <w:bCs/>
                <w:color w:val="FFFFFF"/>
              </w:rPr>
              <w:t>TOTAL WEIGHTED SCORE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09C1EE3" w14:textId="77777777" w:rsidR="00FE29BA" w:rsidRDefault="00FE29BA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059AA4B" w14:textId="77777777" w:rsidR="00FE29BA" w:rsidRDefault="00000000">
            <w:pPr>
              <w:jc w:val="center"/>
            </w:pPr>
            <w:r>
              <w:rPr>
                <w:b/>
                <w:bCs/>
                <w:color w:val="1B3A5C"/>
              </w:rPr>
              <w:t>/175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AE6E6E9" w14:textId="77777777" w:rsidR="00FE29BA" w:rsidRDefault="00FE29BA"/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7354AD7" w14:textId="77777777" w:rsidR="00FE29BA" w:rsidRDefault="00000000">
            <w:pPr>
              <w:jc w:val="center"/>
            </w:pPr>
            <w:r>
              <w:rPr>
                <w:b/>
                <w:bCs/>
                <w:color w:val="1B3A5C"/>
              </w:rPr>
              <w:t>/175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284FDE8" w14:textId="77777777" w:rsidR="00FE29BA" w:rsidRDefault="00FE29BA"/>
        </w:tc>
      </w:tr>
    </w:tbl>
    <w:p w14:paraId="5E74C357" w14:textId="77777777" w:rsidR="00FE29BA" w:rsidRDefault="00FE29BA">
      <w:pPr>
        <w:spacing w:before="120"/>
      </w:pPr>
    </w:p>
    <w:p w14:paraId="4076BA4C" w14:textId="77777777" w:rsidR="00FE29BA" w:rsidRDefault="00000000">
      <w:pPr>
        <w:spacing w:before="80" w:after="100"/>
      </w:pPr>
      <w:proofErr w:type="gramStart"/>
      <w:r>
        <w:rPr>
          <w:i/>
          <w:iCs/>
          <w:color w:val="8B3A3A"/>
          <w:sz w:val="19"/>
          <w:szCs w:val="19"/>
        </w:rPr>
        <w:t>★  Critical</w:t>
      </w:r>
      <w:proofErr w:type="gramEnd"/>
      <w:r>
        <w:rPr>
          <w:i/>
          <w:iCs/>
          <w:color w:val="8B3A3A"/>
          <w:sz w:val="19"/>
          <w:szCs w:val="19"/>
        </w:rPr>
        <w:t xml:space="preserve"> criteria — a score of 1 or 2 on any starred item should be treated as a potential disqualifier, regardless of overall score.</w:t>
      </w:r>
    </w:p>
    <w:p w14:paraId="25D5B959" w14:textId="77777777" w:rsidR="00FE29BA" w:rsidRDefault="00FE29BA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E29BA" w14:paraId="56E1C2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EF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1334469A" w14:textId="4BABB0AF" w:rsidR="00FE29BA" w:rsidRDefault="00000000">
            <w:pPr>
              <w:spacing w:after="80"/>
              <w:jc w:val="center"/>
            </w:pPr>
            <w:r>
              <w:rPr>
                <w:b/>
                <w:bCs/>
                <w:color w:val="1B3A5C"/>
                <w:sz w:val="26"/>
                <w:szCs w:val="26"/>
              </w:rPr>
              <w:t xml:space="preserve">The Score Is a Starting Point, </w:t>
            </w:r>
            <w:r w:rsidR="00BF3505">
              <w:rPr>
                <w:b/>
                <w:bCs/>
                <w:color w:val="1B3A5C"/>
                <w:sz w:val="26"/>
                <w:szCs w:val="26"/>
              </w:rPr>
              <w:t>not</w:t>
            </w:r>
            <w:r>
              <w:rPr>
                <w:b/>
                <w:bCs/>
                <w:color w:val="1B3A5C"/>
                <w:sz w:val="26"/>
                <w:szCs w:val="26"/>
              </w:rPr>
              <w:t xml:space="preserve"> a Decision</w:t>
            </w:r>
          </w:p>
          <w:p w14:paraId="57854F6C" w14:textId="77777777" w:rsidR="00FE29BA" w:rsidRDefault="00000000">
            <w:pPr>
              <w:spacing w:after="80"/>
            </w:pPr>
            <w:r>
              <w:rPr>
                <w:color w:val="1A1A1A"/>
              </w:rPr>
              <w:t>A vendor who scores 140/175 but has a 1 on data handling should concern you more than a vendor who scores 120/175 with no critical weaknesses. Use the matrix to surface gaps and force conversations — not to generate a number that makes the decision for you.</w:t>
            </w:r>
          </w:p>
          <w:p w14:paraId="3044B508" w14:textId="77777777" w:rsidR="00FE29BA" w:rsidRDefault="00000000">
            <w:r>
              <w:rPr>
                <w:color w:val="1A1A1A"/>
              </w:rPr>
              <w:t>The best vendor evaluation includes: a structured demo against your real work, a reference call with a comparable client, a legal review of the DPA and contract, and a conversation about what happens when things go wrong.</w:t>
            </w:r>
          </w:p>
        </w:tc>
      </w:tr>
    </w:tbl>
    <w:p w14:paraId="2DF85D12" w14:textId="77777777" w:rsidR="00FE29BA" w:rsidRDefault="00FE29BA">
      <w:pPr>
        <w:spacing w:before="160"/>
      </w:pPr>
    </w:p>
    <w:p w14:paraId="2C174CEA" w14:textId="77777777" w:rsidR="00FE29BA" w:rsidRDefault="00FE29BA">
      <w:pPr>
        <w:pBdr>
          <w:bottom w:val="single" w:sz="4" w:space="1" w:color="D0E4EF"/>
        </w:pBdr>
      </w:pPr>
    </w:p>
    <w:p w14:paraId="14EE6A87" w14:textId="77777777" w:rsidR="00FE29BA" w:rsidRDefault="00FE29BA">
      <w:pPr>
        <w:spacing w:before="80"/>
      </w:pPr>
    </w:p>
    <w:p w14:paraId="19797564" w14:textId="77777777" w:rsidR="00FE29BA" w:rsidRDefault="00000000">
      <w:pPr>
        <w:spacing w:before="80" w:after="100"/>
      </w:pPr>
      <w:r>
        <w:rPr>
          <w:i/>
          <w:iCs/>
          <w:color w:val="AAAAAA"/>
          <w:sz w:val="18"/>
          <w:szCs w:val="18"/>
        </w:rPr>
        <w:t xml:space="preserve">LIFT AI Vendor Assessment </w:t>
      </w:r>
      <w:proofErr w:type="gramStart"/>
      <w:r>
        <w:rPr>
          <w:i/>
          <w:iCs/>
          <w:color w:val="AAAAAA"/>
          <w:sz w:val="18"/>
          <w:szCs w:val="18"/>
        </w:rPr>
        <w:t>Guide  |</w:t>
      </w:r>
      <w:proofErr w:type="gramEnd"/>
      <w:r>
        <w:rPr>
          <w:i/>
          <w:iCs/>
          <w:color w:val="AAAAAA"/>
          <w:sz w:val="18"/>
          <w:szCs w:val="18"/>
        </w:rPr>
        <w:t xml:space="preserve">  </w:t>
      </w:r>
      <w:proofErr w:type="gramStart"/>
      <w:r>
        <w:rPr>
          <w:i/>
          <w:iCs/>
          <w:color w:val="AAAAAA"/>
          <w:sz w:val="18"/>
          <w:szCs w:val="18"/>
        </w:rPr>
        <w:t>v1.0  |</w:t>
      </w:r>
      <w:proofErr w:type="gramEnd"/>
      <w:r>
        <w:rPr>
          <w:i/>
          <w:iCs/>
          <w:color w:val="AAAAAA"/>
          <w:sz w:val="18"/>
          <w:szCs w:val="18"/>
        </w:rPr>
        <w:t xml:space="preserve">  github.com/lift-</w:t>
      </w:r>
      <w:proofErr w:type="gramStart"/>
      <w:r>
        <w:rPr>
          <w:i/>
          <w:iCs/>
          <w:color w:val="AAAAAA"/>
          <w:sz w:val="18"/>
          <w:szCs w:val="18"/>
        </w:rPr>
        <w:t>framework  |</w:t>
      </w:r>
      <w:proofErr w:type="gramEnd"/>
      <w:r>
        <w:rPr>
          <w:i/>
          <w:iCs/>
          <w:color w:val="AAAAAA"/>
          <w:sz w:val="18"/>
          <w:szCs w:val="18"/>
        </w:rPr>
        <w:t xml:space="preserve">  Open Source — use, adapt, share.</w:t>
      </w:r>
    </w:p>
    <w:sectPr w:rsidR="00FE29B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F534E"/>
    <w:multiLevelType w:val="hybridMultilevel"/>
    <w:tmpl w:val="3F94A110"/>
    <w:lvl w:ilvl="0" w:tplc="53D455A4">
      <w:start w:val="1"/>
      <w:numFmt w:val="bullet"/>
      <w:lvlText w:val="●"/>
      <w:lvlJc w:val="left"/>
      <w:pPr>
        <w:ind w:left="720" w:hanging="360"/>
      </w:pPr>
    </w:lvl>
    <w:lvl w:ilvl="1" w:tplc="C562B5D6">
      <w:start w:val="1"/>
      <w:numFmt w:val="bullet"/>
      <w:lvlText w:val="○"/>
      <w:lvlJc w:val="left"/>
      <w:pPr>
        <w:ind w:left="1440" w:hanging="360"/>
      </w:pPr>
    </w:lvl>
    <w:lvl w:ilvl="2" w:tplc="5E6EF83A">
      <w:start w:val="1"/>
      <w:numFmt w:val="bullet"/>
      <w:lvlText w:val="■"/>
      <w:lvlJc w:val="left"/>
      <w:pPr>
        <w:ind w:left="2160" w:hanging="360"/>
      </w:pPr>
    </w:lvl>
    <w:lvl w:ilvl="3" w:tplc="84506FAA">
      <w:start w:val="1"/>
      <w:numFmt w:val="bullet"/>
      <w:lvlText w:val="●"/>
      <w:lvlJc w:val="left"/>
      <w:pPr>
        <w:ind w:left="2880" w:hanging="360"/>
      </w:pPr>
    </w:lvl>
    <w:lvl w:ilvl="4" w:tplc="24FAEF9E">
      <w:start w:val="1"/>
      <w:numFmt w:val="bullet"/>
      <w:lvlText w:val="○"/>
      <w:lvlJc w:val="left"/>
      <w:pPr>
        <w:ind w:left="3600" w:hanging="360"/>
      </w:pPr>
    </w:lvl>
    <w:lvl w:ilvl="5" w:tplc="3DF68C5E">
      <w:start w:val="1"/>
      <w:numFmt w:val="bullet"/>
      <w:lvlText w:val="■"/>
      <w:lvlJc w:val="left"/>
      <w:pPr>
        <w:ind w:left="4320" w:hanging="360"/>
      </w:pPr>
    </w:lvl>
    <w:lvl w:ilvl="6" w:tplc="810E9498">
      <w:start w:val="1"/>
      <w:numFmt w:val="bullet"/>
      <w:lvlText w:val="●"/>
      <w:lvlJc w:val="left"/>
      <w:pPr>
        <w:ind w:left="5040" w:hanging="360"/>
      </w:pPr>
    </w:lvl>
    <w:lvl w:ilvl="7" w:tplc="0E10F9A4">
      <w:start w:val="1"/>
      <w:numFmt w:val="bullet"/>
      <w:lvlText w:val="●"/>
      <w:lvlJc w:val="left"/>
      <w:pPr>
        <w:ind w:left="5760" w:hanging="360"/>
      </w:pPr>
    </w:lvl>
    <w:lvl w:ilvl="8" w:tplc="ABCAD7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6DE4FBF"/>
    <w:multiLevelType w:val="hybridMultilevel"/>
    <w:tmpl w:val="1CB22090"/>
    <w:lvl w:ilvl="0" w:tplc="A04296D8">
      <w:start w:val="1"/>
      <w:numFmt w:val="decimal"/>
      <w:lvlText w:val="%1."/>
      <w:lvlJc w:val="left"/>
      <w:pPr>
        <w:ind w:left="720" w:hanging="360"/>
      </w:pPr>
    </w:lvl>
    <w:lvl w:ilvl="1" w:tplc="4984E582">
      <w:numFmt w:val="decimal"/>
      <w:lvlText w:val=""/>
      <w:lvlJc w:val="left"/>
    </w:lvl>
    <w:lvl w:ilvl="2" w:tplc="2CF8ADF4">
      <w:numFmt w:val="decimal"/>
      <w:lvlText w:val=""/>
      <w:lvlJc w:val="left"/>
    </w:lvl>
    <w:lvl w:ilvl="3" w:tplc="E21268A6">
      <w:numFmt w:val="decimal"/>
      <w:lvlText w:val=""/>
      <w:lvlJc w:val="left"/>
    </w:lvl>
    <w:lvl w:ilvl="4" w:tplc="2A92ABE8">
      <w:numFmt w:val="decimal"/>
      <w:lvlText w:val=""/>
      <w:lvlJc w:val="left"/>
    </w:lvl>
    <w:lvl w:ilvl="5" w:tplc="67D4C836">
      <w:numFmt w:val="decimal"/>
      <w:lvlText w:val=""/>
      <w:lvlJc w:val="left"/>
    </w:lvl>
    <w:lvl w:ilvl="6" w:tplc="63F89D0A">
      <w:numFmt w:val="decimal"/>
      <w:lvlText w:val=""/>
      <w:lvlJc w:val="left"/>
    </w:lvl>
    <w:lvl w:ilvl="7" w:tplc="2222FD1E">
      <w:numFmt w:val="decimal"/>
      <w:lvlText w:val=""/>
      <w:lvlJc w:val="left"/>
    </w:lvl>
    <w:lvl w:ilvl="8" w:tplc="F3E689CE">
      <w:numFmt w:val="decimal"/>
      <w:lvlText w:val=""/>
      <w:lvlJc w:val="left"/>
    </w:lvl>
  </w:abstractNum>
  <w:abstractNum w:abstractNumId="2" w15:restartNumberingAfterBreak="0">
    <w:nsid w:val="2CCE0827"/>
    <w:multiLevelType w:val="hybridMultilevel"/>
    <w:tmpl w:val="D8AE4E58"/>
    <w:lvl w:ilvl="0" w:tplc="F7BC720C">
      <w:start w:val="1"/>
      <w:numFmt w:val="bullet"/>
      <w:lvlText w:val="•"/>
      <w:lvlJc w:val="left"/>
      <w:pPr>
        <w:ind w:left="720" w:hanging="360"/>
      </w:pPr>
    </w:lvl>
    <w:lvl w:ilvl="1" w:tplc="CED6604A">
      <w:start w:val="1"/>
      <w:numFmt w:val="bullet"/>
      <w:lvlText w:val="◦"/>
      <w:lvlJc w:val="left"/>
      <w:pPr>
        <w:ind w:left="1080" w:hanging="360"/>
      </w:pPr>
    </w:lvl>
    <w:lvl w:ilvl="2" w:tplc="70E2F3C8">
      <w:numFmt w:val="decimal"/>
      <w:lvlText w:val=""/>
      <w:lvlJc w:val="left"/>
    </w:lvl>
    <w:lvl w:ilvl="3" w:tplc="CF4C25DC">
      <w:numFmt w:val="decimal"/>
      <w:lvlText w:val=""/>
      <w:lvlJc w:val="left"/>
    </w:lvl>
    <w:lvl w:ilvl="4" w:tplc="E9D88DBC">
      <w:numFmt w:val="decimal"/>
      <w:lvlText w:val=""/>
      <w:lvlJc w:val="left"/>
    </w:lvl>
    <w:lvl w:ilvl="5" w:tplc="E724D3CA">
      <w:numFmt w:val="decimal"/>
      <w:lvlText w:val=""/>
      <w:lvlJc w:val="left"/>
    </w:lvl>
    <w:lvl w:ilvl="6" w:tplc="76482FFC">
      <w:numFmt w:val="decimal"/>
      <w:lvlText w:val=""/>
      <w:lvlJc w:val="left"/>
    </w:lvl>
    <w:lvl w:ilvl="7" w:tplc="1FB83F7C">
      <w:numFmt w:val="decimal"/>
      <w:lvlText w:val=""/>
      <w:lvlJc w:val="left"/>
    </w:lvl>
    <w:lvl w:ilvl="8" w:tplc="D8409D8A">
      <w:numFmt w:val="decimal"/>
      <w:lvlText w:val=""/>
      <w:lvlJc w:val="left"/>
    </w:lvl>
  </w:abstractNum>
  <w:num w:numId="1" w16cid:durableId="12372800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9BA"/>
    <w:rsid w:val="007B113B"/>
    <w:rsid w:val="00A920B9"/>
    <w:rsid w:val="00BF3505"/>
    <w:rsid w:val="00FE2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55D44"/>
  <w15:docId w15:val="{A89E5930-25F2-4932-ACC2-7A4206A91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B3A5C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40" w:after="100"/>
      <w:outlineLvl w:val="1"/>
    </w:pPr>
    <w:rPr>
      <w:b/>
      <w:bCs/>
      <w:color w:val="2E86AB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1339</Words>
  <Characters>7636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Amit Chauhan</cp:lastModifiedBy>
  <cp:revision>2</cp:revision>
  <dcterms:created xsi:type="dcterms:W3CDTF">2026-03-05T04:53:00Z</dcterms:created>
  <dcterms:modified xsi:type="dcterms:W3CDTF">2026-03-05T20:01:00Z</dcterms:modified>
</cp:coreProperties>
</file>