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200" w:after="0"/>
            </w:pPr>
            <w:r>
              <w:t xml:space="preserve"/>
            </w:r>
          </w:p>
          <w:p>
            <w:pPr>
              <w:spacing w:before="8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99BBCC"/>
                <w:spacing w:val="80"/>
                <w:sz w:val="18"/>
                <w:szCs w:val="18"/>
              </w:rPr>
              <w:t xml:space="preserve">THE LIFT FRAMEWORK  —  COMPANION GUIDE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Vendor Assessment Guide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10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4"/>
                <w:szCs w:val="24"/>
              </w:rPr>
              <w:t xml:space="preserve">How to evaluate, select, and pressure-test AI vendors before you commit.</w:t>
            </w:r>
          </w:p>
          <w:p>
            <w:pPr>
              <w:spacing w:before="300" w:after="0"/>
            </w:pPr>
            <w:r>
              <w:t xml:space="preserve"/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00"/>
              <w:gridCol w:w="28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86AB" w:val="clear"/>
                  <w:tcMar>
                    <w:top w:type="dxa" w:w="140"/>
                    <w:left w:type="dxa" w:w="100"/>
                    <w:bottom w:type="dxa" w:w="140"/>
                    <w:right w:type="dxa" w:w="100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CDDEE"/>
                      <w:sz w:val="18"/>
                      <w:szCs w:val="18"/>
                    </w:rPr>
                    <w:t xml:space="preserve">PART 1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20"/>
                      <w:szCs w:val="20"/>
                    </w:rPr>
                    <w:t xml:space="preserve">Decision Tree
Use / Configure / Build?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86AB" w:val="clear"/>
                  <w:tcMar>
                    <w:top w:type="dxa" w:w="140"/>
                    <w:left w:type="dxa" w:w="100"/>
                    <w:bottom w:type="dxa" w:w="140"/>
                    <w:right w:type="dxa" w:w="100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CDDEE"/>
                      <w:sz w:val="18"/>
                      <w:szCs w:val="18"/>
                    </w:rPr>
                    <w:t xml:space="preserve">PART 2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20"/>
                      <w:szCs w:val="20"/>
                    </w:rPr>
                    <w:t xml:space="preserve">Red Flag
Checklist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86AB" w:val="clear"/>
                  <w:tcMar>
                    <w:top w:type="dxa" w:w="140"/>
                    <w:left w:type="dxa" w:w="100"/>
                    <w:bottom w:type="dxa" w:w="140"/>
                    <w:right w:type="dxa" w:w="100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CDDEE"/>
                      <w:sz w:val="18"/>
                      <w:szCs w:val="18"/>
                    </w:rPr>
                    <w:t xml:space="preserve">PART 3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20"/>
                      <w:szCs w:val="20"/>
                    </w:rPr>
                    <w:t xml:space="preserve">Vendor Scoring
Matrix</w:t>
                  </w:r>
                </w:p>
              </w:tc>
            </w:tr>
          </w:tbl>
          <w:p>
            <w:pPr>
              <w:spacing w:before="200" w:after="0"/>
            </w:pPr>
            <w:r>
              <w:t xml:space="preserve"/>
            </w:r>
          </w:p>
          <w:p>
            <w:pPr>
              <w:spacing w:before="80" w:after="100"/>
              <w:jc w:val="left"/>
            </w:pPr>
            <w:r>
              <w:rPr>
                <w:rFonts w:ascii="Arial" w:cs="Arial" w:eastAsia="Arial" w:hAnsi="Arial"/>
                <w:color w:val="7799AA"/>
                <w:sz w:val="18"/>
                <w:szCs w:val="18"/>
              </w:rPr>
              <w:t xml:space="preserve">v1.0 — Open Source  |  github.com/amitchauhank/lift-framework</w:t>
            </w:r>
          </w:p>
          <w:p>
            <w:pPr>
              <w:spacing w:before="200" w:after="0"/>
            </w:pPr>
            <w:r>
              <w:t xml:space="preserve"/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How to use this guide:</w:t>
      </w:r>
    </w:p>
    <w:p>
      <w:pPr>
        <w:spacing w:before="40" w:after="0"/>
      </w:pPr>
      <w: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through the three parts in order. Part 1 confirms you are evaluating vendors at all — rather than building. Part 2 gives you a checklist of red flags to spot before you are sold. Part 3 is a structured scoring matrix to compare vendors objectively. This guide is designed to be used in an active procurement process — not as background reading.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This guide is vendor-agnostic. It does not recommend specific AI products. The market changes too fast for any specific recommendation to remain accurate. What does not change are the questions you should always ask.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9BBCC"/>
                <w:spacing w:val="100"/>
                <w:sz w:val="18"/>
                <w:szCs w:val="18"/>
              </w:rPr>
              <w:t xml:space="preserve">PART 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Build vs. Buy Decision Tree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Before evaluating vendors, confirm you actually need one.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Work through each question in order. Stop when you reach a clear answer. Do not skip ahead.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Q1  —  Does a commercially available AI tool address this problem adequately, even if imperfectly?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A7A4F"/>
                <w:sz w:val="20"/>
                <w:szCs w:val="20"/>
              </w:rPr>
              <w:t xml:space="preserve">YES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Strongly consider using an off-the-shelf tool. Proceed to Part 2 to evaluate vendors.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NO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problem may require configuration or build. Continue to Q2.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Q2  —  Is your proprietary data the core differentiator — and would it be compromised by using a third-party platform?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YES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build or configure approach may be justified. Continue to Q3 to assess feasibility.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A7A4F"/>
                <w:sz w:val="20"/>
                <w:szCs w:val="20"/>
              </w:rPr>
              <w:t xml:space="preserve">NO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 is likely your best path. Proceed to Part 2 to evaluate platform vendors.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Q3  —  Do you have dedicated engineering talent — in-house or contracted — to build and maintain this for 2+ years?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A7A4F"/>
                <w:sz w:val="20"/>
                <w:szCs w:val="20"/>
              </w:rPr>
              <w:t xml:space="preserve">YES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is viable. Scope it fully including ongoing maintenance cost before committing.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8B3A3A"/>
                <w:sz w:val="20"/>
                <w:szCs w:val="20"/>
              </w:rPr>
              <w:t xml:space="preserve">NO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build. You will create a liability. Return to Q1 and select a vendor path.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Q4  —  Do you need this operational in less than 90 days?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YES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or Configure only. Building will not meet your timeline. Proceed to Part 2.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A7A4F"/>
                <w:sz w:val="20"/>
                <w:szCs w:val="20"/>
              </w:rPr>
              <w:t xml:space="preserve">NO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remains on the table if Q2 and Q3 were both YES. Otherwise, proceed to Part 2.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Q5  —  Have you mapped the full 3-year total cost of each path — including maintenance, training, switching, and failure costs?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A7A4F"/>
                <w:sz w:val="20"/>
                <w:szCs w:val="20"/>
              </w:rPr>
              <w:t xml:space="preserve">YES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are ready to decide. Choose the lowest total-cost path that meets your requirements.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8B3A3A"/>
                <w:sz w:val="20"/>
                <w:szCs w:val="20"/>
              </w:rPr>
              <w:t xml:space="preserve">STOP →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this analysis before committing to any path. Decisions made without total cost are guesses.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9BBCC"/>
                <w:spacing w:val="100"/>
                <w:sz w:val="18"/>
                <w:szCs w:val="18"/>
              </w:rPr>
              <w:t xml:space="preserve">PART 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Red Flag Checklist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Spot these before you sign. Each one is a sign the vendor may be overselling.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checklist in vendor demos and sales conversations. Every red flag you encounter is a data point. One or two may be manageable. Four or more is a pattern.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3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 &amp; SALES RED FLAGS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cannot show you a live working demo — only slides and screenshots.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Real products work in demos. If they can't show it live, it may not be ready.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demo uses their curated data, not anything resembling your actual workflows.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Ask them to demonstrate against a real example from your work. If they refuse, ask why.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lead with the technology, not the problem it solves.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Vendors who open with 'we use GPT-4' or 'our model is fine-tuned on X' before understanding your problem are selling, not solving.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cannot name a client similar to you who is using it successfully.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Reference customers matter. If they cannot produce one in your industry or at your maturity level, be cautious.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promise ROI numbers without asking about your current baseline.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'Save 40% of your time' is meaningless without knowing where your time goes today. Generic ROI claims are marketing, not analysis.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&amp; SECURITY RED FLAGS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cannot clearly explain where your data goes and who can access it.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This is not a detail. This is a fundamental. If they are vague, assume the worst.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data will be used to train their models — and you cannot opt out.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Some vendors use customer data to improve their models by default. Understand the terms before you input anything sensitive.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do not have a data processing agreement (DPA) ready to share.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Any legitimate vendor working with business data should have a DPA. If they do not, that tells you something about their operational maturity.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cannot tell you what happens to your data when you cancel.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Data portability and deletion rights matter. You need to know you can leave.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7A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 &amp; COMMERCIAL RED FLAGS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Pricing is tied to usage in ways that are hard to predict or cap.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Token-based or API-call pricing can balloon unexpectedly. Understand the ceiling before you commit.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reserve the right to change the underlying model without notice.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If the model changes, your workflow may break. You need contractual protection or at minimum advance notice.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There is no clear off-ramp — exiting is expensive or technically complex.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Vendor lock-in is real. Understand the switching cost before you are inside.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contract auto-renews on terms that are hard to exit.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Annual contracts that auto-renew with 90-day cancellation windows are common. Know your exit window before you sign.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 &amp; LONGEVITY RED FLAGS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cannot tell you who your point of contact will be after the sale.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In early-stage AI vendors, post-sale support is often where things fall apart. Know who you call when it breaks.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company is less than 18 months old and has not raised institutional funding.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Not a disqualifier, but a risk factor. Early-stage AI vendors carry real longevity risk. Factor that into your decision.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have no documented process for handling model errors or output failures.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Things go wrong. What matters is whether the vendor has a mature way of dealing with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D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3A3A"/>
                <w:sz w:val="22"/>
                <w:szCs w:val="22"/>
              </w:rPr>
              <w:t xml:space="preserve">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They cannot describe their product roadmap or show evidence of ongoing investment.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The AI landscape is moving fast. A vendor who is not actively investing will fall behind quickly.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9BBCC"/>
                <w:spacing w:val="100"/>
                <w:sz w:val="18"/>
                <w:szCs w:val="18"/>
              </w:rPr>
              <w:t xml:space="preserve">PART 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Vendor Scoring Matrix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Compare vendors objectively. Score each criterion 1–5. Weight reflects priority for service organizations.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Instructions: Score each vendor 1–5 on each criterion. Multiply by the weight. Sum the weighted scores. Use the totals to compare — but also pay attention to any criterion scored 1 or 2, regardless of overall total. A critical weakness can disqualify an otherwise strong vendor.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GUIDE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1 = Does not meet requirement  |  2 = Partially meets  |  3 = Meets adequately  |  4 = Meets well  |  5 = Exceeds — genuinely differentiated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1400"/>
        <w:gridCol w:w="1440"/>
        <w:gridCol w:w="1460"/>
        <w:gridCol w:w="1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A
Score (1–5)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A
Weighted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B
Score (1–5)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B
Weighted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PROBLEM FIT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The vendor deeply understands your specific workflow — not just AI generally 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Their product has been used successfully in a comparable service organization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solution addresses your problem without requiring major workflow redesign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They can articulate clearly what the product does NOT do well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 &amp; 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Data handling is transparent — clear policy on storage, access, and training use 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A data processing agreement (DPA) is available and covers your requirements 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data is not used to train their models (or you have explicit opt-out)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portability and deletion rights are contractually guaranteed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COMMERCIAL TERMS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Pricing is predictable and scalable — no surprise usage-based ceilings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Contract terms are reasonable — renewal, cancellation, and exit are clear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 changes require advance notice and/or contractual protection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IMPLEMENTATION &amp; SUPPORT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Implementation timeline and resource requirements are clearly defined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Post-sale support is structured — named contact, SLA, escalation path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Training and onboarding for your team is included or 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VENDOR VIABILITY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vendor has demonstrable financial stability or institutional backing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product development is evident — roadmap exists and is being executed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References in your industry or a comparable service context are 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×2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WEIGHTED SCORE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/175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/175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i/>
          <w:iCs/>
          <w:color w:val="8B3A3A"/>
          <w:sz w:val="19"/>
          <w:szCs w:val="19"/>
        </w:rPr>
        <w:t xml:space="preserve">★  Critical criteria — a score of 1 or 2 on any starred item should be treated as a potential disqualifier, regardless of overall score.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E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The Score Is a Starting Point, Not a Decision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vendor who scores 140/175 but has a 1 on data handling should concern you more than a vendor who scores 120/175 with no critical weaknesses. Use the matrix to surface gaps and force conversations — not to generate a number that makes the decision for you.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best vendor evaluation includes: a structured demo against your real work, a reference call with a comparable client, a legal review of the DPA and contract, and a conversation about what happens when things go wrong.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0E4EF" w:sz="4" w:space="1"/>
        </w:pBdr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LIFT AI Vendor Assessment Guide  |  v1.0  |  github.com/amitchauhank/lift-framework  |  Open Source — use, adapt, share.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2026-03-05T04:53:39.321Z</dcterms:created>
  <dcterms:modified xsi:type="dcterms:W3CDTF">2026-03-05T04:53:39.322Z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